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rial" w:hAnsi="Arial"/>
          <w:b/>
          <w:sz w:val="36"/>
        </w:rPr>
        <w:t>SALVI STUDIO</w:t>
      </w:r>
    </w:p>
    <w:p>
      <w:pPr>
        <w:jc w:val="center"/>
      </w:pPr>
      <w:r>
        <w:rPr>
          <w:rFonts w:ascii="Arial" w:hAnsi="Arial"/>
          <w:b/>
          <w:sz w:val="64"/>
        </w:rPr>
        <w:t>COLUMNS</w:t>
      </w:r>
    </w:p>
    <w:p>
      <w:pPr>
        <w:spacing w:before="480"/>
        <w:jc w:val="center"/>
      </w:pPr>
      <w:r>
        <w:rPr>
          <w:b/>
          <w:sz w:val="36"/>
        </w:rPr>
        <w:t>FASE 14</w:t>
      </w:r>
    </w:p>
    <w:p>
      <w:pPr>
        <w:jc w:val="center"/>
      </w:pPr>
      <w:r>
        <w:rPr>
          <w:b/>
          <w:sz w:val="40"/>
        </w:rPr>
        <w:t>CAD paramétrico, BOM y documentación industrial</w:t>
      </w:r>
    </w:p>
    <w:p>
      <w:pPr>
        <w:jc w:val="center"/>
      </w:pPr>
      <w:r>
        <w:rPr>
          <w:sz w:val="24"/>
        </w:rPr>
        <w:t>Especificación técnica funcional y de arquitectura</w:t>
      </w:r>
    </w:p>
    <w:p>
      <w:pPr>
        <w:spacing w:before="800"/>
        <w:jc w:val="center"/>
      </w:pPr>
      <w:r>
        <w:t>Versión 0.3 · Julio 2026</w:t>
      </w:r>
    </w:p>
    <w:p>
      <w:pPr>
        <w:jc w:val="center"/>
      </w:pPr>
      <w:r>
        <w:rPr>
          <w:i/>
        </w:rPr>
        <w:t>Uso interno · Salvi Lighting</w:t>
      </w:r>
    </w:p>
    <w:p>
      <w:r>
        <w:br w:type="page"/>
      </w:r>
    </w:p>
    <w:p>
      <w:pPr>
        <w:pStyle w:val="Heading1"/>
      </w:pPr>
      <w:r>
        <w:t>Control del documento</w:t>
      </w:r>
    </w:p>
    <w:tbl>
      <w:tblPr>
        <w:tblStyle w:val="TableGrid"/>
        <w:tblW w:type="auto" w:w="0"/>
        <w:jc w:val="center"/>
        <w:tblLook w:firstColumn="1" w:firstRow="1" w:lastColumn="0" w:lastRow="0" w:noHBand="0" w:noVBand="1" w:val="04A0"/>
      </w:tblPr>
      <w:tblGrid>
        <w:gridCol w:w="5083"/>
        <w:gridCol w:w="5083"/>
      </w:tblGrid>
      <w:tr>
        <w:tc>
          <w:tcPr>
            <w:tcW w:type="dxa" w:w="2880"/>
            <w:shd w:fill="000000"/>
            <w:vAlign w:val="center"/>
          </w:tcPr>
          <w:p>
            <w:pPr>
              <w:pStyle w:val="TableText"/>
              <w:spacing w:after="0"/>
            </w:pPr>
            <w:r/>
            <w:r>
              <w:rPr>
                <w:rFonts w:ascii="Arial" w:hAnsi="Arial"/>
                <w:b/>
                <w:color w:val="FFFFFF"/>
                <w:sz w:val="15"/>
              </w:rPr>
              <w:t>Campo</w:t>
            </w:r>
          </w:p>
        </w:tc>
        <w:tc>
          <w:tcPr>
            <w:tcW w:type="dxa" w:w="7200"/>
            <w:shd w:fill="000000"/>
            <w:vAlign w:val="center"/>
          </w:tcPr>
          <w:p>
            <w:pPr>
              <w:pStyle w:val="TableText"/>
              <w:spacing w:after="0"/>
            </w:pPr>
            <w:r/>
            <w:r>
              <w:rPr>
                <w:rFonts w:ascii="Arial" w:hAnsi="Arial"/>
                <w:b/>
                <w:color w:val="FFFFFF"/>
                <w:sz w:val="15"/>
              </w:rPr>
              <w:t>Valor</w:t>
            </w:r>
          </w:p>
        </w:tc>
      </w:tr>
      <w:tr>
        <w:tc>
          <w:tcPr>
            <w:tcW w:type="dxa" w:w="2880"/>
            <w:vAlign w:val="center"/>
          </w:tcPr>
          <w:p>
            <w:pPr>
              <w:pStyle w:val="TableText"/>
              <w:spacing w:after="0"/>
            </w:pPr>
            <w:r/>
            <w:r>
              <w:rPr>
                <w:rFonts w:ascii="Arial" w:hAnsi="Arial"/>
                <w:b w:val="0"/>
                <w:sz w:val="14"/>
              </w:rPr>
              <w:t>Documento</w:t>
            </w:r>
          </w:p>
        </w:tc>
        <w:tc>
          <w:tcPr>
            <w:tcW w:type="dxa" w:w="7200"/>
            <w:vAlign w:val="center"/>
          </w:tcPr>
          <w:p>
            <w:pPr>
              <w:pStyle w:val="TableText"/>
              <w:spacing w:after="0"/>
            </w:pPr>
            <w:r/>
            <w:r>
              <w:rPr>
                <w:rFonts w:ascii="Arial" w:hAnsi="Arial"/>
                <w:b w:val="0"/>
                <w:sz w:val="14"/>
              </w:rPr>
              <w:t>Salvi Studio · Columns — Fase 14</w:t>
            </w:r>
          </w:p>
        </w:tc>
      </w:tr>
      <w:tr>
        <w:tc>
          <w:tcPr>
            <w:tcW w:type="dxa" w:w="2880"/>
            <w:vAlign w:val="center"/>
          </w:tcPr>
          <w:p>
            <w:pPr>
              <w:pStyle w:val="TableText"/>
              <w:spacing w:after="0"/>
            </w:pPr>
            <w:r/>
            <w:r>
              <w:rPr>
                <w:rFonts w:ascii="Arial" w:hAnsi="Arial"/>
                <w:b w:val="0"/>
                <w:sz w:val="14"/>
              </w:rPr>
              <w:t>Título</w:t>
            </w:r>
          </w:p>
        </w:tc>
        <w:tc>
          <w:tcPr>
            <w:tcW w:type="dxa" w:w="7200"/>
            <w:vAlign w:val="center"/>
          </w:tcPr>
          <w:p>
            <w:pPr>
              <w:pStyle w:val="TableText"/>
              <w:spacing w:after="0"/>
            </w:pPr>
            <w:r/>
            <w:r>
              <w:rPr>
                <w:rFonts w:ascii="Arial" w:hAnsi="Arial"/>
                <w:b w:val="0"/>
                <w:sz w:val="14"/>
              </w:rPr>
              <w:t>CAD paramétrico, BOM y documentación industrial</w:t>
            </w:r>
          </w:p>
        </w:tc>
      </w:tr>
      <w:tr>
        <w:tc>
          <w:tcPr>
            <w:tcW w:type="dxa" w:w="2880"/>
            <w:vAlign w:val="center"/>
          </w:tcPr>
          <w:p>
            <w:pPr>
              <w:pStyle w:val="TableText"/>
              <w:spacing w:after="0"/>
            </w:pPr>
            <w:r/>
            <w:r>
              <w:rPr>
                <w:rFonts w:ascii="Arial" w:hAnsi="Arial"/>
                <w:b w:val="0"/>
                <w:sz w:val="14"/>
              </w:rPr>
              <w:t>Versión</w:t>
            </w:r>
          </w:p>
        </w:tc>
        <w:tc>
          <w:tcPr>
            <w:tcW w:type="dxa" w:w="7200"/>
            <w:vAlign w:val="center"/>
          </w:tcPr>
          <w:p>
            <w:r>
              <w:t>0.3</w:t>
            </w:r>
          </w:p>
        </w:tc>
      </w:tr>
      <w:tr>
        <w:tc>
          <w:tcPr>
            <w:tcW w:type="dxa" w:w="2880"/>
            <w:vAlign w:val="center"/>
          </w:tcPr>
          <w:p>
            <w:pPr>
              <w:pStyle w:val="TableText"/>
              <w:spacing w:after="0"/>
            </w:pPr>
            <w:r/>
            <w:r>
              <w:rPr>
                <w:rFonts w:ascii="Arial" w:hAnsi="Arial"/>
                <w:b w:val="0"/>
                <w:sz w:val="14"/>
              </w:rPr>
              <w:t>Estado</w:t>
            </w:r>
          </w:p>
        </w:tc>
        <w:tc>
          <w:tcPr>
            <w:tcW w:type="dxa" w:w="7200"/>
            <w:vAlign w:val="center"/>
          </w:tcPr>
          <w:p>
            <w:r>
              <w:t>Especificación completada para revisión técnica</w:t>
            </w:r>
          </w:p>
        </w:tc>
      </w:tr>
      <w:tr>
        <w:tc>
          <w:tcPr>
            <w:tcW w:type="dxa" w:w="2880"/>
            <w:vAlign w:val="center"/>
          </w:tcPr>
          <w:p>
            <w:pPr>
              <w:pStyle w:val="TableText"/>
              <w:spacing w:after="0"/>
            </w:pPr>
            <w:r/>
            <w:r>
              <w:rPr>
                <w:rFonts w:ascii="Arial" w:hAnsi="Arial"/>
                <w:b w:val="0"/>
                <w:sz w:val="14"/>
              </w:rPr>
              <w:t>Propietario funcional</w:t>
            </w:r>
          </w:p>
        </w:tc>
        <w:tc>
          <w:tcPr>
            <w:tcW w:type="dxa" w:w="7200"/>
            <w:vAlign w:val="center"/>
          </w:tcPr>
          <w:p>
            <w:pPr>
              <w:pStyle w:val="TableText"/>
              <w:spacing w:after="0"/>
            </w:pPr>
            <w:r/>
            <w:r>
              <w:rPr>
                <w:rFonts w:ascii="Arial" w:hAnsi="Arial"/>
                <w:b w:val="0"/>
                <w:sz w:val="14"/>
              </w:rPr>
              <w:t>Oficina Técnica / Ingeniería de Producto</w:t>
            </w:r>
          </w:p>
        </w:tc>
      </w:tr>
      <w:tr>
        <w:tc>
          <w:tcPr>
            <w:tcW w:type="dxa" w:w="2880"/>
            <w:vAlign w:val="center"/>
          </w:tcPr>
          <w:p>
            <w:pPr>
              <w:pStyle w:val="TableText"/>
              <w:spacing w:after="0"/>
            </w:pPr>
            <w:r/>
            <w:r>
              <w:rPr>
                <w:rFonts w:ascii="Arial" w:hAnsi="Arial"/>
                <w:b w:val="0"/>
                <w:sz w:val="14"/>
              </w:rPr>
              <w:t>Propietario técnico</w:t>
            </w:r>
          </w:p>
        </w:tc>
        <w:tc>
          <w:tcPr>
            <w:tcW w:type="dxa" w:w="7200"/>
            <w:vAlign w:val="center"/>
          </w:tcPr>
          <w:p>
            <w:pPr>
              <w:pStyle w:val="TableText"/>
              <w:spacing w:after="0"/>
            </w:pPr>
            <w:r/>
            <w:r>
              <w:rPr>
                <w:rFonts w:ascii="Arial" w:hAnsi="Arial"/>
                <w:b w:val="0"/>
                <w:sz w:val="14"/>
              </w:rPr>
              <w:t>Equipo Salvi Studio</w:t>
            </w:r>
          </w:p>
        </w:tc>
      </w:tr>
      <w:tr>
        <w:tc>
          <w:tcPr>
            <w:tcW w:type="dxa" w:w="2880"/>
            <w:vAlign w:val="center"/>
          </w:tcPr>
          <w:p>
            <w:pPr>
              <w:pStyle w:val="TableText"/>
              <w:spacing w:after="0"/>
            </w:pPr>
            <w:r/>
            <w:r>
              <w:rPr>
                <w:rFonts w:ascii="Arial" w:hAnsi="Arial"/>
                <w:b w:val="0"/>
                <w:sz w:val="14"/>
              </w:rPr>
              <w:t>Clasificación</w:t>
            </w:r>
          </w:p>
        </w:tc>
        <w:tc>
          <w:tcPr>
            <w:tcW w:type="dxa" w:w="7200"/>
            <w:vAlign w:val="center"/>
          </w:tcPr>
          <w:p>
            <w:pPr>
              <w:pStyle w:val="TableText"/>
              <w:spacing w:after="0"/>
            </w:pPr>
            <w:r/>
            <w:r>
              <w:rPr>
                <w:rFonts w:ascii="Arial" w:hAnsi="Arial"/>
                <w:b w:val="0"/>
                <w:sz w:val="14"/>
              </w:rPr>
              <w:t>Uso interno</w:t>
            </w:r>
          </w:p>
        </w:tc>
      </w:tr>
    </w:tbl>
    <w:p>
      <w:pPr>
        <w:spacing w:after="20"/>
      </w:pPr>
    </w:p>
    <w:p>
      <w:pPr>
        <w:pStyle w:val="Heading2"/>
      </w:pPr>
      <w:r>
        <w:t>Historial de cambios</w:t>
      </w:r>
    </w:p>
    <w:tbl>
      <w:tblPr>
        <w:tblStyle w:val="TableGrid"/>
        <w:tblW w:type="auto" w:w="0"/>
        <w:jc w:val="center"/>
        <w:tblLook w:firstColumn="1" w:firstRow="1" w:lastColumn="0" w:lastRow="0" w:noHBand="0" w:noVBand="1" w:val="04A0"/>
      </w:tblPr>
      <w:tr>
        <w:tc>
          <w:tcPr>
            <w:tcW w:type="dxa" w:w="3389"/>
          </w:tcPr>
          <w:p>
            <w:r>
              <w:t>0.3</w:t>
            </w:r>
          </w:p>
        </w:tc>
        <w:tc>
          <w:tcPr>
            <w:tcW w:type="dxa" w:w="3389"/>
          </w:tcPr>
          <w:p>
            <w:r>
              <w:t>Julio 2026</w:t>
            </w:r>
          </w:p>
        </w:tc>
        <w:tc>
          <w:tcPr>
            <w:tcW w:type="dxa" w:w="3389"/>
          </w:tcPr>
          <w:p>
            <w:r>
              <w:t>Versión completada: modelo industrial integral, contratos de datos, reglas CAD/BOM/planos, proveedores, embalaje, trazabilidad, liberación, validación y anexos de implementación.</w:t>
            </w:r>
          </w:p>
        </w:tc>
      </w:tr>
      <w:tblGrid>
        <w:gridCol w:w="3389"/>
        <w:gridCol w:w="3389"/>
        <w:gridCol w:w="3389"/>
      </w:tblGrid>
      <w:tr>
        <w:tc>
          <w:tcPr>
            <w:tcW w:type="dxa" w:w="1440"/>
            <w:shd w:fill="000000"/>
            <w:vAlign w:val="center"/>
          </w:tcPr>
          <w:p>
            <w:pPr>
              <w:pStyle w:val="TableText"/>
              <w:spacing w:after="0"/>
            </w:pPr>
            <w:r/>
            <w:r>
              <w:rPr>
                <w:rFonts w:ascii="Arial" w:hAnsi="Arial"/>
                <w:b/>
                <w:color w:val="FFFFFF"/>
                <w:sz w:val="15"/>
              </w:rPr>
              <w:t>Versión</w:t>
            </w:r>
          </w:p>
        </w:tc>
        <w:tc>
          <w:tcPr>
            <w:tcW w:type="dxa" w:w="1728"/>
            <w:shd w:fill="000000"/>
            <w:vAlign w:val="center"/>
          </w:tcPr>
          <w:p>
            <w:pPr>
              <w:pStyle w:val="TableText"/>
              <w:spacing w:after="0"/>
            </w:pPr>
            <w:r/>
            <w:r>
              <w:rPr>
                <w:rFonts w:ascii="Arial" w:hAnsi="Arial"/>
                <w:b/>
                <w:color w:val="FFFFFF"/>
                <w:sz w:val="15"/>
              </w:rPr>
              <w:t>Fecha</w:t>
            </w:r>
          </w:p>
        </w:tc>
        <w:tc>
          <w:tcPr>
            <w:tcW w:type="dxa" w:w="6912"/>
            <w:shd w:fill="000000"/>
            <w:vAlign w:val="center"/>
          </w:tcPr>
          <w:p>
            <w:pPr>
              <w:pStyle w:val="TableText"/>
              <w:spacing w:after="0"/>
            </w:pPr>
            <w:r/>
            <w:r>
              <w:rPr>
                <w:rFonts w:ascii="Arial" w:hAnsi="Arial"/>
                <w:b/>
                <w:color w:val="FFFFFF"/>
                <w:sz w:val="15"/>
              </w:rPr>
              <w:t>Descripción</w:t>
            </w:r>
          </w:p>
        </w:tc>
      </w:tr>
      <w:tr>
        <w:tc>
          <w:tcPr>
            <w:tcW w:type="dxa" w:w="1440"/>
            <w:vAlign w:val="center"/>
          </w:tcPr>
          <w:p>
            <w:pPr>
              <w:pStyle w:val="TableText"/>
              <w:spacing w:after="0"/>
            </w:pPr>
            <w:r>
              <w:t>0.2</w:t>
            </w:r>
          </w:p>
        </w:tc>
        <w:tc>
          <w:tcPr>
            <w:tcW w:type="dxa" w:w="1728"/>
            <w:vAlign w:val="center"/>
          </w:tcPr>
          <w:p>
            <w:pPr>
              <w:pStyle w:val="TableText"/>
              <w:spacing w:after="0"/>
            </w:pPr>
            <w:r/>
            <w:r>
              <w:rPr>
                <w:rFonts w:ascii="Arial" w:hAnsi="Arial"/>
                <w:b w:val="0"/>
                <w:sz w:val="14"/>
              </w:rPr>
              <w:t>Julio 2026</w:t>
            </w:r>
          </w:p>
        </w:tc>
        <w:tc>
          <w:tcPr>
            <w:tcW w:type="dxa" w:w="6912"/>
            <w:vAlign w:val="center"/>
          </w:tcPr>
          <w:p>
            <w:pPr>
              <w:pStyle w:val="TableText"/>
              <w:spacing w:after="0"/>
            </w:pPr>
            <w:r>
              <w:t>Revisión ampliada: contrato CAD ejecutable, MBD/PMI, GD&amp;T, reglas de planos, BOM industrial, rutas, calidad, proveedor, liberación y validación cruzada.</w:t>
            </w:r>
          </w:p>
        </w:tc>
      </w:tr>
      <w:tr>
        <w:tc>
          <w:tcPr>
            <w:tcW w:type="dxa" w:w="3389"/>
          </w:tcPr>
          <w:p>
            <w:r>
              <w:t>0.2</w:t>
            </w:r>
          </w:p>
        </w:tc>
        <w:tc>
          <w:tcPr>
            <w:tcW w:type="dxa" w:w="3389"/>
          </w:tcPr>
          <w:p>
            <w:r>
              <w:t>Julio 2026</w:t>
            </w:r>
          </w:p>
        </w:tc>
        <w:tc>
          <w:tcPr>
            <w:tcW w:type="dxa" w:w="3389"/>
          </w:tcPr>
          <w:p>
            <w:r>
              <w:t>Ampliación ejecutable: feature graph, MBD/PMI, GD&amp;T, motor de planos, BOM, rutas, soldaduras, calidad, as-built, integraciones, IA controlada y gates de liberación.</w:t>
            </w:r>
          </w:p>
        </w:tc>
      </w:tr>
    </w:tbl>
    <w:p>
      <w:pPr>
        <w:spacing w:after="20"/>
      </w:pPr>
    </w:p>
    <w:p>
      <w:pPr>
        <w:pStyle w:val="Heading1"/>
      </w:pPr>
      <w:r>
        <w:t>Resumen ejecutivo</w:t>
      </w:r>
    </w:p>
    <w:p>
      <w:r>
        <w:t>La Fase 14 convierte una solución técnica validada —estándar o especial— en una definición industrial coherente, fabricable, comprable, trazable y reutilizable. Es la fase que transforma resultados dispersos de geometría, cálculo, materiales, uniones, placa, cimentación, catálogo y optimización en un paquete único de producto: modelo CAD paramétrico, ensamblaje, planos, desarrollos, BOM multinivel, rutas de fabricación, controles, instrucciones, costes y documentación para producción, proveedor, montaje, cliente y archivo regulatorio.</w:t>
      </w:r>
    </w:p>
    <w:p>
      <w:r>
        <w:t>El principio central es que no existirán varias “verdades” independientes. La geometría liberada, la BOM, los planos, el peso, el coste y los documentos deberán proceder de un mismo snapshot de producto. Un cambio en cualquier parámetro crítico invalidará de forma selectiva todos los artefactos dependientes. Ningún plano o archivo CAD podrá declararse apto para fabricación si no coincide con la revisión estructural validada, las bibliotecas congeladas y la lista de materiales publicada.</w:t>
      </w:r>
    </w:p>
    <w:p>
      <w:r>
        <w:t>La IA podrá asistir en la clasificación de planos, redacción de instrucciones, revisión de coherencia, explicación de diferencias y extracción de datos de documentos heredados. No podrá generar de manera autónoma geometría oficial, cotas críticas, tolerancias, soldaduras, materiales o BOM sin que esos datos procedan del modelo determinista y de reglas aprobadas.</w:t>
      </w:r>
    </w:p>
    <w:p>
      <w:pPr>
        <w:pStyle w:val="Heading1"/>
      </w:pPr>
      <w:r>
        <w:t>1. Objetivo, alcance y resultados esperados</w:t>
      </w:r>
    </w:p>
    <w:p>
      <w:pPr>
        <w:pStyle w:val="Heading2"/>
      </w:pPr>
      <w:r>
        <w:t>1.1 Objetivo</w:t>
      </w:r>
    </w:p>
    <w:p>
      <w:r>
        <w:t>Definir el sistema industrial digital que materializa cada diseño aprobado como un conjunto completo de datos y documentos, preparado para fabricación interna, subcontratación, compra, inspección, transporte, montaje y mantenimiento. La fase debe reducir al mínimo la interpretación manual y garantizar que todos los entregables sean consistentes entre sí.</w:t>
      </w:r>
    </w:p>
    <w:p>
      <w:pPr>
        <w:pStyle w:val="Heading2"/>
      </w:pPr>
      <w:r>
        <w:t>1.2 Resultados obligatorios</w:t>
      </w:r>
    </w:p>
    <w:p>
      <w:pPr>
        <w:pStyle w:val="ListBullet"/>
        <w:spacing w:after="30"/>
        <w:ind w:left="288" w:hanging="173"/>
      </w:pPr>
      <w:r>
        <w:t>Modelo maestro paramétrico y versionado del producto.</w:t>
      </w:r>
    </w:p>
    <w:p>
      <w:pPr>
        <w:pStyle w:val="ListBullet"/>
        <w:spacing w:after="30"/>
        <w:ind w:left="288" w:hanging="173"/>
      </w:pPr>
      <w:r>
        <w:t>Ensamblaje 3D con piezas, subensamblajes, referencias, materiales y relaciones de montaje.</w:t>
      </w:r>
    </w:p>
    <w:p>
      <w:pPr>
        <w:pStyle w:val="ListBullet"/>
        <w:spacing w:after="30"/>
        <w:ind w:left="288" w:hanging="173"/>
      </w:pPr>
      <w:r>
        <w:t>Exportación STEP AP242 y visualización ligera GLB; DXF para corte, plegado, plantillas y desarrollos.</w:t>
      </w:r>
    </w:p>
    <w:p>
      <w:pPr>
        <w:pStyle w:val="ListBullet"/>
        <w:spacing w:after="30"/>
        <w:ind w:left="288" w:hanging="173"/>
      </w:pPr>
      <w:r>
        <w:t>Planos 2D de conjunto y detalle con cotas, tolerancias, soldaduras, acabados y notas de fabricación.</w:t>
      </w:r>
    </w:p>
    <w:p>
      <w:pPr>
        <w:pStyle w:val="ListBullet"/>
        <w:spacing w:after="30"/>
        <w:ind w:left="288" w:hanging="173"/>
      </w:pPr>
      <w:r>
        <w:t>BOM de ingeniería, fabricación, compra, montaje, expedición y servicio.</w:t>
      </w:r>
    </w:p>
    <w:p>
      <w:pPr>
        <w:pStyle w:val="ListBullet"/>
        <w:spacing w:after="30"/>
        <w:ind w:left="288" w:hanging="173"/>
      </w:pPr>
      <w:r>
        <w:t>Rutas de proceso, operaciones, tiempos, recursos, utillajes, controles y puntos de parada.</w:t>
      </w:r>
    </w:p>
    <w:p>
      <w:pPr>
        <w:pStyle w:val="ListBullet"/>
        <w:spacing w:after="30"/>
        <w:ind w:left="288" w:hanging="173"/>
      </w:pPr>
      <w:r>
        <w:t>Peso neto, de compra, tratado, embalado y expedido; centro de gravedad e inercias por conjunto.</w:t>
      </w:r>
    </w:p>
    <w:p>
      <w:pPr>
        <w:pStyle w:val="ListBullet"/>
        <w:spacing w:after="30"/>
        <w:ind w:left="288" w:hanging="173"/>
      </w:pPr>
      <w:r>
        <w:t>Coste industrial, contingencia, margen deseado y precio de venta, con segregación por permisos.</w:t>
      </w:r>
    </w:p>
    <w:p>
      <w:pPr>
        <w:pStyle w:val="ListBullet"/>
        <w:spacing w:after="30"/>
        <w:ind w:left="288" w:hanging="173"/>
      </w:pPr>
      <w:r>
        <w:t>Paquetes documentales diferenciados para cliente, Oficina Técnica, producción, calidad, proveedor y obra.</w:t>
      </w:r>
    </w:p>
    <w:p>
      <w:pPr>
        <w:pStyle w:val="ListBullet"/>
        <w:spacing w:after="30"/>
        <w:ind w:left="288" w:hanging="173"/>
      </w:pPr>
      <w:r>
        <w:t>Matriz de trazabilidad entre requisito, cálculo, geometría, pieza, BOM, plano, operación e inspección.</w:t>
      </w:r>
    </w:p>
    <w:p>
      <w:pPr>
        <w:pStyle w:val="Heading2"/>
      </w:pPr>
      <w:r>
        <w:t>1.3 Alcance material y tipológico</w:t>
      </w:r>
    </w:p>
    <w:p>
      <w:r>
        <w:t>Se incluyen acero, aluminio plegado o extrusionado y hormigón pretensado centrifugado; columnas con placa o empotradas; geometrías cilíndricas, troncocónicas, poligonales, plegadas, extrusionadas y escalonadas; columnas hasta 30 m en uno o varios tramos; brazos, luminarias, accesorios, paneles solares, baterías, cámaras, antenas, señales y hasta seis cables de catenaria como acciones aplicadas.</w:t>
      </w:r>
    </w:p>
    <w:p>
      <w:pPr>
        <w:pStyle w:val="Heading2"/>
      </w:pPr>
      <w:r>
        <w:t>1.4 Exclusiones iniciales</w:t>
      </w:r>
    </w:p>
    <w:p>
      <w:pPr>
        <w:pStyle w:val="ListBullet"/>
        <w:spacing w:after="30"/>
        <w:ind w:left="288" w:hanging="173"/>
      </w:pPr>
      <w:r>
        <w:t>Programación directa de máquinas CNC propietarias sin postprocesador homologado.</w:t>
      </w:r>
    </w:p>
    <w:p>
      <w:pPr>
        <w:pStyle w:val="ListBullet"/>
        <w:spacing w:after="30"/>
        <w:ind w:left="288" w:hanging="173"/>
      </w:pPr>
      <w:r>
        <w:t>Generación nativa de SLDPRT/SLDASM en servidor sin integración oficial con SolidWorks.</w:t>
      </w:r>
    </w:p>
    <w:p>
      <w:pPr>
        <w:pStyle w:val="ListBullet"/>
        <w:spacing w:after="30"/>
        <w:ind w:left="288" w:hanging="173"/>
      </w:pPr>
      <w:r>
        <w:t>Diseño completo de herrajes de catenaria.</w:t>
      </w:r>
    </w:p>
    <w:p>
      <w:pPr>
        <w:pStyle w:val="ListBullet"/>
        <w:spacing w:after="30"/>
        <w:ind w:left="288" w:hanging="173"/>
      </w:pPr>
      <w:r>
        <w:t>Despiece completo de armaduras de cimentación.</w:t>
      </w:r>
    </w:p>
    <w:p>
      <w:pPr>
        <w:pStyle w:val="ListBullet"/>
        <w:spacing w:after="30"/>
        <w:ind w:left="288" w:hanging="173"/>
      </w:pPr>
      <w:r>
        <w:t>Liberación automática para producción sin validación definida por permisos y madurez.</w:t>
      </w:r>
    </w:p>
    <w:p>
      <w:pPr>
        <w:pStyle w:val="Heading1"/>
      </w:pPr>
      <w:r>
        <w:t>2. Principios no negociables</w:t>
      </w:r>
    </w:p>
    <w:tbl>
      <w:tblPr>
        <w:tblStyle w:val="TableGrid"/>
        <w:tblW w:type="auto" w:w="0"/>
        <w:jc w:val="center"/>
        <w:tblLook w:firstColumn="1" w:firstRow="1" w:lastColumn="0" w:lastRow="0" w:noHBand="0" w:noVBand="1" w:val="04A0"/>
      </w:tblPr>
      <w:tblGrid>
        <w:gridCol w:w="5083"/>
        <w:gridCol w:w="5083"/>
      </w:tblGrid>
      <w:tr>
        <w:tc>
          <w:tcPr>
            <w:tcW w:type="dxa" w:w="2304"/>
            <w:shd w:fill="000000"/>
            <w:vAlign w:val="center"/>
          </w:tcPr>
          <w:p>
            <w:pPr>
              <w:pStyle w:val="TableText"/>
              <w:spacing w:after="0"/>
            </w:pPr>
            <w:r/>
            <w:r>
              <w:rPr>
                <w:rFonts w:ascii="Arial" w:hAnsi="Arial"/>
                <w:b/>
                <w:color w:val="FFFFFF"/>
                <w:sz w:val="15"/>
              </w:rPr>
              <w:t>Principio</w:t>
            </w:r>
          </w:p>
        </w:tc>
        <w:tc>
          <w:tcPr>
            <w:tcW w:type="dxa" w:w="7776"/>
            <w:shd w:fill="000000"/>
            <w:vAlign w:val="center"/>
          </w:tcPr>
          <w:p>
            <w:pPr>
              <w:pStyle w:val="TableText"/>
              <w:spacing w:after="0"/>
            </w:pPr>
            <w:r/>
            <w:r>
              <w:rPr>
                <w:rFonts w:ascii="Arial" w:hAnsi="Arial"/>
                <w:b/>
                <w:color w:val="FFFFFF"/>
                <w:sz w:val="15"/>
              </w:rPr>
              <w:t>Regla</w:t>
            </w:r>
          </w:p>
        </w:tc>
      </w:tr>
      <w:tr>
        <w:tc>
          <w:tcPr>
            <w:tcW w:type="dxa" w:w="2304"/>
            <w:vAlign w:val="center"/>
          </w:tcPr>
          <w:p>
            <w:pPr>
              <w:pStyle w:val="TableText"/>
              <w:spacing w:after="0"/>
            </w:pPr>
            <w:r/>
            <w:r>
              <w:rPr>
                <w:rFonts w:ascii="Arial" w:hAnsi="Arial"/>
                <w:b w:val="0"/>
                <w:sz w:val="14"/>
              </w:rPr>
              <w:t>Fuente única de verdad</w:t>
            </w:r>
          </w:p>
        </w:tc>
        <w:tc>
          <w:tcPr>
            <w:tcW w:type="dxa" w:w="7776"/>
            <w:vAlign w:val="center"/>
          </w:tcPr>
          <w:p>
            <w:pPr>
              <w:pStyle w:val="TableText"/>
              <w:spacing w:after="0"/>
            </w:pPr>
            <w:r/>
            <w:r>
              <w:rPr>
                <w:rFonts w:ascii="Arial" w:hAnsi="Arial"/>
                <w:b w:val="0"/>
                <w:sz w:val="14"/>
              </w:rPr>
              <w:t>CAD, BOM, planos, coste y documentos deben derivarse del mismo ProductSnapshot.</w:t>
            </w:r>
          </w:p>
        </w:tc>
      </w:tr>
      <w:tr>
        <w:tc>
          <w:tcPr>
            <w:tcW w:type="dxa" w:w="2304"/>
            <w:vAlign w:val="center"/>
          </w:tcPr>
          <w:p>
            <w:pPr>
              <w:pStyle w:val="TableText"/>
              <w:spacing w:after="0"/>
            </w:pPr>
            <w:r/>
            <w:r>
              <w:rPr>
                <w:rFonts w:ascii="Arial" w:hAnsi="Arial"/>
                <w:b w:val="0"/>
                <w:sz w:val="14"/>
              </w:rPr>
              <w:t>Determinismo</w:t>
            </w:r>
          </w:p>
        </w:tc>
        <w:tc>
          <w:tcPr>
            <w:tcW w:type="dxa" w:w="7776"/>
            <w:vAlign w:val="center"/>
          </w:tcPr>
          <w:p>
            <w:pPr>
              <w:pStyle w:val="TableText"/>
              <w:spacing w:after="0"/>
            </w:pPr>
            <w:r/>
            <w:r>
              <w:rPr>
                <w:rFonts w:ascii="Arial" w:hAnsi="Arial"/>
                <w:b w:val="0"/>
                <w:sz w:val="14"/>
              </w:rPr>
              <w:t>Con las mismas entradas, bibliotecas y versión del motor se obtendrán artefactos equivalentes y hashes reproducibles.</w:t>
            </w:r>
          </w:p>
        </w:tc>
      </w:tr>
      <w:tr>
        <w:tc>
          <w:tcPr>
            <w:tcW w:type="dxa" w:w="2304"/>
            <w:vAlign w:val="center"/>
          </w:tcPr>
          <w:p>
            <w:pPr>
              <w:pStyle w:val="TableText"/>
              <w:spacing w:after="0"/>
            </w:pPr>
            <w:r/>
            <w:r>
              <w:rPr>
                <w:rFonts w:ascii="Arial" w:hAnsi="Arial"/>
                <w:b w:val="0"/>
                <w:sz w:val="14"/>
              </w:rPr>
              <w:t>Trazabilidad</w:t>
            </w:r>
          </w:p>
        </w:tc>
        <w:tc>
          <w:tcPr>
            <w:tcW w:type="dxa" w:w="7776"/>
            <w:vAlign w:val="center"/>
          </w:tcPr>
          <w:p>
            <w:pPr>
              <w:pStyle w:val="TableText"/>
              <w:spacing w:after="0"/>
            </w:pPr>
            <w:r/>
            <w:r>
              <w:rPr>
                <w:rFonts w:ascii="Arial" w:hAnsi="Arial"/>
                <w:b w:val="0"/>
                <w:sz w:val="14"/>
              </w:rPr>
              <w:t>Cada cota, material, soldadura, tolerancia y cantidad debe enlazar con su origen.</w:t>
            </w:r>
          </w:p>
        </w:tc>
      </w:tr>
      <w:tr>
        <w:tc>
          <w:tcPr>
            <w:tcW w:type="dxa" w:w="2304"/>
            <w:vAlign w:val="center"/>
          </w:tcPr>
          <w:p>
            <w:pPr>
              <w:pStyle w:val="TableText"/>
              <w:spacing w:after="0"/>
            </w:pPr>
            <w:r/>
            <w:r>
              <w:rPr>
                <w:rFonts w:ascii="Arial" w:hAnsi="Arial"/>
                <w:b w:val="0"/>
                <w:sz w:val="14"/>
              </w:rPr>
              <w:t>Inmutabilidad</w:t>
            </w:r>
          </w:p>
        </w:tc>
        <w:tc>
          <w:tcPr>
            <w:tcW w:type="dxa" w:w="7776"/>
            <w:vAlign w:val="center"/>
          </w:tcPr>
          <w:p>
            <w:pPr>
              <w:pStyle w:val="TableText"/>
              <w:spacing w:after="0"/>
            </w:pPr>
            <w:r/>
            <w:r>
              <w:rPr>
                <w:rFonts w:ascii="Arial" w:hAnsi="Arial"/>
                <w:b w:val="0"/>
                <w:sz w:val="14"/>
              </w:rPr>
              <w:t>Los artefactos liberados no se sobrescriben; una modificación crea nueva revisión.</w:t>
            </w:r>
          </w:p>
        </w:tc>
      </w:tr>
      <w:tr>
        <w:tc>
          <w:tcPr>
            <w:tcW w:type="dxa" w:w="2304"/>
            <w:vAlign w:val="center"/>
          </w:tcPr>
          <w:p>
            <w:pPr>
              <w:pStyle w:val="TableText"/>
              <w:spacing w:after="0"/>
            </w:pPr>
            <w:r/>
            <w:r>
              <w:rPr>
                <w:rFonts w:ascii="Arial" w:hAnsi="Arial"/>
                <w:b w:val="0"/>
                <w:sz w:val="14"/>
              </w:rPr>
              <w:t>Fabricabilidad</w:t>
            </w:r>
          </w:p>
        </w:tc>
        <w:tc>
          <w:tcPr>
            <w:tcW w:type="dxa" w:w="7776"/>
            <w:vAlign w:val="center"/>
          </w:tcPr>
          <w:p>
            <w:pPr>
              <w:pStyle w:val="TableText"/>
              <w:spacing w:after="0"/>
            </w:pPr>
            <w:r/>
            <w:r>
              <w:rPr>
                <w:rFonts w:ascii="Arial" w:hAnsi="Arial"/>
                <w:b w:val="0"/>
                <w:sz w:val="14"/>
              </w:rPr>
              <w:t>No se generará geometría oficial que incumpla restricciones de proceso, transporte, galvanizado, herramientas o suministro.</w:t>
            </w:r>
          </w:p>
        </w:tc>
      </w:tr>
      <w:tr>
        <w:tc>
          <w:tcPr>
            <w:tcW w:type="dxa" w:w="2304"/>
            <w:vAlign w:val="center"/>
          </w:tcPr>
          <w:p>
            <w:pPr>
              <w:pStyle w:val="TableText"/>
              <w:spacing w:after="0"/>
            </w:pPr>
            <w:r/>
            <w:r>
              <w:rPr>
                <w:rFonts w:ascii="Arial" w:hAnsi="Arial"/>
                <w:b w:val="0"/>
                <w:sz w:val="14"/>
              </w:rPr>
              <w:t>Segregación de madurez</w:t>
            </w:r>
          </w:p>
        </w:tc>
        <w:tc>
          <w:tcPr>
            <w:tcW w:type="dxa" w:w="7776"/>
            <w:vAlign w:val="center"/>
          </w:tcPr>
          <w:p>
            <w:pPr>
              <w:pStyle w:val="TableText"/>
              <w:spacing w:after="0"/>
            </w:pPr>
            <w:r/>
            <w:r>
              <w:rPr>
                <w:rFonts w:ascii="Arial" w:hAnsi="Arial"/>
                <w:b w:val="0"/>
                <w:sz w:val="14"/>
              </w:rPr>
              <w:t>Borrador, revisión, aprobado, liberado y obsoleto tendrán marcas y permisos diferentes.</w:t>
            </w:r>
          </w:p>
        </w:tc>
      </w:tr>
      <w:tr>
        <w:tc>
          <w:tcPr>
            <w:tcW w:type="dxa" w:w="2304"/>
            <w:vAlign w:val="center"/>
          </w:tcPr>
          <w:p>
            <w:pPr>
              <w:pStyle w:val="TableText"/>
              <w:spacing w:after="0"/>
            </w:pPr>
            <w:r/>
            <w:r>
              <w:rPr>
                <w:rFonts w:ascii="Arial" w:hAnsi="Arial"/>
                <w:b w:val="0"/>
                <w:sz w:val="14"/>
              </w:rPr>
              <w:t>No ambigüedad</w:t>
            </w:r>
          </w:p>
        </w:tc>
        <w:tc>
          <w:tcPr>
            <w:tcW w:type="dxa" w:w="7776"/>
            <w:vAlign w:val="center"/>
          </w:tcPr>
          <w:p>
            <w:pPr>
              <w:pStyle w:val="TableText"/>
              <w:spacing w:after="0"/>
            </w:pPr>
            <w:r/>
            <w:r>
              <w:rPr>
                <w:rFonts w:ascii="Arial" w:hAnsi="Arial"/>
                <w:b w:val="0"/>
                <w:sz w:val="14"/>
              </w:rPr>
              <w:t>Toda instrucción crítica deberá ser estructurada; el texto libre será complementario.</w:t>
            </w:r>
          </w:p>
        </w:tc>
      </w:tr>
      <w:tr>
        <w:tc>
          <w:tcPr>
            <w:tcW w:type="dxa" w:w="2304"/>
            <w:vAlign w:val="center"/>
          </w:tcPr>
          <w:p>
            <w:pPr>
              <w:pStyle w:val="TableText"/>
              <w:spacing w:after="0"/>
            </w:pPr>
            <w:r/>
            <w:r>
              <w:rPr>
                <w:rFonts w:ascii="Arial" w:hAnsi="Arial"/>
                <w:b w:val="0"/>
                <w:sz w:val="14"/>
              </w:rPr>
              <w:t>Validación cruzada</w:t>
            </w:r>
          </w:p>
        </w:tc>
        <w:tc>
          <w:tcPr>
            <w:tcW w:type="dxa" w:w="7776"/>
            <w:vAlign w:val="center"/>
          </w:tcPr>
          <w:p>
            <w:pPr>
              <w:pStyle w:val="TableText"/>
              <w:spacing w:after="0"/>
            </w:pPr>
            <w:r/>
            <w:r>
              <w:rPr>
                <w:rFonts w:ascii="Arial" w:hAnsi="Arial"/>
                <w:b w:val="0"/>
                <w:sz w:val="14"/>
              </w:rPr>
              <w:t>Masa CAD, BOM, longitudes, superficies, taladros, soldaduras y planos deberán reconciliarse automáticamente.</w:t>
            </w:r>
          </w:p>
        </w:tc>
      </w:tr>
      <w:tr>
        <w:tc>
          <w:tcPr>
            <w:tcW w:type="dxa" w:w="2304"/>
            <w:vAlign w:val="center"/>
          </w:tcPr>
          <w:p>
            <w:pPr>
              <w:pStyle w:val="TableText"/>
              <w:spacing w:after="0"/>
            </w:pPr>
            <w:r/>
            <w:r>
              <w:rPr>
                <w:rFonts w:ascii="Arial" w:hAnsi="Arial"/>
                <w:b w:val="0"/>
                <w:sz w:val="14"/>
              </w:rPr>
              <w:t>Neutralidad CAD</w:t>
            </w:r>
          </w:p>
        </w:tc>
        <w:tc>
          <w:tcPr>
            <w:tcW w:type="dxa" w:w="7776"/>
            <w:vAlign w:val="center"/>
          </w:tcPr>
          <w:p>
            <w:pPr>
              <w:pStyle w:val="TableText"/>
              <w:spacing w:after="0"/>
            </w:pPr>
            <w:r/>
            <w:r>
              <w:rPr>
                <w:rFonts w:ascii="Arial" w:hAnsi="Arial"/>
                <w:b w:val="0"/>
                <w:sz w:val="14"/>
              </w:rPr>
              <w:t>El modelo canónico no dependerá de una única aplicación de escritorio.</w:t>
            </w:r>
          </w:p>
        </w:tc>
      </w:tr>
      <w:tr>
        <w:tc>
          <w:tcPr>
            <w:tcW w:type="dxa" w:w="2304"/>
            <w:vAlign w:val="center"/>
          </w:tcPr>
          <w:p>
            <w:pPr>
              <w:pStyle w:val="TableText"/>
              <w:spacing w:after="0"/>
            </w:pPr>
            <w:r/>
            <w:r>
              <w:rPr>
                <w:rFonts w:ascii="Arial" w:hAnsi="Arial"/>
                <w:b w:val="0"/>
                <w:sz w:val="14"/>
              </w:rPr>
              <w:t>IA asistiva</w:t>
            </w:r>
          </w:p>
        </w:tc>
        <w:tc>
          <w:tcPr>
            <w:tcW w:type="dxa" w:w="7776"/>
            <w:vAlign w:val="center"/>
          </w:tcPr>
          <w:p>
            <w:pPr>
              <w:pStyle w:val="TableText"/>
              <w:spacing w:after="0"/>
            </w:pPr>
            <w:r/>
            <w:r>
              <w:rPr>
                <w:rFonts w:ascii="Arial" w:hAnsi="Arial"/>
                <w:b w:val="0"/>
                <w:sz w:val="14"/>
              </w:rPr>
              <w:t>La IA no será autoridad sobre geometría ni fabricación.</w:t>
            </w:r>
          </w:p>
        </w:tc>
      </w:tr>
    </w:tbl>
    <w:p>
      <w:pPr>
        <w:spacing w:after="20"/>
      </w:pPr>
    </w:p>
    <w:p>
      <w:pPr>
        <w:pStyle w:val="Heading1"/>
      </w:pPr>
      <w:r>
        <w:t>3. Posición de la fase en el flujo end-to-end</w:t>
      </w:r>
    </w:p>
    <w:p>
      <w:pPr>
        <w:pStyle w:val="ListNumber"/>
        <w:spacing w:after="30"/>
      </w:pPr>
      <w:r>
        <w:t>Congelar revisión técnica validada y bibliotecas.</w:t>
      </w:r>
    </w:p>
    <w:p>
      <w:pPr>
        <w:pStyle w:val="ListNumber"/>
        <w:spacing w:after="30"/>
      </w:pPr>
      <w:r>
        <w:t>Construir ProductSnapshot industrial.</w:t>
      </w:r>
    </w:p>
    <w:p>
      <w:pPr>
        <w:pStyle w:val="ListNumber"/>
        <w:spacing w:after="30"/>
      </w:pPr>
      <w:r>
        <w:t>Resolver arquitectura de producto y codificación.</w:t>
      </w:r>
    </w:p>
    <w:p>
      <w:pPr>
        <w:pStyle w:val="ListNumber"/>
        <w:spacing w:after="30"/>
      </w:pPr>
      <w:r>
        <w:t>Generar piezas paramétricas y ensamblaje.</w:t>
      </w:r>
    </w:p>
    <w:p>
      <w:pPr>
        <w:pStyle w:val="ListNumber"/>
        <w:spacing w:after="30"/>
      </w:pPr>
      <w:r>
        <w:t>Calcular propiedades físicas y reconciliar con cálculo.</w:t>
      </w:r>
    </w:p>
    <w:p>
      <w:pPr>
        <w:pStyle w:val="ListNumber"/>
        <w:spacing w:after="30"/>
      </w:pPr>
      <w:r>
        <w:t>Generar BOM y rutas de fabricación.</w:t>
      </w:r>
    </w:p>
    <w:p>
      <w:pPr>
        <w:pStyle w:val="ListNumber"/>
        <w:spacing w:after="30"/>
      </w:pPr>
      <w:r>
        <w:t>Generar planos, DXF, STEP y paquetes documentales.</w:t>
      </w:r>
    </w:p>
    <w:p>
      <w:pPr>
        <w:pStyle w:val="ListNumber"/>
        <w:spacing w:after="30"/>
      </w:pPr>
      <w:r>
        <w:t>Ejecutar validaciones automáticas y revisión humana.</w:t>
      </w:r>
    </w:p>
    <w:p>
      <w:pPr>
        <w:pStyle w:val="ListNumber"/>
        <w:spacing w:after="30"/>
      </w:pPr>
      <w:r>
        <w:t>Liberar revisión industrial y publicar a ERP/PDM/PLM.</w:t>
      </w:r>
    </w:p>
    <w:p>
      <w:pPr>
        <w:pStyle w:val="ListNumber"/>
        <w:spacing w:after="30"/>
      </w:pPr>
      <w:r>
        <w:t>Gestionar cambios, sustituciones y as-built.</w:t>
      </w:r>
    </w:p>
    <w:p>
      <w:r>
        <w:t>La fase recibirá únicamente soluciones con estado técnico compatible. Un diseño preliminar podrá generar artefactos marcados como “NO APTO PARA FABRICACIÓN”, pero no podrá publicar una BOM productiva ni un plano liberado.</w:t>
      </w:r>
    </w:p>
    <w:p>
      <w:pPr>
        <w:pStyle w:val="Heading1"/>
      </w:pPr>
      <w:r>
        <w:t>4. Arquitectura del producto digital</w:t>
      </w:r>
    </w:p>
    <w:p>
      <w:pPr>
        <w:pStyle w:val="Heading2"/>
      </w:pPr>
      <w:r>
        <w:t>4.1 ProductSnapshot</w:t>
      </w:r>
    </w:p>
    <w:p>
      <w:r>
        <w:t>El ProductSnapshot será el contrato inmutable que agrupa la definición completa del producto en una revisión. Incluirá identificadores, geometría canónica, materiales, procesos, verificaciones, interfaces, catálogo congelado, costes aplicables, reglas de documentación y hashes de dependencias.</w:t>
      </w:r>
    </w:p>
    <w:p>
      <w:pPr>
        <w:pStyle w:val="Heading2"/>
      </w:pPr>
      <w:r>
        <w:t>4.2 Jerarquía de producto</w:t>
      </w:r>
    </w:p>
    <w:tbl>
      <w:tblPr>
        <w:tblStyle w:val="TableGrid"/>
        <w:tblW w:type="auto" w:w="0"/>
        <w:jc w:val="center"/>
        <w:tblLook w:firstColumn="1" w:firstRow="1" w:lastColumn="0" w:lastRow="0" w:noHBand="0" w:noVBand="1" w:val="04A0"/>
      </w:tblPr>
      <w:tblGrid>
        <w:gridCol w:w="3389"/>
        <w:gridCol w:w="3389"/>
        <w:gridCol w:w="3389"/>
      </w:tblGrid>
      <w:tr>
        <w:tc>
          <w:tcPr>
            <w:tcW w:type="dxa" w:w="1728"/>
            <w:shd w:fill="000000"/>
            <w:vAlign w:val="center"/>
          </w:tcPr>
          <w:p>
            <w:pPr>
              <w:pStyle w:val="TableText"/>
              <w:spacing w:after="0"/>
            </w:pPr>
            <w:r/>
            <w:r>
              <w:rPr>
                <w:rFonts w:ascii="Arial" w:hAnsi="Arial"/>
                <w:b/>
                <w:color w:val="FFFFFF"/>
                <w:sz w:val="15"/>
              </w:rPr>
              <w:t>Nivel</w:t>
            </w:r>
          </w:p>
        </w:tc>
        <w:tc>
          <w:tcPr>
            <w:tcW w:type="dxa" w:w="3600"/>
            <w:shd w:fill="000000"/>
            <w:vAlign w:val="center"/>
          </w:tcPr>
          <w:p>
            <w:pPr>
              <w:pStyle w:val="TableText"/>
              <w:spacing w:after="0"/>
            </w:pPr>
            <w:r/>
            <w:r>
              <w:rPr>
                <w:rFonts w:ascii="Arial" w:hAnsi="Arial"/>
                <w:b/>
                <w:color w:val="FFFFFF"/>
                <w:sz w:val="15"/>
              </w:rPr>
              <w:t>Ejemplos</w:t>
            </w:r>
          </w:p>
        </w:tc>
        <w:tc>
          <w:tcPr>
            <w:tcW w:type="dxa" w:w="4752"/>
            <w:shd w:fill="000000"/>
            <w:vAlign w:val="center"/>
          </w:tcPr>
          <w:p>
            <w:pPr>
              <w:pStyle w:val="TableText"/>
              <w:spacing w:after="0"/>
            </w:pPr>
            <w:r/>
            <w:r>
              <w:rPr>
                <w:rFonts w:ascii="Arial" w:hAnsi="Arial"/>
                <w:b/>
                <w:color w:val="FFFFFF"/>
                <w:sz w:val="15"/>
              </w:rPr>
              <w:t>Regla</w:t>
            </w:r>
          </w:p>
        </w:tc>
      </w:tr>
      <w:tr>
        <w:tc>
          <w:tcPr>
            <w:tcW w:type="dxa" w:w="1728"/>
            <w:vAlign w:val="center"/>
          </w:tcPr>
          <w:p>
            <w:pPr>
              <w:pStyle w:val="TableText"/>
              <w:spacing w:after="0"/>
            </w:pPr>
            <w:r/>
            <w:r>
              <w:rPr>
                <w:rFonts w:ascii="Arial" w:hAnsi="Arial"/>
                <w:b w:val="0"/>
                <w:sz w:val="14"/>
              </w:rPr>
              <w:t>Producto</w:t>
            </w:r>
          </w:p>
        </w:tc>
        <w:tc>
          <w:tcPr>
            <w:tcW w:type="dxa" w:w="3600"/>
            <w:vAlign w:val="center"/>
          </w:tcPr>
          <w:p>
            <w:pPr>
              <w:pStyle w:val="TableText"/>
              <w:spacing w:after="0"/>
            </w:pPr>
            <w:r/>
            <w:r>
              <w:rPr>
                <w:rFonts w:ascii="Arial" w:hAnsi="Arial"/>
                <w:b w:val="0"/>
                <w:sz w:val="14"/>
              </w:rPr>
              <w:t>Columna completa</w:t>
            </w:r>
          </w:p>
        </w:tc>
        <w:tc>
          <w:tcPr>
            <w:tcW w:type="dxa" w:w="4752"/>
            <w:vAlign w:val="center"/>
          </w:tcPr>
          <w:p>
            <w:pPr>
              <w:pStyle w:val="TableText"/>
              <w:spacing w:after="0"/>
            </w:pPr>
            <w:r/>
            <w:r>
              <w:rPr>
                <w:rFonts w:ascii="Arial" w:hAnsi="Arial"/>
                <w:b w:val="0"/>
                <w:sz w:val="14"/>
              </w:rPr>
              <w:t>Objeto vendible y verificable.</w:t>
            </w:r>
          </w:p>
        </w:tc>
      </w:tr>
      <w:tr>
        <w:tc>
          <w:tcPr>
            <w:tcW w:type="dxa" w:w="1728"/>
            <w:vAlign w:val="center"/>
          </w:tcPr>
          <w:p>
            <w:pPr>
              <w:pStyle w:val="TableText"/>
              <w:spacing w:after="0"/>
            </w:pPr>
            <w:r/>
            <w:r>
              <w:rPr>
                <w:rFonts w:ascii="Arial" w:hAnsi="Arial"/>
                <w:b w:val="0"/>
                <w:sz w:val="14"/>
              </w:rPr>
              <w:t>Ensamblaje</w:t>
            </w:r>
          </w:p>
        </w:tc>
        <w:tc>
          <w:tcPr>
            <w:tcW w:type="dxa" w:w="3600"/>
            <w:vAlign w:val="center"/>
          </w:tcPr>
          <w:p>
            <w:pPr>
              <w:pStyle w:val="TableText"/>
              <w:spacing w:after="0"/>
            </w:pPr>
            <w:r/>
            <w:r>
              <w:rPr>
                <w:rFonts w:ascii="Arial" w:hAnsi="Arial"/>
                <w:b w:val="0"/>
                <w:sz w:val="14"/>
              </w:rPr>
              <w:t>Fuste + brazo + placa + accesorios</w:t>
            </w:r>
          </w:p>
        </w:tc>
        <w:tc>
          <w:tcPr>
            <w:tcW w:type="dxa" w:w="4752"/>
            <w:vAlign w:val="center"/>
          </w:tcPr>
          <w:p>
            <w:pPr>
              <w:pStyle w:val="TableText"/>
              <w:spacing w:after="0"/>
            </w:pPr>
            <w:r/>
            <w:r>
              <w:rPr>
                <w:rFonts w:ascii="Arial" w:hAnsi="Arial"/>
                <w:b w:val="0"/>
                <w:sz w:val="14"/>
              </w:rPr>
              <w:t>Agrupa piezas y relaciones de montaje.</w:t>
            </w:r>
          </w:p>
        </w:tc>
      </w:tr>
      <w:tr>
        <w:tc>
          <w:tcPr>
            <w:tcW w:type="dxa" w:w="1728"/>
            <w:vAlign w:val="center"/>
          </w:tcPr>
          <w:p>
            <w:pPr>
              <w:pStyle w:val="TableText"/>
              <w:spacing w:after="0"/>
            </w:pPr>
            <w:r/>
            <w:r>
              <w:rPr>
                <w:rFonts w:ascii="Arial" w:hAnsi="Arial"/>
                <w:b w:val="0"/>
                <w:sz w:val="14"/>
              </w:rPr>
              <w:t>Subensamblaje</w:t>
            </w:r>
          </w:p>
        </w:tc>
        <w:tc>
          <w:tcPr>
            <w:tcW w:type="dxa" w:w="3600"/>
            <w:vAlign w:val="center"/>
          </w:tcPr>
          <w:p>
            <w:pPr>
              <w:pStyle w:val="TableText"/>
              <w:spacing w:after="0"/>
            </w:pPr>
            <w:r/>
            <w:r>
              <w:rPr>
                <w:rFonts w:ascii="Arial" w:hAnsi="Arial"/>
                <w:b w:val="0"/>
                <w:sz w:val="14"/>
              </w:rPr>
              <w:t>Tramo superior, puerta reforzada, jaula de pernos</w:t>
            </w:r>
          </w:p>
        </w:tc>
        <w:tc>
          <w:tcPr>
            <w:tcW w:type="dxa" w:w="4752"/>
            <w:vAlign w:val="center"/>
          </w:tcPr>
          <w:p>
            <w:pPr>
              <w:pStyle w:val="TableText"/>
              <w:spacing w:after="0"/>
            </w:pPr>
            <w:r/>
            <w:r>
              <w:rPr>
                <w:rFonts w:ascii="Arial" w:hAnsi="Arial"/>
                <w:b w:val="0"/>
                <w:sz w:val="14"/>
              </w:rPr>
              <w:t>Puede comprarse, fabricarse o montarse.</w:t>
            </w:r>
          </w:p>
        </w:tc>
      </w:tr>
      <w:tr>
        <w:tc>
          <w:tcPr>
            <w:tcW w:type="dxa" w:w="1728"/>
            <w:vAlign w:val="center"/>
          </w:tcPr>
          <w:p>
            <w:pPr>
              <w:pStyle w:val="TableText"/>
              <w:spacing w:after="0"/>
            </w:pPr>
            <w:r/>
            <w:r>
              <w:rPr>
                <w:rFonts w:ascii="Arial" w:hAnsi="Arial"/>
                <w:b w:val="0"/>
                <w:sz w:val="14"/>
              </w:rPr>
              <w:t>Pieza</w:t>
            </w:r>
          </w:p>
        </w:tc>
        <w:tc>
          <w:tcPr>
            <w:tcW w:type="dxa" w:w="3600"/>
            <w:vAlign w:val="center"/>
          </w:tcPr>
          <w:p>
            <w:pPr>
              <w:pStyle w:val="TableText"/>
              <w:spacing w:after="0"/>
            </w:pPr>
            <w:r/>
            <w:r>
              <w:rPr>
                <w:rFonts w:ascii="Arial" w:hAnsi="Arial"/>
                <w:b w:val="0"/>
                <w:sz w:val="14"/>
              </w:rPr>
              <w:t>Chapa plegada, placa, refuerzo, perfil</w:t>
            </w:r>
          </w:p>
        </w:tc>
        <w:tc>
          <w:tcPr>
            <w:tcW w:type="dxa" w:w="4752"/>
            <w:vAlign w:val="center"/>
          </w:tcPr>
          <w:p>
            <w:pPr>
              <w:pStyle w:val="TableText"/>
              <w:spacing w:after="0"/>
            </w:pPr>
            <w:r/>
            <w:r>
              <w:rPr>
                <w:rFonts w:ascii="Arial" w:hAnsi="Arial"/>
                <w:b w:val="0"/>
                <w:sz w:val="14"/>
              </w:rPr>
              <w:t>Unidad geométrica y de trazabilidad.</w:t>
            </w:r>
          </w:p>
        </w:tc>
      </w:tr>
      <w:tr>
        <w:tc>
          <w:tcPr>
            <w:tcW w:type="dxa" w:w="1728"/>
            <w:vAlign w:val="center"/>
          </w:tcPr>
          <w:p>
            <w:pPr>
              <w:pStyle w:val="TableText"/>
              <w:spacing w:after="0"/>
            </w:pPr>
            <w:r/>
            <w:r>
              <w:rPr>
                <w:rFonts w:ascii="Arial" w:hAnsi="Arial"/>
                <w:b w:val="0"/>
                <w:sz w:val="14"/>
              </w:rPr>
              <w:t>Operación</w:t>
            </w:r>
          </w:p>
        </w:tc>
        <w:tc>
          <w:tcPr>
            <w:tcW w:type="dxa" w:w="3600"/>
            <w:vAlign w:val="center"/>
          </w:tcPr>
          <w:p>
            <w:pPr>
              <w:pStyle w:val="TableText"/>
              <w:spacing w:after="0"/>
            </w:pPr>
            <w:r/>
            <w:r>
              <w:rPr>
                <w:rFonts w:ascii="Arial" w:hAnsi="Arial"/>
                <w:b w:val="0"/>
                <w:sz w:val="14"/>
              </w:rPr>
              <w:t>Corte, plegado, soldadura, galvanizado</w:t>
            </w:r>
          </w:p>
        </w:tc>
        <w:tc>
          <w:tcPr>
            <w:tcW w:type="dxa" w:w="4752"/>
            <w:vAlign w:val="center"/>
          </w:tcPr>
          <w:p>
            <w:pPr>
              <w:pStyle w:val="TableText"/>
              <w:spacing w:after="0"/>
            </w:pPr>
            <w:r/>
            <w:r>
              <w:rPr>
                <w:rFonts w:ascii="Arial" w:hAnsi="Arial"/>
                <w:b w:val="0"/>
                <w:sz w:val="14"/>
              </w:rPr>
              <w:t>Transformación controlada.</w:t>
            </w:r>
          </w:p>
        </w:tc>
      </w:tr>
      <w:tr>
        <w:tc>
          <w:tcPr>
            <w:tcW w:type="dxa" w:w="1728"/>
            <w:vAlign w:val="center"/>
          </w:tcPr>
          <w:p>
            <w:pPr>
              <w:pStyle w:val="TableText"/>
              <w:spacing w:after="0"/>
            </w:pPr>
            <w:r/>
            <w:r>
              <w:rPr>
                <w:rFonts w:ascii="Arial" w:hAnsi="Arial"/>
                <w:b w:val="0"/>
                <w:sz w:val="14"/>
              </w:rPr>
              <w:t>Consumible</w:t>
            </w:r>
          </w:p>
        </w:tc>
        <w:tc>
          <w:tcPr>
            <w:tcW w:type="dxa" w:w="3600"/>
            <w:vAlign w:val="center"/>
          </w:tcPr>
          <w:p>
            <w:pPr>
              <w:pStyle w:val="TableText"/>
              <w:spacing w:after="0"/>
            </w:pPr>
            <w:r/>
            <w:r>
              <w:rPr>
                <w:rFonts w:ascii="Arial" w:hAnsi="Arial"/>
                <w:b w:val="0"/>
                <w:sz w:val="14"/>
              </w:rPr>
              <w:t>Hilo, gas, pintura, mortero</w:t>
            </w:r>
          </w:p>
        </w:tc>
        <w:tc>
          <w:tcPr>
            <w:tcW w:type="dxa" w:w="4752"/>
            <w:vAlign w:val="center"/>
          </w:tcPr>
          <w:p>
            <w:pPr>
              <w:pStyle w:val="TableText"/>
              <w:spacing w:after="0"/>
            </w:pPr>
            <w:r/>
            <w:r>
              <w:rPr>
                <w:rFonts w:ascii="Arial" w:hAnsi="Arial"/>
                <w:b w:val="0"/>
                <w:sz w:val="14"/>
              </w:rPr>
              <w:t>Se calcula por regla o cantidad.</w:t>
            </w:r>
          </w:p>
        </w:tc>
      </w:tr>
      <w:tr>
        <w:tc>
          <w:tcPr>
            <w:tcW w:type="dxa" w:w="1728"/>
            <w:vAlign w:val="center"/>
          </w:tcPr>
          <w:p>
            <w:pPr>
              <w:pStyle w:val="TableText"/>
              <w:spacing w:after="0"/>
            </w:pPr>
            <w:r/>
            <w:r>
              <w:rPr>
                <w:rFonts w:ascii="Arial" w:hAnsi="Arial"/>
                <w:b w:val="0"/>
                <w:sz w:val="14"/>
              </w:rPr>
              <w:t>Documento</w:t>
            </w:r>
          </w:p>
        </w:tc>
        <w:tc>
          <w:tcPr>
            <w:tcW w:type="dxa" w:w="3600"/>
            <w:vAlign w:val="center"/>
          </w:tcPr>
          <w:p>
            <w:pPr>
              <w:pStyle w:val="TableText"/>
              <w:spacing w:after="0"/>
            </w:pPr>
            <w:r/>
            <w:r>
              <w:rPr>
                <w:rFonts w:ascii="Arial" w:hAnsi="Arial"/>
                <w:b w:val="0"/>
                <w:sz w:val="14"/>
              </w:rPr>
              <w:t>Plano, certificado, informe</w:t>
            </w:r>
          </w:p>
        </w:tc>
        <w:tc>
          <w:tcPr>
            <w:tcW w:type="dxa" w:w="4752"/>
            <w:vAlign w:val="center"/>
          </w:tcPr>
          <w:p>
            <w:pPr>
              <w:pStyle w:val="TableText"/>
              <w:spacing w:after="0"/>
            </w:pPr>
            <w:r/>
            <w:r>
              <w:rPr>
                <w:rFonts w:ascii="Arial" w:hAnsi="Arial"/>
                <w:b w:val="0"/>
                <w:sz w:val="14"/>
              </w:rPr>
              <w:t>Artefacto ligado a revisión.</w:t>
            </w:r>
          </w:p>
        </w:tc>
      </w:tr>
    </w:tbl>
    <w:p>
      <w:pPr>
        <w:spacing w:after="20"/>
      </w:pPr>
    </w:p>
    <w:p>
      <w:pPr>
        <w:pStyle w:val="Heading2"/>
      </w:pPr>
      <w:r>
        <w:t>4.3 Identidad y codificación</w:t>
      </w:r>
    </w:p>
    <w:p>
      <w:r>
        <w:t>Cada objeto tendrá UUID técnico, código humano y revisión. Se distinguirán código de diseño, referencia Salvi, SKU comercial, código de pieza, lote y número de serie. La codificación no deberá incorporar demasiada semántica mutable. El sistema admitirá reglas por familia, planta y mercado.</w:t>
      </w:r>
    </w:p>
    <w:p>
      <w:pPr>
        <w:pStyle w:val="Heading1"/>
      </w:pPr>
      <w:r>
        <w:t>5. Modelo CAD canónico</w:t>
      </w:r>
    </w:p>
    <w:p>
      <w:pPr>
        <w:pStyle w:val="Heading2"/>
      </w:pPr>
      <w:r>
        <w:t>5.1 Kernel y representación</w:t>
      </w:r>
    </w:p>
    <w:p>
      <w:r>
        <w:t>El CAD oficial se generará mediante un kernel geométrico determinista. Se recomienda Open Cascade Technology u otro kernel industrial con B-Rep robusta, operaciones booleanas, superficies desarrollables, STEP AP242 y control de tolerancias. El visor web utilizará una representación derivada ligera, nunca será la fuente geométrica oficial.</w:t>
      </w:r>
    </w:p>
    <w:p>
      <w:pPr>
        <w:pStyle w:val="Heading2"/>
      </w:pPr>
      <w:r>
        <w:t>5.2 Niveles de representación</w:t>
      </w:r>
    </w:p>
    <w:tbl>
      <w:tblPr>
        <w:tblStyle w:val="TableGrid"/>
        <w:tblW w:type="auto" w:w="0"/>
        <w:jc w:val="center"/>
        <w:tblLook w:firstColumn="1" w:firstRow="1" w:lastColumn="0" w:lastRow="0" w:noHBand="0" w:noVBand="1" w:val="04A0"/>
      </w:tblPr>
      <w:tblGrid>
        <w:gridCol w:w="3389"/>
        <w:gridCol w:w="3389"/>
        <w:gridCol w:w="3389"/>
      </w:tblGrid>
      <w:tr>
        <w:tc>
          <w:tcPr>
            <w:tcW w:type="dxa" w:w="1728"/>
            <w:shd w:fill="000000"/>
            <w:vAlign w:val="center"/>
          </w:tcPr>
          <w:p>
            <w:pPr>
              <w:pStyle w:val="TableText"/>
              <w:spacing w:after="0"/>
            </w:pPr>
            <w:r/>
            <w:r>
              <w:rPr>
                <w:rFonts w:ascii="Arial" w:hAnsi="Arial"/>
                <w:b/>
                <w:color w:val="FFFFFF"/>
                <w:sz w:val="15"/>
              </w:rPr>
              <w:t>Nivel</w:t>
            </w:r>
          </w:p>
        </w:tc>
        <w:tc>
          <w:tcPr>
            <w:tcW w:type="dxa" w:w="2592"/>
            <w:shd w:fill="000000"/>
            <w:vAlign w:val="center"/>
          </w:tcPr>
          <w:p>
            <w:pPr>
              <w:pStyle w:val="TableText"/>
              <w:spacing w:after="0"/>
            </w:pPr>
            <w:r/>
            <w:r>
              <w:rPr>
                <w:rFonts w:ascii="Arial" w:hAnsi="Arial"/>
                <w:b/>
                <w:color w:val="FFFFFF"/>
                <w:sz w:val="15"/>
              </w:rPr>
              <w:t>Uso</w:t>
            </w:r>
          </w:p>
        </w:tc>
        <w:tc>
          <w:tcPr>
            <w:tcW w:type="dxa" w:w="5760"/>
            <w:shd w:fill="000000"/>
            <w:vAlign w:val="center"/>
          </w:tcPr>
          <w:p>
            <w:pPr>
              <w:pStyle w:val="TableText"/>
              <w:spacing w:after="0"/>
            </w:pPr>
            <w:r/>
            <w:r>
              <w:rPr>
                <w:rFonts w:ascii="Arial" w:hAnsi="Arial"/>
                <w:b/>
                <w:color w:val="FFFFFF"/>
                <w:sz w:val="15"/>
              </w:rPr>
              <w:t>Contenido</w:t>
            </w:r>
          </w:p>
        </w:tc>
      </w:tr>
      <w:tr>
        <w:tc>
          <w:tcPr>
            <w:tcW w:type="dxa" w:w="1728"/>
            <w:vAlign w:val="center"/>
          </w:tcPr>
          <w:p>
            <w:pPr>
              <w:pStyle w:val="TableText"/>
              <w:spacing w:after="0"/>
            </w:pPr>
            <w:r/>
            <w:r>
              <w:rPr>
                <w:rFonts w:ascii="Arial" w:hAnsi="Arial"/>
                <w:b w:val="0"/>
                <w:sz w:val="14"/>
              </w:rPr>
              <w:t>G0 Esquemático</w:t>
            </w:r>
          </w:p>
        </w:tc>
        <w:tc>
          <w:tcPr>
            <w:tcW w:type="dxa" w:w="2592"/>
            <w:vAlign w:val="center"/>
          </w:tcPr>
          <w:p>
            <w:pPr>
              <w:pStyle w:val="TableText"/>
              <w:spacing w:after="0"/>
            </w:pPr>
            <w:r/>
            <w:r>
              <w:rPr>
                <w:rFonts w:ascii="Arial" w:hAnsi="Arial"/>
                <w:b w:val="0"/>
                <w:sz w:val="14"/>
              </w:rPr>
              <w:t>Configuración rápida</w:t>
            </w:r>
          </w:p>
        </w:tc>
        <w:tc>
          <w:tcPr>
            <w:tcW w:type="dxa" w:w="5760"/>
            <w:vAlign w:val="center"/>
          </w:tcPr>
          <w:p>
            <w:pPr>
              <w:pStyle w:val="TableText"/>
              <w:spacing w:after="0"/>
            </w:pPr>
            <w:r/>
            <w:r>
              <w:rPr>
                <w:rFonts w:ascii="Arial" w:hAnsi="Arial"/>
                <w:b w:val="0"/>
                <w:sz w:val="14"/>
              </w:rPr>
              <w:t>Ejes, envolventes y puntos de interfaz.</w:t>
            </w:r>
          </w:p>
        </w:tc>
      </w:tr>
      <w:tr>
        <w:tc>
          <w:tcPr>
            <w:tcW w:type="dxa" w:w="1728"/>
            <w:vAlign w:val="center"/>
          </w:tcPr>
          <w:p>
            <w:pPr>
              <w:pStyle w:val="TableText"/>
              <w:spacing w:after="0"/>
            </w:pPr>
            <w:r/>
            <w:r>
              <w:rPr>
                <w:rFonts w:ascii="Arial" w:hAnsi="Arial"/>
                <w:b w:val="0"/>
                <w:sz w:val="14"/>
              </w:rPr>
              <w:t>G1 Cálculo</w:t>
            </w:r>
          </w:p>
        </w:tc>
        <w:tc>
          <w:tcPr>
            <w:tcW w:type="dxa" w:w="2592"/>
            <w:vAlign w:val="center"/>
          </w:tcPr>
          <w:p>
            <w:pPr>
              <w:pStyle w:val="TableText"/>
              <w:spacing w:after="0"/>
            </w:pPr>
            <w:r/>
            <w:r>
              <w:rPr>
                <w:rFonts w:ascii="Arial" w:hAnsi="Arial"/>
                <w:b w:val="0"/>
                <w:sz w:val="14"/>
              </w:rPr>
              <w:t>Motor estructural</w:t>
            </w:r>
          </w:p>
        </w:tc>
        <w:tc>
          <w:tcPr>
            <w:tcW w:type="dxa" w:w="5760"/>
            <w:vAlign w:val="center"/>
          </w:tcPr>
          <w:p>
            <w:pPr>
              <w:pStyle w:val="TableText"/>
              <w:spacing w:after="0"/>
            </w:pPr>
            <w:r/>
            <w:r>
              <w:rPr>
                <w:rFonts w:ascii="Arial" w:hAnsi="Arial"/>
                <w:b w:val="0"/>
                <w:sz w:val="14"/>
              </w:rPr>
              <w:t>Secciones, offsets, masas y discontinuidades.</w:t>
            </w:r>
          </w:p>
        </w:tc>
      </w:tr>
      <w:tr>
        <w:tc>
          <w:tcPr>
            <w:tcW w:type="dxa" w:w="1728"/>
            <w:vAlign w:val="center"/>
          </w:tcPr>
          <w:p>
            <w:pPr>
              <w:pStyle w:val="TableText"/>
              <w:spacing w:after="0"/>
            </w:pPr>
            <w:r/>
            <w:r>
              <w:rPr>
                <w:rFonts w:ascii="Arial" w:hAnsi="Arial"/>
                <w:b w:val="0"/>
                <w:sz w:val="14"/>
              </w:rPr>
              <w:t>G2 Ingeniería</w:t>
            </w:r>
          </w:p>
        </w:tc>
        <w:tc>
          <w:tcPr>
            <w:tcW w:type="dxa" w:w="2592"/>
            <w:vAlign w:val="center"/>
          </w:tcPr>
          <w:p>
            <w:pPr>
              <w:pStyle w:val="TableText"/>
              <w:spacing w:after="0"/>
            </w:pPr>
            <w:r/>
            <w:r>
              <w:rPr>
                <w:rFonts w:ascii="Arial" w:hAnsi="Arial"/>
                <w:b w:val="0"/>
                <w:sz w:val="14"/>
              </w:rPr>
              <w:t>Revisión técnica</w:t>
            </w:r>
          </w:p>
        </w:tc>
        <w:tc>
          <w:tcPr>
            <w:tcW w:type="dxa" w:w="5760"/>
            <w:vAlign w:val="center"/>
          </w:tcPr>
          <w:p>
            <w:pPr>
              <w:pStyle w:val="TableText"/>
              <w:spacing w:after="0"/>
            </w:pPr>
            <w:r/>
            <w:r>
              <w:rPr>
                <w:rFonts w:ascii="Arial" w:hAnsi="Arial"/>
                <w:b w:val="0"/>
                <w:sz w:val="14"/>
              </w:rPr>
              <w:t>Sólidos nominales, huecos, refuerzos y uniones.</w:t>
            </w:r>
          </w:p>
        </w:tc>
      </w:tr>
      <w:tr>
        <w:tc>
          <w:tcPr>
            <w:tcW w:type="dxa" w:w="1728"/>
            <w:vAlign w:val="center"/>
          </w:tcPr>
          <w:p>
            <w:pPr>
              <w:pStyle w:val="TableText"/>
              <w:spacing w:after="0"/>
            </w:pPr>
            <w:r/>
            <w:r>
              <w:rPr>
                <w:rFonts w:ascii="Arial" w:hAnsi="Arial"/>
                <w:b w:val="0"/>
                <w:sz w:val="14"/>
              </w:rPr>
              <w:t>G3 Fabricación</w:t>
            </w:r>
          </w:p>
        </w:tc>
        <w:tc>
          <w:tcPr>
            <w:tcW w:type="dxa" w:w="2592"/>
            <w:vAlign w:val="center"/>
          </w:tcPr>
          <w:p>
            <w:pPr>
              <w:pStyle w:val="TableText"/>
              <w:spacing w:after="0"/>
            </w:pPr>
            <w:r/>
            <w:r>
              <w:rPr>
                <w:rFonts w:ascii="Arial" w:hAnsi="Arial"/>
                <w:b w:val="0"/>
                <w:sz w:val="14"/>
              </w:rPr>
              <w:t>Planos/CAM</w:t>
            </w:r>
          </w:p>
        </w:tc>
        <w:tc>
          <w:tcPr>
            <w:tcW w:type="dxa" w:w="5760"/>
            <w:vAlign w:val="center"/>
          </w:tcPr>
          <w:p>
            <w:pPr>
              <w:pStyle w:val="TableText"/>
              <w:spacing w:after="0"/>
            </w:pPr>
            <w:r/>
            <w:r>
              <w:rPr>
                <w:rFonts w:ascii="Arial" w:hAnsi="Arial"/>
                <w:b w:val="0"/>
                <w:sz w:val="14"/>
              </w:rPr>
              <w:t>Espesores, desarrollos, biseles, taladros y tolerancias.</w:t>
            </w:r>
          </w:p>
        </w:tc>
      </w:tr>
      <w:tr>
        <w:tc>
          <w:tcPr>
            <w:tcW w:type="dxa" w:w="1728"/>
            <w:vAlign w:val="center"/>
          </w:tcPr>
          <w:p>
            <w:pPr>
              <w:pStyle w:val="TableText"/>
              <w:spacing w:after="0"/>
            </w:pPr>
            <w:r/>
            <w:r>
              <w:rPr>
                <w:rFonts w:ascii="Arial" w:hAnsi="Arial"/>
                <w:b w:val="0"/>
                <w:sz w:val="14"/>
              </w:rPr>
              <w:t>G4 As-built</w:t>
            </w:r>
          </w:p>
        </w:tc>
        <w:tc>
          <w:tcPr>
            <w:tcW w:type="dxa" w:w="2592"/>
            <w:vAlign w:val="center"/>
          </w:tcPr>
          <w:p>
            <w:pPr>
              <w:pStyle w:val="TableText"/>
              <w:spacing w:after="0"/>
            </w:pPr>
            <w:r/>
            <w:r>
              <w:rPr>
                <w:rFonts w:ascii="Arial" w:hAnsi="Arial"/>
                <w:b w:val="0"/>
                <w:sz w:val="14"/>
              </w:rPr>
              <w:t>Calidad/servicio</w:t>
            </w:r>
          </w:p>
        </w:tc>
        <w:tc>
          <w:tcPr>
            <w:tcW w:type="dxa" w:w="5760"/>
            <w:vAlign w:val="center"/>
          </w:tcPr>
          <w:p>
            <w:pPr>
              <w:pStyle w:val="TableText"/>
              <w:spacing w:after="0"/>
            </w:pPr>
            <w:r/>
            <w:r>
              <w:rPr>
                <w:rFonts w:ascii="Arial" w:hAnsi="Arial"/>
                <w:b w:val="0"/>
                <w:sz w:val="14"/>
              </w:rPr>
              <w:t>Mediciones, desviaciones y serialización.</w:t>
            </w:r>
          </w:p>
        </w:tc>
      </w:tr>
    </w:tbl>
    <w:p>
      <w:pPr>
        <w:spacing w:after="20"/>
      </w:pPr>
    </w:p>
    <w:p>
      <w:pPr>
        <w:pStyle w:val="Heading2"/>
      </w:pPr>
      <w:r>
        <w:t>5.3 Sistemas de coordenadas</w:t>
      </w:r>
    </w:p>
    <w:p>
      <w:pPr>
        <w:pStyle w:val="ListBullet"/>
        <w:spacing w:after="30"/>
        <w:ind w:left="288" w:hanging="173"/>
      </w:pPr>
      <w:r>
        <w:t>Sistema global del proyecto.</w:t>
      </w:r>
    </w:p>
    <w:p>
      <w:pPr>
        <w:pStyle w:val="ListBullet"/>
        <w:spacing w:after="30"/>
        <w:ind w:left="288" w:hanging="173"/>
      </w:pPr>
      <w:r>
        <w:t>Sistema del producto con Z vertical nominal.</w:t>
      </w:r>
    </w:p>
    <w:p>
      <w:pPr>
        <w:pStyle w:val="ListBullet"/>
        <w:spacing w:after="30"/>
        <w:ind w:left="288" w:hanging="173"/>
      </w:pPr>
      <w:r>
        <w:t>Sistema local por tramo y pieza.</w:t>
      </w:r>
    </w:p>
    <w:p>
      <w:pPr>
        <w:pStyle w:val="ListBullet"/>
        <w:spacing w:after="30"/>
        <w:ind w:left="288" w:hanging="173"/>
      </w:pPr>
      <w:r>
        <w:t>Sistema de fabricación y desarrollo.</w:t>
      </w:r>
    </w:p>
    <w:p>
      <w:pPr>
        <w:pStyle w:val="ListBullet"/>
        <w:spacing w:after="30"/>
        <w:ind w:left="288" w:hanging="173"/>
      </w:pPr>
      <w:r>
        <w:t>Sistema de montaje en obra.</w:t>
      </w:r>
    </w:p>
    <w:p>
      <w:pPr>
        <w:pStyle w:val="ListBullet"/>
        <w:spacing w:after="30"/>
        <w:ind w:left="288" w:hanging="173"/>
      </w:pPr>
      <w:r>
        <w:t>Sistema angular común para puerta, costuras, brazos, pernos y cables.</w:t>
      </w:r>
    </w:p>
    <w:p>
      <w:pPr>
        <w:pStyle w:val="Heading2"/>
      </w:pPr>
      <w:r>
        <w:t>5.4 Tolerancia geométrica</w:t>
      </w:r>
    </w:p>
    <w:p>
      <w:r>
        <w:t>Se mantendrán separadas la tolerancia numérica del kernel, la tolerancia nominal de diseño y la tolerancia de fabricación. Las booleanas y exportaciones deberán ejecutarse con tolerancias controladas. Se bloquearán sólidos no manifold, caras degeneradas, aristas abiertas, auto-intersecciones o volúmenes negativos.</w:t>
      </w:r>
    </w:p>
    <w:p>
      <w:pPr>
        <w:pStyle w:val="Heading1"/>
      </w:pPr>
      <w:r>
        <w:t>6. Generación paramétrica por familia</w:t>
      </w:r>
    </w:p>
    <w:p>
      <w:pPr>
        <w:pStyle w:val="Heading2"/>
      </w:pPr>
      <w:r>
        <w:t>6.1 Fustes metálicos</w:t>
      </w:r>
    </w:p>
    <w:p>
      <w:pPr>
        <w:pStyle w:val="ListBullet"/>
        <w:spacing w:after="30"/>
        <w:ind w:left="288" w:hanging="173"/>
      </w:pPr>
      <w:r>
        <w:t>Cilíndricos y troncocónicos circulares.</w:t>
      </w:r>
    </w:p>
    <w:p>
      <w:pPr>
        <w:pStyle w:val="ListBullet"/>
        <w:spacing w:after="30"/>
        <w:ind w:left="288" w:hanging="173"/>
      </w:pPr>
      <w:r>
        <w:t>Poligonales de número de caras configurable.</w:t>
      </w:r>
    </w:p>
    <w:p>
      <w:pPr>
        <w:pStyle w:val="ListBullet"/>
        <w:spacing w:after="30"/>
        <w:ind w:left="288" w:hanging="173"/>
      </w:pPr>
      <w:r>
        <w:t>Plegados con líneas, radios y secuencia de plegado.</w:t>
      </w:r>
    </w:p>
    <w:p>
      <w:pPr>
        <w:pStyle w:val="ListBullet"/>
        <w:spacing w:after="30"/>
        <w:ind w:left="288" w:hanging="173"/>
      </w:pPr>
      <w:r>
        <w:t>Escalonados por estaciones y transiciones.</w:t>
      </w:r>
    </w:p>
    <w:p>
      <w:pPr>
        <w:pStyle w:val="ListBullet"/>
        <w:spacing w:after="30"/>
        <w:ind w:left="288" w:hanging="173"/>
      </w:pPr>
      <w:r>
        <w:t>Segmentados con interfaces de Fase 9.</w:t>
      </w:r>
    </w:p>
    <w:p>
      <w:pPr>
        <w:pStyle w:val="ListBullet"/>
        <w:spacing w:after="30"/>
        <w:ind w:left="288" w:hanging="173"/>
      </w:pPr>
      <w:r>
        <w:t>Huecos, puerta, refuerzos, soporte interior, drenajes y entradas de cable.</w:t>
      </w:r>
    </w:p>
    <w:p>
      <w:pPr>
        <w:pStyle w:val="Heading2"/>
      </w:pPr>
      <w:r>
        <w:t>6.2 Aluminio extrusionado</w:t>
      </w:r>
    </w:p>
    <w:p>
      <w:r>
        <w:t>Los perfiles se construirán desde una sección maestra versionada. Se conservarán identificación de matriz, aleación, temple, dirección de extrusión, cavidades, espesores y zonas mecanizables. Los mecanizados se definirán como features dependientes y no como sólidos desconectados.</w:t>
      </w:r>
    </w:p>
    <w:p>
      <w:pPr>
        <w:pStyle w:val="Heading2"/>
      </w:pPr>
      <w:r>
        <w:t>6.3 Hormigón pretensado centrifugado</w:t>
      </w:r>
    </w:p>
    <w:p>
      <w:r>
        <w:t>El modelo incluirá superficie exterior e interior, conicidad, cabezales, insertos, pasos, puntos de izado y representación de elementos activos. Se distinguirá geometría nominal de molde, geometría de cálculo y as-built. El CAD no sustituirá el modelo por fibras del cálculo, pero mantendrá correspondencia de estaciones.</w:t>
      </w:r>
    </w:p>
    <w:p>
      <w:pPr>
        <w:pStyle w:val="Heading2"/>
      </w:pPr>
      <w:r>
        <w:t>6.4 Brazos y accesorios</w:t>
      </w:r>
    </w:p>
    <w:p>
      <w:r>
        <w:t>Brazos rectos, curvos, plegados o soldados se modelarán con interfaces normalizadas. Luminarias y accesorios podrán usar modelos simplificados o detallados, siempre con masa, centro de gravedad, envolvente, interfaz y área proyectada coherentes.</w:t>
      </w:r>
    </w:p>
    <w:p>
      <w:pPr>
        <w:pStyle w:val="Heading1"/>
      </w:pPr>
      <w:r>
        <w:t>7. Chapa, desarrollos y DXF</w:t>
      </w:r>
    </w:p>
    <w:p>
      <w:pPr>
        <w:pStyle w:val="Heading2"/>
      </w:pPr>
      <w:r>
        <w:t>7.1 Desarrollo de fustes</w:t>
      </w:r>
    </w:p>
    <w:p>
      <w:r>
        <w:t>El sistema calculará desarrollos de cilindros, troncos de cono y secciones poligonales plegadas. Para cada pieza producirá contorno, líneas de plegado, marcas, taladros, ranuras, biseles y referencias. La fórmula analítica se contrastará con el desarrollo geométrico del kernel.</w:t>
      </w:r>
    </w:p>
    <w:p>
      <w:pPr>
        <w:pStyle w:val="Heading2"/>
      </w:pPr>
      <w:r>
        <w:t>7.2 Compensación de plegado</w:t>
      </w:r>
    </w:p>
    <w:p>
      <w:r>
        <w:t>Los desarrollos de chapa incorporarán radio interior, K-factor o tabla de doblado, recuperación elástica, orientación de laminación y proceso. Los parámetros procederán de biblioteca por material, espesor, herramienta y planta. No se permitirá usar un K-factor genérico en piezas liberadas sin validación.</w:t>
      </w:r>
    </w:p>
    <w:p>
      <w:pPr>
        <w:pStyle w:val="Heading2"/>
      </w:pPr>
      <w:r>
        <w:t>7.3 Convención DXF</w:t>
      </w:r>
    </w:p>
    <w:tbl>
      <w:tblPr>
        <w:tblStyle w:val="TableGrid"/>
        <w:tblW w:type="auto" w:w="0"/>
        <w:jc w:val="center"/>
        <w:tblLook w:firstColumn="1" w:firstRow="1" w:lastColumn="0" w:lastRow="0" w:noHBand="0" w:noVBand="1" w:val="04A0"/>
      </w:tblPr>
      <w:tblGrid>
        <w:gridCol w:w="3389"/>
        <w:gridCol w:w="3389"/>
        <w:gridCol w:w="3389"/>
      </w:tblGrid>
      <w:tr>
        <w:tc>
          <w:tcPr>
            <w:tcW w:type="dxa" w:w="1872"/>
            <w:shd w:fill="000000"/>
            <w:vAlign w:val="center"/>
          </w:tcPr>
          <w:p>
            <w:pPr>
              <w:pStyle w:val="TableText"/>
              <w:spacing w:after="0"/>
            </w:pPr>
            <w:r/>
            <w:r>
              <w:rPr>
                <w:rFonts w:ascii="Arial" w:hAnsi="Arial"/>
                <w:b/>
                <w:color w:val="FFFFFF"/>
                <w:sz w:val="15"/>
              </w:rPr>
              <w:t>Capa</w:t>
            </w:r>
          </w:p>
        </w:tc>
        <w:tc>
          <w:tcPr>
            <w:tcW w:type="dxa" w:w="3168"/>
            <w:shd w:fill="000000"/>
            <w:vAlign w:val="center"/>
          </w:tcPr>
          <w:p>
            <w:pPr>
              <w:pStyle w:val="TableText"/>
              <w:spacing w:after="0"/>
            </w:pPr>
            <w:r/>
            <w:r>
              <w:rPr>
                <w:rFonts w:ascii="Arial" w:hAnsi="Arial"/>
                <w:b/>
                <w:color w:val="FFFFFF"/>
                <w:sz w:val="15"/>
              </w:rPr>
              <w:t>Contenido</w:t>
            </w:r>
          </w:p>
        </w:tc>
        <w:tc>
          <w:tcPr>
            <w:tcW w:type="dxa" w:w="5040"/>
            <w:shd w:fill="000000"/>
            <w:vAlign w:val="center"/>
          </w:tcPr>
          <w:p>
            <w:pPr>
              <w:pStyle w:val="TableText"/>
              <w:spacing w:after="0"/>
            </w:pPr>
            <w:r/>
            <w:r>
              <w:rPr>
                <w:rFonts w:ascii="Arial" w:hAnsi="Arial"/>
                <w:b/>
                <w:color w:val="FFFFFF"/>
                <w:sz w:val="15"/>
              </w:rPr>
              <w:t>Regla</w:t>
            </w:r>
          </w:p>
        </w:tc>
      </w:tr>
      <w:tr>
        <w:tc>
          <w:tcPr>
            <w:tcW w:type="dxa" w:w="1872"/>
            <w:vAlign w:val="center"/>
          </w:tcPr>
          <w:p>
            <w:pPr>
              <w:pStyle w:val="TableText"/>
              <w:spacing w:after="0"/>
            </w:pPr>
            <w:r/>
            <w:r>
              <w:rPr>
                <w:rFonts w:ascii="Arial" w:hAnsi="Arial"/>
                <w:b w:val="0"/>
                <w:sz w:val="14"/>
              </w:rPr>
              <w:t>CUT_OUTER</w:t>
            </w:r>
          </w:p>
        </w:tc>
        <w:tc>
          <w:tcPr>
            <w:tcW w:type="dxa" w:w="3168"/>
            <w:vAlign w:val="center"/>
          </w:tcPr>
          <w:p>
            <w:pPr>
              <w:pStyle w:val="TableText"/>
              <w:spacing w:after="0"/>
            </w:pPr>
            <w:r/>
            <w:r>
              <w:rPr>
                <w:rFonts w:ascii="Arial" w:hAnsi="Arial"/>
                <w:b w:val="0"/>
                <w:sz w:val="14"/>
              </w:rPr>
              <w:t>Corte exterior</w:t>
            </w:r>
          </w:p>
        </w:tc>
        <w:tc>
          <w:tcPr>
            <w:tcW w:type="dxa" w:w="5040"/>
            <w:vAlign w:val="center"/>
          </w:tcPr>
          <w:p>
            <w:pPr>
              <w:pStyle w:val="TableText"/>
              <w:spacing w:after="0"/>
            </w:pPr>
            <w:r/>
            <w:r>
              <w:rPr>
                <w:rFonts w:ascii="Arial" w:hAnsi="Arial"/>
                <w:b w:val="0"/>
                <w:sz w:val="14"/>
              </w:rPr>
              <w:t>Contorno cerrado, sin duplicados.</w:t>
            </w:r>
          </w:p>
        </w:tc>
      </w:tr>
      <w:tr>
        <w:tc>
          <w:tcPr>
            <w:tcW w:type="dxa" w:w="1872"/>
            <w:vAlign w:val="center"/>
          </w:tcPr>
          <w:p>
            <w:pPr>
              <w:pStyle w:val="TableText"/>
              <w:spacing w:after="0"/>
            </w:pPr>
            <w:r/>
            <w:r>
              <w:rPr>
                <w:rFonts w:ascii="Arial" w:hAnsi="Arial"/>
                <w:b w:val="0"/>
                <w:sz w:val="14"/>
              </w:rPr>
              <w:t>CUT_INNER</w:t>
            </w:r>
          </w:p>
        </w:tc>
        <w:tc>
          <w:tcPr>
            <w:tcW w:type="dxa" w:w="3168"/>
            <w:vAlign w:val="center"/>
          </w:tcPr>
          <w:p>
            <w:pPr>
              <w:pStyle w:val="TableText"/>
              <w:spacing w:after="0"/>
            </w:pPr>
            <w:r/>
            <w:r>
              <w:rPr>
                <w:rFonts w:ascii="Arial" w:hAnsi="Arial"/>
                <w:b w:val="0"/>
                <w:sz w:val="14"/>
              </w:rPr>
              <w:t>Huecos y taladros</w:t>
            </w:r>
          </w:p>
        </w:tc>
        <w:tc>
          <w:tcPr>
            <w:tcW w:type="dxa" w:w="5040"/>
            <w:vAlign w:val="center"/>
          </w:tcPr>
          <w:p>
            <w:pPr>
              <w:pStyle w:val="TableText"/>
              <w:spacing w:after="0"/>
            </w:pPr>
            <w:r/>
            <w:r>
              <w:rPr>
                <w:rFonts w:ascii="Arial" w:hAnsi="Arial"/>
                <w:b w:val="0"/>
                <w:sz w:val="14"/>
              </w:rPr>
              <w:t>Contornos cerrados.</w:t>
            </w:r>
          </w:p>
        </w:tc>
      </w:tr>
      <w:tr>
        <w:tc>
          <w:tcPr>
            <w:tcW w:type="dxa" w:w="1872"/>
            <w:vAlign w:val="center"/>
          </w:tcPr>
          <w:p>
            <w:pPr>
              <w:pStyle w:val="TableText"/>
              <w:spacing w:after="0"/>
            </w:pPr>
            <w:r/>
            <w:r>
              <w:rPr>
                <w:rFonts w:ascii="Arial" w:hAnsi="Arial"/>
                <w:b w:val="0"/>
                <w:sz w:val="14"/>
              </w:rPr>
              <w:t>BEND_UP</w:t>
            </w:r>
          </w:p>
        </w:tc>
        <w:tc>
          <w:tcPr>
            <w:tcW w:type="dxa" w:w="3168"/>
            <w:vAlign w:val="center"/>
          </w:tcPr>
          <w:p>
            <w:pPr>
              <w:pStyle w:val="TableText"/>
              <w:spacing w:after="0"/>
            </w:pPr>
            <w:r/>
            <w:r>
              <w:rPr>
                <w:rFonts w:ascii="Arial" w:hAnsi="Arial"/>
                <w:b w:val="0"/>
                <w:sz w:val="14"/>
              </w:rPr>
              <w:t>Plegado positivo</w:t>
            </w:r>
          </w:p>
        </w:tc>
        <w:tc>
          <w:tcPr>
            <w:tcW w:type="dxa" w:w="5040"/>
            <w:vAlign w:val="center"/>
          </w:tcPr>
          <w:p>
            <w:pPr>
              <w:pStyle w:val="TableText"/>
              <w:spacing w:after="0"/>
            </w:pPr>
            <w:r/>
            <w:r>
              <w:rPr>
                <w:rFonts w:ascii="Arial" w:hAnsi="Arial"/>
                <w:b w:val="0"/>
                <w:sz w:val="14"/>
              </w:rPr>
              <w:t>Tipo de línea definido.</w:t>
            </w:r>
          </w:p>
        </w:tc>
      </w:tr>
      <w:tr>
        <w:tc>
          <w:tcPr>
            <w:tcW w:type="dxa" w:w="1872"/>
            <w:vAlign w:val="center"/>
          </w:tcPr>
          <w:p>
            <w:pPr>
              <w:pStyle w:val="TableText"/>
              <w:spacing w:after="0"/>
            </w:pPr>
            <w:r/>
            <w:r>
              <w:rPr>
                <w:rFonts w:ascii="Arial" w:hAnsi="Arial"/>
                <w:b w:val="0"/>
                <w:sz w:val="14"/>
              </w:rPr>
              <w:t>BEND_DOWN</w:t>
            </w:r>
          </w:p>
        </w:tc>
        <w:tc>
          <w:tcPr>
            <w:tcW w:type="dxa" w:w="3168"/>
            <w:vAlign w:val="center"/>
          </w:tcPr>
          <w:p>
            <w:pPr>
              <w:pStyle w:val="TableText"/>
              <w:spacing w:after="0"/>
            </w:pPr>
            <w:r/>
            <w:r>
              <w:rPr>
                <w:rFonts w:ascii="Arial" w:hAnsi="Arial"/>
                <w:b w:val="0"/>
                <w:sz w:val="14"/>
              </w:rPr>
              <w:t>Plegado negativo</w:t>
            </w:r>
          </w:p>
        </w:tc>
        <w:tc>
          <w:tcPr>
            <w:tcW w:type="dxa" w:w="5040"/>
            <w:vAlign w:val="center"/>
          </w:tcPr>
          <w:p>
            <w:pPr>
              <w:pStyle w:val="TableText"/>
              <w:spacing w:after="0"/>
            </w:pPr>
            <w:r/>
            <w:r>
              <w:rPr>
                <w:rFonts w:ascii="Arial" w:hAnsi="Arial"/>
                <w:b w:val="0"/>
                <w:sz w:val="14"/>
              </w:rPr>
              <w:t>Tipo de línea definido.</w:t>
            </w:r>
          </w:p>
        </w:tc>
      </w:tr>
      <w:tr>
        <w:tc>
          <w:tcPr>
            <w:tcW w:type="dxa" w:w="1872"/>
            <w:vAlign w:val="center"/>
          </w:tcPr>
          <w:p>
            <w:pPr>
              <w:pStyle w:val="TableText"/>
              <w:spacing w:after="0"/>
            </w:pPr>
            <w:r/>
            <w:r>
              <w:rPr>
                <w:rFonts w:ascii="Arial" w:hAnsi="Arial"/>
                <w:b w:val="0"/>
                <w:sz w:val="14"/>
              </w:rPr>
              <w:t>ETCH</w:t>
            </w:r>
          </w:p>
        </w:tc>
        <w:tc>
          <w:tcPr>
            <w:tcW w:type="dxa" w:w="3168"/>
            <w:vAlign w:val="center"/>
          </w:tcPr>
          <w:p>
            <w:pPr>
              <w:pStyle w:val="TableText"/>
              <w:spacing w:after="0"/>
            </w:pPr>
            <w:r/>
            <w:r>
              <w:rPr>
                <w:rFonts w:ascii="Arial" w:hAnsi="Arial"/>
                <w:b w:val="0"/>
                <w:sz w:val="14"/>
              </w:rPr>
              <w:t>Marcado</w:t>
            </w:r>
          </w:p>
        </w:tc>
        <w:tc>
          <w:tcPr>
            <w:tcW w:type="dxa" w:w="5040"/>
            <w:vAlign w:val="center"/>
          </w:tcPr>
          <w:p>
            <w:pPr>
              <w:pStyle w:val="TableText"/>
              <w:spacing w:after="0"/>
            </w:pPr>
            <w:r/>
            <w:r>
              <w:rPr>
                <w:rFonts w:ascii="Arial" w:hAnsi="Arial"/>
                <w:b w:val="0"/>
                <w:sz w:val="14"/>
              </w:rPr>
              <w:t>No estructural.</w:t>
            </w:r>
          </w:p>
        </w:tc>
      </w:tr>
      <w:tr>
        <w:tc>
          <w:tcPr>
            <w:tcW w:type="dxa" w:w="1872"/>
            <w:vAlign w:val="center"/>
          </w:tcPr>
          <w:p>
            <w:pPr>
              <w:pStyle w:val="TableText"/>
              <w:spacing w:after="0"/>
            </w:pPr>
            <w:r/>
            <w:r>
              <w:rPr>
                <w:rFonts w:ascii="Arial" w:hAnsi="Arial"/>
                <w:b w:val="0"/>
                <w:sz w:val="14"/>
              </w:rPr>
              <w:t>CENTER</w:t>
            </w:r>
          </w:p>
        </w:tc>
        <w:tc>
          <w:tcPr>
            <w:tcW w:type="dxa" w:w="3168"/>
            <w:vAlign w:val="center"/>
          </w:tcPr>
          <w:p>
            <w:pPr>
              <w:pStyle w:val="TableText"/>
              <w:spacing w:after="0"/>
            </w:pPr>
            <w:r/>
            <w:r>
              <w:rPr>
                <w:rFonts w:ascii="Arial" w:hAnsi="Arial"/>
                <w:b w:val="0"/>
                <w:sz w:val="14"/>
              </w:rPr>
              <w:t>Ejes y centros</w:t>
            </w:r>
          </w:p>
        </w:tc>
        <w:tc>
          <w:tcPr>
            <w:tcW w:type="dxa" w:w="5040"/>
            <w:vAlign w:val="center"/>
          </w:tcPr>
          <w:p>
            <w:pPr>
              <w:pStyle w:val="TableText"/>
              <w:spacing w:after="0"/>
            </w:pPr>
            <w:r/>
            <w:r>
              <w:rPr>
                <w:rFonts w:ascii="Arial" w:hAnsi="Arial"/>
                <w:b w:val="0"/>
                <w:sz w:val="14"/>
              </w:rPr>
              <w:t>No mecanizar.</w:t>
            </w:r>
          </w:p>
        </w:tc>
      </w:tr>
      <w:tr>
        <w:tc>
          <w:tcPr>
            <w:tcW w:type="dxa" w:w="1872"/>
            <w:vAlign w:val="center"/>
          </w:tcPr>
          <w:p>
            <w:pPr>
              <w:pStyle w:val="TableText"/>
              <w:spacing w:after="0"/>
            </w:pPr>
            <w:r/>
            <w:r>
              <w:rPr>
                <w:rFonts w:ascii="Arial" w:hAnsi="Arial"/>
                <w:b w:val="0"/>
                <w:sz w:val="14"/>
              </w:rPr>
              <w:t>BEVEL</w:t>
            </w:r>
          </w:p>
        </w:tc>
        <w:tc>
          <w:tcPr>
            <w:tcW w:type="dxa" w:w="3168"/>
            <w:vAlign w:val="center"/>
          </w:tcPr>
          <w:p>
            <w:pPr>
              <w:pStyle w:val="TableText"/>
              <w:spacing w:after="0"/>
            </w:pPr>
            <w:r/>
            <w:r>
              <w:rPr>
                <w:rFonts w:ascii="Arial" w:hAnsi="Arial"/>
                <w:b w:val="0"/>
                <w:sz w:val="14"/>
              </w:rPr>
              <w:t>Preparación de borde</w:t>
            </w:r>
          </w:p>
        </w:tc>
        <w:tc>
          <w:tcPr>
            <w:tcW w:type="dxa" w:w="5040"/>
            <w:vAlign w:val="center"/>
          </w:tcPr>
          <w:p>
            <w:pPr>
              <w:pStyle w:val="TableText"/>
              <w:spacing w:after="0"/>
            </w:pPr>
            <w:r/>
            <w:r>
              <w:rPr>
                <w:rFonts w:ascii="Arial" w:hAnsi="Arial"/>
                <w:b w:val="0"/>
                <w:sz w:val="14"/>
              </w:rPr>
              <w:t>Parámetros asociados.</w:t>
            </w:r>
          </w:p>
        </w:tc>
      </w:tr>
      <w:tr>
        <w:tc>
          <w:tcPr>
            <w:tcW w:type="dxa" w:w="1872"/>
            <w:vAlign w:val="center"/>
          </w:tcPr>
          <w:p>
            <w:pPr>
              <w:pStyle w:val="TableText"/>
              <w:spacing w:after="0"/>
            </w:pPr>
            <w:r/>
            <w:r>
              <w:rPr>
                <w:rFonts w:ascii="Arial" w:hAnsi="Arial"/>
                <w:b w:val="0"/>
                <w:sz w:val="14"/>
              </w:rPr>
              <w:t>NO_CUT</w:t>
            </w:r>
          </w:p>
        </w:tc>
        <w:tc>
          <w:tcPr>
            <w:tcW w:type="dxa" w:w="3168"/>
            <w:vAlign w:val="center"/>
          </w:tcPr>
          <w:p>
            <w:pPr>
              <w:pStyle w:val="TableText"/>
              <w:spacing w:after="0"/>
            </w:pPr>
            <w:r/>
            <w:r>
              <w:rPr>
                <w:rFonts w:ascii="Arial" w:hAnsi="Arial"/>
                <w:b w:val="0"/>
                <w:sz w:val="14"/>
              </w:rPr>
              <w:t>Información</w:t>
            </w:r>
          </w:p>
        </w:tc>
        <w:tc>
          <w:tcPr>
            <w:tcW w:type="dxa" w:w="5040"/>
            <w:vAlign w:val="center"/>
          </w:tcPr>
          <w:p>
            <w:pPr>
              <w:pStyle w:val="TableText"/>
              <w:spacing w:after="0"/>
            </w:pPr>
            <w:r/>
            <w:r>
              <w:rPr>
                <w:rFonts w:ascii="Arial" w:hAnsi="Arial"/>
                <w:b w:val="0"/>
                <w:sz w:val="14"/>
              </w:rPr>
              <w:t>Ignorada por CAM.</w:t>
            </w:r>
          </w:p>
        </w:tc>
      </w:tr>
    </w:tbl>
    <w:p>
      <w:pPr>
        <w:spacing w:after="20"/>
      </w:pPr>
    </w:p>
    <w:p>
      <w:pPr>
        <w:pStyle w:val="Heading2"/>
      </w:pPr>
      <w:r>
        <w:t>7.4 Nesting</w:t>
      </w:r>
    </w:p>
    <w:p>
      <w:r>
        <w:t>La primera versión podrá calcular consumo y aprovechamiento mediante rectángulos o polígonos, pero el nesting productivo se realizará con un motor homologado o integración CAM. Se almacenarán formato de chapa, margen, separación, sentido de laminación, remanente y rendimiento.</w:t>
      </w:r>
    </w:p>
    <w:p>
      <w:pPr>
        <w:pStyle w:val="Heading1"/>
      </w:pPr>
      <w:r>
        <w:t>8. SolidWorks y formatos de intercambio</w:t>
      </w:r>
    </w:p>
    <w:p>
      <w:pPr>
        <w:pStyle w:val="Heading2"/>
      </w:pPr>
      <w:r>
        <w:t>8.1 STEP AP242</w:t>
      </w:r>
    </w:p>
    <w:p>
      <w:r>
        <w:t>STEP AP242 será el formato neutro principal. Debe conservar ensamblaje, nombres, colores funcionales, propiedades, unidades y, cuando sea viable, PMI. Se exportará con sistema de coordenadas estable y control de tolerancias.</w:t>
      </w:r>
    </w:p>
    <w:p>
      <w:pPr>
        <w:pStyle w:val="Heading2"/>
      </w:pPr>
      <w:r>
        <w:t>8.2 Integración SolidWorks</w:t>
      </w:r>
    </w:p>
    <w:p>
      <w:r>
        <w:t>La integración nativa se planteará mediante API oficial en un agente Windows controlado. Generará SLDPRT/SLDASM/SLDDRW desde parámetros o importará STEP y aplicará metadatos. La app web no fingirá producir historial de operaciones editable si no existe una integración real. Los archivos nativos se considerarán derivados y deberán llevar hash del modelo canónico.</w:t>
      </w:r>
    </w:p>
    <w:p>
      <w:pPr>
        <w:pStyle w:val="Heading2"/>
      </w:pPr>
      <w:r>
        <w:t>8.3 Política de formatos</w:t>
      </w:r>
    </w:p>
    <w:tbl>
      <w:tblPr>
        <w:tblStyle w:val="TableGrid"/>
        <w:tblW w:type="auto" w:w="0"/>
        <w:jc w:val="center"/>
        <w:tblLook w:firstColumn="1" w:firstRow="1" w:lastColumn="0" w:lastRow="0" w:noHBand="0" w:noVBand="1" w:val="04A0"/>
      </w:tblPr>
      <w:tblGrid>
        <w:gridCol w:w="3389"/>
        <w:gridCol w:w="3389"/>
        <w:gridCol w:w="3389"/>
      </w:tblGrid>
      <w:tr>
        <w:tc>
          <w:tcPr>
            <w:tcW w:type="dxa" w:w="2016"/>
            <w:shd w:fill="000000"/>
            <w:vAlign w:val="center"/>
          </w:tcPr>
          <w:p>
            <w:pPr>
              <w:pStyle w:val="TableText"/>
              <w:spacing w:after="0"/>
            </w:pPr>
            <w:r/>
            <w:r>
              <w:rPr>
                <w:rFonts w:ascii="Arial" w:hAnsi="Arial"/>
                <w:b/>
                <w:color w:val="FFFFFF"/>
                <w:sz w:val="15"/>
              </w:rPr>
              <w:t>Formato</w:t>
            </w:r>
          </w:p>
        </w:tc>
        <w:tc>
          <w:tcPr>
            <w:tcW w:type="dxa" w:w="4320"/>
            <w:shd w:fill="000000"/>
            <w:vAlign w:val="center"/>
          </w:tcPr>
          <w:p>
            <w:pPr>
              <w:pStyle w:val="TableText"/>
              <w:spacing w:after="0"/>
            </w:pPr>
            <w:r/>
            <w:r>
              <w:rPr>
                <w:rFonts w:ascii="Arial" w:hAnsi="Arial"/>
                <w:b/>
                <w:color w:val="FFFFFF"/>
                <w:sz w:val="15"/>
              </w:rPr>
              <w:t>Uso</w:t>
            </w:r>
          </w:p>
        </w:tc>
        <w:tc>
          <w:tcPr>
            <w:tcW w:type="dxa" w:w="2304"/>
            <w:shd w:fill="000000"/>
            <w:vAlign w:val="center"/>
          </w:tcPr>
          <w:p>
            <w:pPr>
              <w:pStyle w:val="TableText"/>
              <w:spacing w:after="0"/>
            </w:pPr>
            <w:r/>
            <w:r>
              <w:rPr>
                <w:rFonts w:ascii="Arial" w:hAnsi="Arial"/>
                <w:b/>
                <w:color w:val="FFFFFF"/>
                <w:sz w:val="15"/>
              </w:rPr>
              <w:t>Estado</w:t>
            </w:r>
          </w:p>
        </w:tc>
      </w:tr>
      <w:tr>
        <w:tc>
          <w:tcPr>
            <w:tcW w:type="dxa" w:w="2016"/>
            <w:vAlign w:val="center"/>
          </w:tcPr>
          <w:p>
            <w:pPr>
              <w:pStyle w:val="TableText"/>
              <w:spacing w:after="0"/>
            </w:pPr>
            <w:r/>
            <w:r>
              <w:rPr>
                <w:rFonts w:ascii="Arial" w:hAnsi="Arial"/>
                <w:b w:val="0"/>
                <w:sz w:val="14"/>
              </w:rPr>
              <w:t>STEP AP242</w:t>
            </w:r>
          </w:p>
        </w:tc>
        <w:tc>
          <w:tcPr>
            <w:tcW w:type="dxa" w:w="4320"/>
            <w:vAlign w:val="center"/>
          </w:tcPr>
          <w:p>
            <w:pPr>
              <w:pStyle w:val="TableText"/>
              <w:spacing w:after="0"/>
            </w:pPr>
            <w:r/>
            <w:r>
              <w:rPr>
                <w:rFonts w:ascii="Arial" w:hAnsi="Arial"/>
                <w:b w:val="0"/>
                <w:sz w:val="14"/>
              </w:rPr>
              <w:t>Intercambio 3D oficial</w:t>
            </w:r>
          </w:p>
        </w:tc>
        <w:tc>
          <w:tcPr>
            <w:tcW w:type="dxa" w:w="2304"/>
            <w:vAlign w:val="center"/>
          </w:tcPr>
          <w:p>
            <w:pPr>
              <w:pStyle w:val="TableText"/>
              <w:spacing w:after="0"/>
            </w:pPr>
            <w:r/>
            <w:r>
              <w:rPr>
                <w:rFonts w:ascii="Arial" w:hAnsi="Arial"/>
                <w:b w:val="0"/>
                <w:sz w:val="14"/>
              </w:rPr>
              <w:t>Obligatorio</w:t>
            </w:r>
          </w:p>
        </w:tc>
      </w:tr>
      <w:tr>
        <w:tc>
          <w:tcPr>
            <w:tcW w:type="dxa" w:w="2016"/>
            <w:vAlign w:val="center"/>
          </w:tcPr>
          <w:p>
            <w:pPr>
              <w:pStyle w:val="TableText"/>
              <w:spacing w:after="0"/>
            </w:pPr>
            <w:r/>
            <w:r>
              <w:rPr>
                <w:rFonts w:ascii="Arial" w:hAnsi="Arial"/>
                <w:b w:val="0"/>
                <w:sz w:val="14"/>
              </w:rPr>
              <w:t>DXF</w:t>
            </w:r>
          </w:p>
        </w:tc>
        <w:tc>
          <w:tcPr>
            <w:tcW w:type="dxa" w:w="4320"/>
            <w:vAlign w:val="center"/>
          </w:tcPr>
          <w:p>
            <w:pPr>
              <w:pStyle w:val="TableText"/>
              <w:spacing w:after="0"/>
            </w:pPr>
            <w:r/>
            <w:r>
              <w:rPr>
                <w:rFonts w:ascii="Arial" w:hAnsi="Arial"/>
                <w:b w:val="0"/>
                <w:sz w:val="14"/>
              </w:rPr>
              <w:t>Corte, plegado y plantillas</w:t>
            </w:r>
          </w:p>
        </w:tc>
        <w:tc>
          <w:tcPr>
            <w:tcW w:type="dxa" w:w="2304"/>
            <w:vAlign w:val="center"/>
          </w:tcPr>
          <w:p>
            <w:pPr>
              <w:pStyle w:val="TableText"/>
              <w:spacing w:after="0"/>
            </w:pPr>
            <w:r/>
            <w:r>
              <w:rPr>
                <w:rFonts w:ascii="Arial" w:hAnsi="Arial"/>
                <w:b w:val="0"/>
                <w:sz w:val="14"/>
              </w:rPr>
              <w:t>Obligatorio</w:t>
            </w:r>
          </w:p>
        </w:tc>
      </w:tr>
      <w:tr>
        <w:tc>
          <w:tcPr>
            <w:tcW w:type="dxa" w:w="2016"/>
            <w:vAlign w:val="center"/>
          </w:tcPr>
          <w:p>
            <w:pPr>
              <w:pStyle w:val="TableText"/>
              <w:spacing w:after="0"/>
            </w:pPr>
            <w:r/>
            <w:r>
              <w:rPr>
                <w:rFonts w:ascii="Arial" w:hAnsi="Arial"/>
                <w:b w:val="0"/>
                <w:sz w:val="14"/>
              </w:rPr>
              <w:t>PDF</w:t>
            </w:r>
          </w:p>
        </w:tc>
        <w:tc>
          <w:tcPr>
            <w:tcW w:type="dxa" w:w="4320"/>
            <w:vAlign w:val="center"/>
          </w:tcPr>
          <w:p>
            <w:pPr>
              <w:pStyle w:val="TableText"/>
              <w:spacing w:after="0"/>
            </w:pPr>
            <w:r/>
            <w:r>
              <w:rPr>
                <w:rFonts w:ascii="Arial" w:hAnsi="Arial"/>
                <w:b w:val="0"/>
                <w:sz w:val="14"/>
              </w:rPr>
              <w:t>Planos e informes</w:t>
            </w:r>
          </w:p>
        </w:tc>
        <w:tc>
          <w:tcPr>
            <w:tcW w:type="dxa" w:w="2304"/>
            <w:vAlign w:val="center"/>
          </w:tcPr>
          <w:p>
            <w:pPr>
              <w:pStyle w:val="TableText"/>
              <w:spacing w:after="0"/>
            </w:pPr>
            <w:r/>
            <w:r>
              <w:rPr>
                <w:rFonts w:ascii="Arial" w:hAnsi="Arial"/>
                <w:b w:val="0"/>
                <w:sz w:val="14"/>
              </w:rPr>
              <w:t>Obligatorio</w:t>
            </w:r>
          </w:p>
        </w:tc>
      </w:tr>
      <w:tr>
        <w:tc>
          <w:tcPr>
            <w:tcW w:type="dxa" w:w="2016"/>
            <w:vAlign w:val="center"/>
          </w:tcPr>
          <w:p>
            <w:pPr>
              <w:pStyle w:val="TableText"/>
              <w:spacing w:after="0"/>
            </w:pPr>
            <w:r/>
            <w:r>
              <w:rPr>
                <w:rFonts w:ascii="Arial" w:hAnsi="Arial"/>
                <w:b w:val="0"/>
                <w:sz w:val="14"/>
              </w:rPr>
              <w:t>GLB</w:t>
            </w:r>
          </w:p>
        </w:tc>
        <w:tc>
          <w:tcPr>
            <w:tcW w:type="dxa" w:w="4320"/>
            <w:vAlign w:val="center"/>
          </w:tcPr>
          <w:p>
            <w:pPr>
              <w:pStyle w:val="TableText"/>
              <w:spacing w:after="0"/>
            </w:pPr>
            <w:r/>
            <w:r>
              <w:rPr>
                <w:rFonts w:ascii="Arial" w:hAnsi="Arial"/>
                <w:b w:val="0"/>
                <w:sz w:val="14"/>
              </w:rPr>
              <w:t>Visor web</w:t>
            </w:r>
          </w:p>
        </w:tc>
        <w:tc>
          <w:tcPr>
            <w:tcW w:type="dxa" w:w="2304"/>
            <w:vAlign w:val="center"/>
          </w:tcPr>
          <w:p>
            <w:pPr>
              <w:pStyle w:val="TableText"/>
              <w:spacing w:after="0"/>
            </w:pPr>
            <w:r/>
            <w:r>
              <w:rPr>
                <w:rFonts w:ascii="Arial" w:hAnsi="Arial"/>
                <w:b w:val="0"/>
                <w:sz w:val="14"/>
              </w:rPr>
              <w:t>Derivado</w:t>
            </w:r>
          </w:p>
        </w:tc>
      </w:tr>
      <w:tr>
        <w:tc>
          <w:tcPr>
            <w:tcW w:type="dxa" w:w="2016"/>
            <w:vAlign w:val="center"/>
          </w:tcPr>
          <w:p>
            <w:pPr>
              <w:pStyle w:val="TableText"/>
              <w:spacing w:after="0"/>
            </w:pPr>
            <w:r/>
            <w:r>
              <w:rPr>
                <w:rFonts w:ascii="Arial" w:hAnsi="Arial"/>
                <w:b w:val="0"/>
                <w:sz w:val="14"/>
              </w:rPr>
              <w:t>SLDPRT/SLDASM</w:t>
            </w:r>
          </w:p>
        </w:tc>
        <w:tc>
          <w:tcPr>
            <w:tcW w:type="dxa" w:w="4320"/>
            <w:vAlign w:val="center"/>
          </w:tcPr>
          <w:p>
            <w:pPr>
              <w:pStyle w:val="TableText"/>
              <w:spacing w:after="0"/>
            </w:pPr>
            <w:r/>
            <w:r>
              <w:rPr>
                <w:rFonts w:ascii="Arial" w:hAnsi="Arial"/>
                <w:b w:val="0"/>
                <w:sz w:val="14"/>
              </w:rPr>
              <w:t>SolidWorks</w:t>
            </w:r>
          </w:p>
        </w:tc>
        <w:tc>
          <w:tcPr>
            <w:tcW w:type="dxa" w:w="2304"/>
            <w:vAlign w:val="center"/>
          </w:tcPr>
          <w:p>
            <w:pPr>
              <w:pStyle w:val="TableText"/>
              <w:spacing w:after="0"/>
            </w:pPr>
            <w:r/>
            <w:r>
              <w:rPr>
                <w:rFonts w:ascii="Arial" w:hAnsi="Arial"/>
                <w:b w:val="0"/>
                <w:sz w:val="14"/>
              </w:rPr>
              <w:t>Integración progresiva</w:t>
            </w:r>
          </w:p>
        </w:tc>
      </w:tr>
      <w:tr>
        <w:tc>
          <w:tcPr>
            <w:tcW w:type="dxa" w:w="2016"/>
            <w:vAlign w:val="center"/>
          </w:tcPr>
          <w:p>
            <w:pPr>
              <w:pStyle w:val="TableText"/>
              <w:spacing w:after="0"/>
            </w:pPr>
            <w:r/>
            <w:r>
              <w:rPr>
                <w:rFonts w:ascii="Arial" w:hAnsi="Arial"/>
                <w:b w:val="0"/>
                <w:sz w:val="14"/>
              </w:rPr>
              <w:t>IGES</w:t>
            </w:r>
          </w:p>
        </w:tc>
        <w:tc>
          <w:tcPr>
            <w:tcW w:type="dxa" w:w="4320"/>
            <w:vAlign w:val="center"/>
          </w:tcPr>
          <w:p>
            <w:pPr>
              <w:pStyle w:val="TableText"/>
              <w:spacing w:after="0"/>
            </w:pPr>
            <w:r/>
            <w:r>
              <w:rPr>
                <w:rFonts w:ascii="Arial" w:hAnsi="Arial"/>
                <w:b w:val="0"/>
                <w:sz w:val="14"/>
              </w:rPr>
              <w:t>Compatibilidad heredada</w:t>
            </w:r>
          </w:p>
        </w:tc>
        <w:tc>
          <w:tcPr>
            <w:tcW w:type="dxa" w:w="2304"/>
            <w:vAlign w:val="center"/>
          </w:tcPr>
          <w:p>
            <w:pPr>
              <w:pStyle w:val="TableText"/>
              <w:spacing w:after="0"/>
            </w:pPr>
            <w:r/>
            <w:r>
              <w:rPr>
                <w:rFonts w:ascii="Arial" w:hAnsi="Arial"/>
                <w:b w:val="0"/>
                <w:sz w:val="14"/>
              </w:rPr>
              <w:t>Solo excepción</w:t>
            </w:r>
          </w:p>
        </w:tc>
      </w:tr>
      <w:tr>
        <w:tc>
          <w:tcPr>
            <w:tcW w:type="dxa" w:w="2016"/>
            <w:vAlign w:val="center"/>
          </w:tcPr>
          <w:p>
            <w:pPr>
              <w:pStyle w:val="TableText"/>
              <w:spacing w:after="0"/>
            </w:pPr>
            <w:r/>
            <w:r>
              <w:rPr>
                <w:rFonts w:ascii="Arial" w:hAnsi="Arial"/>
                <w:b w:val="0"/>
                <w:sz w:val="14"/>
              </w:rPr>
              <w:t>STL</w:t>
            </w:r>
          </w:p>
        </w:tc>
        <w:tc>
          <w:tcPr>
            <w:tcW w:type="dxa" w:w="4320"/>
            <w:vAlign w:val="center"/>
          </w:tcPr>
          <w:p>
            <w:pPr>
              <w:pStyle w:val="TableText"/>
              <w:spacing w:after="0"/>
            </w:pPr>
            <w:r/>
            <w:r>
              <w:rPr>
                <w:rFonts w:ascii="Arial" w:hAnsi="Arial"/>
                <w:b w:val="0"/>
                <w:sz w:val="14"/>
              </w:rPr>
              <w:t>Prototipo visual</w:t>
            </w:r>
          </w:p>
        </w:tc>
        <w:tc>
          <w:tcPr>
            <w:tcW w:type="dxa" w:w="2304"/>
            <w:vAlign w:val="center"/>
          </w:tcPr>
          <w:p>
            <w:pPr>
              <w:pStyle w:val="TableText"/>
              <w:spacing w:after="0"/>
            </w:pPr>
            <w:r/>
            <w:r>
              <w:rPr>
                <w:rFonts w:ascii="Arial" w:hAnsi="Arial"/>
                <w:b w:val="0"/>
                <w:sz w:val="14"/>
              </w:rPr>
              <w:t>No oficial</w:t>
            </w:r>
          </w:p>
        </w:tc>
      </w:tr>
    </w:tbl>
    <w:p>
      <w:pPr>
        <w:spacing w:after="20"/>
      </w:pPr>
    </w:p>
    <w:p>
      <w:pPr>
        <w:pStyle w:val="Heading1"/>
      </w:pPr>
      <w:r>
        <w:t>9. Planos 2D y PMI</w:t>
      </w:r>
    </w:p>
    <w:p>
      <w:pPr>
        <w:pStyle w:val="Heading2"/>
      </w:pPr>
      <w:r>
        <w:t>9.1 Tipos de plano</w:t>
      </w:r>
    </w:p>
    <w:p>
      <w:pPr>
        <w:pStyle w:val="ListBullet"/>
        <w:spacing w:after="30"/>
        <w:ind w:left="288" w:hanging="173"/>
      </w:pPr>
      <w:r>
        <w:t>Plano general del producto.</w:t>
      </w:r>
    </w:p>
    <w:p>
      <w:pPr>
        <w:pStyle w:val="ListBullet"/>
        <w:spacing w:after="30"/>
        <w:ind w:left="288" w:hanging="173"/>
      </w:pPr>
      <w:r>
        <w:t>Plano de conjunto y montaje.</w:t>
      </w:r>
    </w:p>
    <w:p>
      <w:pPr>
        <w:pStyle w:val="ListBullet"/>
        <w:spacing w:after="30"/>
        <w:ind w:left="288" w:hanging="173"/>
      </w:pPr>
      <w:r>
        <w:t>Plano de cada tramo.</w:t>
      </w:r>
    </w:p>
    <w:p>
      <w:pPr>
        <w:pStyle w:val="ListBullet"/>
        <w:spacing w:after="30"/>
        <w:ind w:left="288" w:hanging="173"/>
      </w:pPr>
      <w:r>
        <w:t>Plano de chapa desarrollada.</w:t>
      </w:r>
    </w:p>
    <w:p>
      <w:pPr>
        <w:pStyle w:val="ListBullet"/>
        <w:spacing w:after="30"/>
        <w:ind w:left="288" w:hanging="173"/>
      </w:pPr>
      <w:r>
        <w:t>Plano de puerta y refuerzos.</w:t>
      </w:r>
    </w:p>
    <w:p>
      <w:pPr>
        <w:pStyle w:val="ListBullet"/>
        <w:spacing w:after="30"/>
        <w:ind w:left="288" w:hanging="173"/>
      </w:pPr>
      <w:r>
        <w:t>Plano de placa base y rigidizadores.</w:t>
      </w:r>
    </w:p>
    <w:p>
      <w:pPr>
        <w:pStyle w:val="ListBullet"/>
        <w:spacing w:after="30"/>
        <w:ind w:left="288" w:hanging="173"/>
      </w:pPr>
      <w:r>
        <w:t>Plantilla y jaula de pernos.</w:t>
      </w:r>
    </w:p>
    <w:p>
      <w:pPr>
        <w:pStyle w:val="ListBullet"/>
        <w:spacing w:after="30"/>
        <w:ind w:left="288" w:hanging="173"/>
      </w:pPr>
      <w:r>
        <w:t>Planos de brazos y accesorios.</w:t>
      </w:r>
    </w:p>
    <w:p>
      <w:pPr>
        <w:pStyle w:val="ListBullet"/>
        <w:spacing w:after="30"/>
        <w:ind w:left="288" w:hanging="173"/>
      </w:pPr>
      <w:r>
        <w:t>Plano de uniones segmentadas.</w:t>
      </w:r>
    </w:p>
    <w:p>
      <w:pPr>
        <w:pStyle w:val="ListBullet"/>
        <w:spacing w:after="30"/>
        <w:ind w:left="288" w:hanging="173"/>
      </w:pPr>
      <w:r>
        <w:t>Plano de cimentación geométrica.</w:t>
      </w:r>
    </w:p>
    <w:p>
      <w:pPr>
        <w:pStyle w:val="ListBullet"/>
        <w:spacing w:after="30"/>
        <w:ind w:left="288" w:hanging="173"/>
      </w:pPr>
      <w:r>
        <w:t>Plano de embalaje e izado.</w:t>
      </w:r>
    </w:p>
    <w:p>
      <w:pPr>
        <w:pStyle w:val="Heading2"/>
      </w:pPr>
      <w:r>
        <w:t>9.2 Contenido mínimo</w:t>
      </w:r>
    </w:p>
    <w:p>
      <w:r>
        <w:t>Cada plano deberá incluir código, revisión, estado, material, masa, escala, unidades, proyección, tolerancias generales, acabado, soldaduras, notas, lista de piezas, referencias cruzadas y aprobación. Las cotas críticas se generarán desde features semánticos; no se permitirán cotas puramente gráficas desconectadas del modelo.</w:t>
      </w:r>
    </w:p>
    <w:p>
      <w:pPr>
        <w:pStyle w:val="Heading2"/>
      </w:pPr>
      <w:r>
        <w:t>9.3 Soldaduras</w:t>
      </w:r>
    </w:p>
    <w:p>
      <w:r>
        <w:t>Los símbolos se generarán desde WeldDefinition: proceso, tipo, garganta, longitud, continuidad, preparación, lado, calidad, categoría de fatiga, WPS y END. La soldadura representada en plano deberá reconciliarse con BOM de consumibles, ruta y verificaciones.</w:t>
      </w:r>
    </w:p>
    <w:p>
      <w:pPr>
        <w:pStyle w:val="Heading2"/>
      </w:pPr>
      <w:r>
        <w:t>9.4 Tolerancias</w:t>
      </w:r>
    </w:p>
    <w:p>
      <w:r>
        <w:t>Se aplicarán tolerancias generales por familia y tolerancias específicas por feature. El sistema detectará cadenas incompatibles, sobredefinición, tolerancias inferiores a la capacidad del proceso y cotas ausentes en características críticas.</w:t>
      </w:r>
    </w:p>
    <w:p>
      <w:pPr>
        <w:pStyle w:val="Heading1"/>
      </w:pPr>
      <w:r>
        <w:t>10. BOM multinivel</w:t>
      </w:r>
    </w:p>
    <w:p>
      <w:pPr>
        <w:pStyle w:val="Heading2"/>
      </w:pPr>
      <w:r>
        <w:t>10.1 Vistas de BOM</w:t>
      </w:r>
    </w:p>
    <w:tbl>
      <w:tblPr>
        <w:tblStyle w:val="TableGrid"/>
        <w:tblW w:type="auto" w:w="0"/>
        <w:jc w:val="center"/>
        <w:tblLook w:firstColumn="1" w:firstRow="1" w:lastColumn="0" w:lastRow="0" w:noHBand="0" w:noVBand="1" w:val="04A0"/>
      </w:tblPr>
      <w:tblGrid>
        <w:gridCol w:w="5083"/>
        <w:gridCol w:w="5083"/>
      </w:tblGrid>
      <w:tr>
        <w:tc>
          <w:tcPr>
            <w:tcW w:type="dxa" w:w="2448"/>
            <w:shd w:fill="000000"/>
            <w:vAlign w:val="center"/>
          </w:tcPr>
          <w:p>
            <w:pPr>
              <w:pStyle w:val="TableText"/>
              <w:spacing w:after="0"/>
            </w:pPr>
            <w:r/>
            <w:r>
              <w:rPr>
                <w:rFonts w:ascii="Arial" w:hAnsi="Arial"/>
                <w:b/>
                <w:color w:val="FFFFFF"/>
                <w:sz w:val="15"/>
              </w:rPr>
              <w:t>Vista</w:t>
            </w:r>
          </w:p>
        </w:tc>
        <w:tc>
          <w:tcPr>
            <w:tcW w:type="dxa" w:w="7632"/>
            <w:shd w:fill="000000"/>
            <w:vAlign w:val="center"/>
          </w:tcPr>
          <w:p>
            <w:pPr>
              <w:pStyle w:val="TableText"/>
              <w:spacing w:after="0"/>
            </w:pPr>
            <w:r/>
            <w:r>
              <w:rPr>
                <w:rFonts w:ascii="Arial" w:hAnsi="Arial"/>
                <w:b/>
                <w:color w:val="FFFFFF"/>
                <w:sz w:val="15"/>
              </w:rPr>
              <w:t>Finalidad</w:t>
            </w:r>
          </w:p>
        </w:tc>
      </w:tr>
      <w:tr>
        <w:tc>
          <w:tcPr>
            <w:tcW w:type="dxa" w:w="2448"/>
            <w:vAlign w:val="center"/>
          </w:tcPr>
          <w:p>
            <w:pPr>
              <w:pStyle w:val="TableText"/>
              <w:spacing w:after="0"/>
            </w:pPr>
            <w:r/>
            <w:r>
              <w:rPr>
                <w:rFonts w:ascii="Arial" w:hAnsi="Arial"/>
                <w:b w:val="0"/>
                <w:sz w:val="14"/>
              </w:rPr>
              <w:t>EBOM</w:t>
            </w:r>
          </w:p>
        </w:tc>
        <w:tc>
          <w:tcPr>
            <w:tcW w:type="dxa" w:w="7632"/>
            <w:vAlign w:val="center"/>
          </w:tcPr>
          <w:p>
            <w:pPr>
              <w:pStyle w:val="TableText"/>
              <w:spacing w:after="0"/>
            </w:pPr>
            <w:r/>
            <w:r>
              <w:rPr>
                <w:rFonts w:ascii="Arial" w:hAnsi="Arial"/>
                <w:b w:val="0"/>
                <w:sz w:val="14"/>
              </w:rPr>
              <w:t>Definición de ingeniería.</w:t>
            </w:r>
          </w:p>
        </w:tc>
      </w:tr>
      <w:tr>
        <w:tc>
          <w:tcPr>
            <w:tcW w:type="dxa" w:w="2448"/>
            <w:vAlign w:val="center"/>
          </w:tcPr>
          <w:p>
            <w:pPr>
              <w:pStyle w:val="TableText"/>
              <w:spacing w:after="0"/>
            </w:pPr>
            <w:r/>
            <w:r>
              <w:rPr>
                <w:rFonts w:ascii="Arial" w:hAnsi="Arial"/>
                <w:b w:val="0"/>
                <w:sz w:val="14"/>
              </w:rPr>
              <w:t>MBOM</w:t>
            </w:r>
          </w:p>
        </w:tc>
        <w:tc>
          <w:tcPr>
            <w:tcW w:type="dxa" w:w="7632"/>
            <w:vAlign w:val="center"/>
          </w:tcPr>
          <w:p>
            <w:pPr>
              <w:pStyle w:val="TableText"/>
              <w:spacing w:after="0"/>
            </w:pPr>
            <w:r/>
            <w:r>
              <w:rPr>
                <w:rFonts w:ascii="Arial" w:hAnsi="Arial"/>
                <w:b w:val="0"/>
                <w:sz w:val="14"/>
              </w:rPr>
              <w:t>Fabricación y montaje por operaciones.</w:t>
            </w:r>
          </w:p>
        </w:tc>
      </w:tr>
      <w:tr>
        <w:tc>
          <w:tcPr>
            <w:tcW w:type="dxa" w:w="2448"/>
            <w:vAlign w:val="center"/>
          </w:tcPr>
          <w:p>
            <w:pPr>
              <w:pStyle w:val="TableText"/>
              <w:spacing w:after="0"/>
            </w:pPr>
            <w:r/>
            <w:r>
              <w:rPr>
                <w:rFonts w:ascii="Arial" w:hAnsi="Arial"/>
                <w:b w:val="0"/>
                <w:sz w:val="14"/>
              </w:rPr>
              <w:t>PBOM</w:t>
            </w:r>
          </w:p>
        </w:tc>
        <w:tc>
          <w:tcPr>
            <w:tcW w:type="dxa" w:w="7632"/>
            <w:vAlign w:val="center"/>
          </w:tcPr>
          <w:p>
            <w:pPr>
              <w:pStyle w:val="TableText"/>
              <w:spacing w:after="0"/>
            </w:pPr>
            <w:r/>
            <w:r>
              <w:rPr>
                <w:rFonts w:ascii="Arial" w:hAnsi="Arial"/>
                <w:b w:val="0"/>
                <w:sz w:val="14"/>
              </w:rPr>
              <w:t>Compra y subcontratación.</w:t>
            </w:r>
          </w:p>
        </w:tc>
      </w:tr>
      <w:tr>
        <w:tc>
          <w:tcPr>
            <w:tcW w:type="dxa" w:w="2448"/>
            <w:vAlign w:val="center"/>
          </w:tcPr>
          <w:p>
            <w:pPr>
              <w:pStyle w:val="TableText"/>
              <w:spacing w:after="0"/>
            </w:pPr>
            <w:r/>
            <w:r>
              <w:rPr>
                <w:rFonts w:ascii="Arial" w:hAnsi="Arial"/>
                <w:b w:val="0"/>
                <w:sz w:val="14"/>
              </w:rPr>
              <w:t>SBOM</w:t>
            </w:r>
          </w:p>
        </w:tc>
        <w:tc>
          <w:tcPr>
            <w:tcW w:type="dxa" w:w="7632"/>
            <w:vAlign w:val="center"/>
          </w:tcPr>
          <w:p>
            <w:pPr>
              <w:pStyle w:val="TableText"/>
              <w:spacing w:after="0"/>
            </w:pPr>
            <w:r/>
            <w:r>
              <w:rPr>
                <w:rFonts w:ascii="Arial" w:hAnsi="Arial"/>
                <w:b w:val="0"/>
                <w:sz w:val="14"/>
              </w:rPr>
              <w:t>Expedición y embalaje.</w:t>
            </w:r>
          </w:p>
        </w:tc>
      </w:tr>
      <w:tr>
        <w:tc>
          <w:tcPr>
            <w:tcW w:type="dxa" w:w="2448"/>
            <w:vAlign w:val="center"/>
          </w:tcPr>
          <w:p>
            <w:pPr>
              <w:pStyle w:val="TableText"/>
              <w:spacing w:after="0"/>
            </w:pPr>
            <w:r/>
            <w:r>
              <w:rPr>
                <w:rFonts w:ascii="Arial" w:hAnsi="Arial"/>
                <w:b w:val="0"/>
                <w:sz w:val="14"/>
              </w:rPr>
              <w:t>As-built BOM</w:t>
            </w:r>
          </w:p>
        </w:tc>
        <w:tc>
          <w:tcPr>
            <w:tcW w:type="dxa" w:w="7632"/>
            <w:vAlign w:val="center"/>
          </w:tcPr>
          <w:p>
            <w:pPr>
              <w:pStyle w:val="TableText"/>
              <w:spacing w:after="0"/>
            </w:pPr>
            <w:r/>
            <w:r>
              <w:rPr>
                <w:rFonts w:ascii="Arial" w:hAnsi="Arial"/>
                <w:b w:val="0"/>
                <w:sz w:val="14"/>
              </w:rPr>
              <w:t>Trazabilidad real por lote/serie.</w:t>
            </w:r>
          </w:p>
        </w:tc>
      </w:tr>
      <w:tr>
        <w:tc>
          <w:tcPr>
            <w:tcW w:type="dxa" w:w="2448"/>
            <w:vAlign w:val="center"/>
          </w:tcPr>
          <w:p>
            <w:pPr>
              <w:pStyle w:val="TableText"/>
              <w:spacing w:after="0"/>
            </w:pPr>
            <w:r/>
            <w:r>
              <w:rPr>
                <w:rFonts w:ascii="Arial" w:hAnsi="Arial"/>
                <w:b w:val="0"/>
                <w:sz w:val="14"/>
              </w:rPr>
              <w:t>Service BOM</w:t>
            </w:r>
          </w:p>
        </w:tc>
        <w:tc>
          <w:tcPr>
            <w:tcW w:type="dxa" w:w="7632"/>
            <w:vAlign w:val="center"/>
          </w:tcPr>
          <w:p>
            <w:pPr>
              <w:pStyle w:val="TableText"/>
              <w:spacing w:after="0"/>
            </w:pPr>
            <w:r/>
            <w:r>
              <w:rPr>
                <w:rFonts w:ascii="Arial" w:hAnsi="Arial"/>
                <w:b w:val="0"/>
                <w:sz w:val="14"/>
              </w:rPr>
              <w:t>Repuestos y mantenimiento.</w:t>
            </w:r>
          </w:p>
        </w:tc>
      </w:tr>
    </w:tbl>
    <w:p>
      <w:pPr>
        <w:spacing w:after="20"/>
      </w:pPr>
    </w:p>
    <w:p>
      <w:pPr>
        <w:pStyle w:val="Heading2"/>
      </w:pPr>
      <w:r>
        <w:t>10.2 Tipos de línea</w:t>
      </w:r>
    </w:p>
    <w:p>
      <w:pPr>
        <w:pStyle w:val="ListBullet"/>
        <w:spacing w:after="30"/>
        <w:ind w:left="288" w:hanging="173"/>
      </w:pPr>
      <w:r>
        <w:t>Pieza fabricada.</w:t>
      </w:r>
    </w:p>
    <w:p>
      <w:pPr>
        <w:pStyle w:val="ListBullet"/>
        <w:spacing w:after="30"/>
        <w:ind w:left="288" w:hanging="173"/>
      </w:pPr>
      <w:r>
        <w:t>Componente comprado.</w:t>
      </w:r>
    </w:p>
    <w:p>
      <w:pPr>
        <w:pStyle w:val="ListBullet"/>
        <w:spacing w:after="30"/>
        <w:ind w:left="288" w:hanging="173"/>
      </w:pPr>
      <w:r>
        <w:t>Materia prima.</w:t>
      </w:r>
    </w:p>
    <w:p>
      <w:pPr>
        <w:pStyle w:val="ListBullet"/>
        <w:spacing w:after="30"/>
        <w:ind w:left="288" w:hanging="173"/>
      </w:pPr>
      <w:r>
        <w:t>Consumible calculado.</w:t>
      </w:r>
    </w:p>
    <w:p>
      <w:pPr>
        <w:pStyle w:val="ListBullet"/>
        <w:spacing w:after="30"/>
        <w:ind w:left="288" w:hanging="173"/>
      </w:pPr>
      <w:r>
        <w:t>Servicio subcontratado.</w:t>
      </w:r>
    </w:p>
    <w:p>
      <w:pPr>
        <w:pStyle w:val="ListBullet"/>
        <w:spacing w:after="30"/>
        <w:ind w:left="288" w:hanging="173"/>
      </w:pPr>
      <w:r>
        <w:t>Elemento fantasma para estructura de montaje.</w:t>
      </w:r>
    </w:p>
    <w:p>
      <w:pPr>
        <w:pStyle w:val="ListBullet"/>
        <w:spacing w:after="30"/>
        <w:ind w:left="288" w:hanging="173"/>
      </w:pPr>
      <w:r>
        <w:t>Artículo alternativo u homologado.</w:t>
      </w:r>
    </w:p>
    <w:p>
      <w:pPr>
        <w:pStyle w:val="ListBullet"/>
        <w:spacing w:after="30"/>
        <w:ind w:left="288" w:hanging="173"/>
      </w:pPr>
      <w:r>
        <w:t>Residuo o coproducto recuperable.</w:t>
      </w:r>
    </w:p>
    <w:p>
      <w:pPr>
        <w:pStyle w:val="Heading2"/>
      </w:pPr>
      <w:r>
        <w:t>10.3 Cálculo de cantidades</w:t>
      </w:r>
    </w:p>
    <w:p>
      <w:r>
        <w:t>Las cantidades podrán ser directas, geométricas, por fórmula, por rendimiento o por operación. Cada regla deberá indicar unidad base, redondeo, merma, lote mínimo y procedencia. La masa de cada línea se reconciliará con el CAD cuando exista geometría.</w:t>
      </w:r>
    </w:p>
    <w:p>
      <w:pPr>
        <w:pStyle w:val="Heading2"/>
      </w:pPr>
      <w:r>
        <w:t>10.4 Sustituciones</w:t>
      </w:r>
    </w:p>
    <w:p>
      <w:r>
        <w:t>Las alternativas deberán mantener equivalencia técnica explícita. Una sustitución de material, perno, pintura, perfil o consumible podrá requerir recálculo, revisión documental o aprobación. No se reemplazará una referencia por precio sin ejecutar las reglas de compatibilidad.</w:t>
      </w:r>
    </w:p>
    <w:p>
      <w:pPr>
        <w:pStyle w:val="Heading1"/>
      </w:pPr>
      <w:r>
        <w:t>11. Materias primas, mermas y propiedades físicas</w:t>
      </w:r>
    </w:p>
    <w:p>
      <w:pPr>
        <w:pStyle w:val="Heading2"/>
      </w:pPr>
      <w:r>
        <w:t>11.1 Estados de masa</w:t>
      </w:r>
    </w:p>
    <w:p>
      <w:pPr>
        <w:pStyle w:val="ListBullet"/>
        <w:spacing w:after="30"/>
        <w:ind w:left="288" w:hanging="173"/>
      </w:pPr>
      <w:r>
        <w:t>Masa neta CAD.</w:t>
      </w:r>
    </w:p>
    <w:p>
      <w:pPr>
        <w:pStyle w:val="ListBullet"/>
        <w:spacing w:after="30"/>
        <w:ind w:left="288" w:hanging="173"/>
      </w:pPr>
      <w:r>
        <w:t>Masa teórica por densidad nominal.</w:t>
      </w:r>
    </w:p>
    <w:p>
      <w:pPr>
        <w:pStyle w:val="ListBullet"/>
        <w:spacing w:after="30"/>
        <w:ind w:left="288" w:hanging="173"/>
      </w:pPr>
      <w:r>
        <w:t>Masa de materia prima comprada.</w:t>
      </w:r>
    </w:p>
    <w:p>
      <w:pPr>
        <w:pStyle w:val="ListBullet"/>
        <w:spacing w:after="30"/>
        <w:ind w:left="288" w:hanging="173"/>
      </w:pPr>
      <w:r>
        <w:t>Masa tras mecanizado.</w:t>
      </w:r>
    </w:p>
    <w:p>
      <w:pPr>
        <w:pStyle w:val="ListBullet"/>
        <w:spacing w:after="30"/>
        <w:ind w:left="288" w:hanging="173"/>
      </w:pPr>
      <w:r>
        <w:t>Masa tras recubrimiento.</w:t>
      </w:r>
    </w:p>
    <w:p>
      <w:pPr>
        <w:pStyle w:val="ListBullet"/>
        <w:spacing w:after="30"/>
        <w:ind w:left="288" w:hanging="173"/>
      </w:pPr>
      <w:r>
        <w:t>Masa de conjunto montado.</w:t>
      </w:r>
    </w:p>
    <w:p>
      <w:pPr>
        <w:pStyle w:val="ListBullet"/>
        <w:spacing w:after="30"/>
        <w:ind w:left="288" w:hanging="173"/>
      </w:pPr>
      <w:r>
        <w:t>Masa de embalaje y expedición.</w:t>
      </w:r>
    </w:p>
    <w:p>
      <w:pPr>
        <w:pStyle w:val="Heading2"/>
      </w:pPr>
      <w:r>
        <w:t>11.2 Reconciliación</w:t>
      </w:r>
    </w:p>
    <w:p>
      <w:r>
        <w:t>La diferencia entre masa CAD y masa BOM se descompondrá por densidad, redondeo, consumibles, recubrimientos, holguras y piezas sin geometría. Se establecerán umbrales bloqueantes por familia.</w:t>
      </w:r>
    </w:p>
    <w:p>
      <w:pPr>
        <w:pStyle w:val="Heading2"/>
      </w:pPr>
      <w:r>
        <w:t>11.3 Centro de gravedad e izado</w:t>
      </w:r>
    </w:p>
    <w:p>
      <w:r>
        <w:t>El sistema calculará centro de gravedad, ejes principales e inercias de cada tramo y conjunto, tanto en configuración de transporte como de servicio. Estos datos alimentarán puntos de izado, embalaje, grúas, estabilidad temporal y documentación de montaje.</w:t>
      </w:r>
    </w:p>
    <w:p>
      <w:pPr>
        <w:pStyle w:val="Heading1"/>
      </w:pPr>
      <w:r>
        <w:t>12. Rutas de fabricación y subcontratación</w:t>
      </w:r>
    </w:p>
    <w:p>
      <w:pPr>
        <w:pStyle w:val="Heading2"/>
      </w:pPr>
      <w:r>
        <w:t>12.1 Routing</w:t>
      </w:r>
    </w:p>
    <w:p>
      <w:r>
        <w:t>Cada artículo tendrá una o varias rutas homologadas, con operaciones secuenciales, alternativas, centros de trabajo, tiempos, capacidades, utillajes, entradas, salidas, controles y documentos.</w:t>
      </w:r>
    </w:p>
    <w:p>
      <w:pPr>
        <w:pStyle w:val="Heading2"/>
      </w:pPr>
      <w:r>
        <w:t>12.2 Operaciones iniciales</w:t>
      </w:r>
    </w:p>
    <w:p>
      <w:pPr>
        <w:pStyle w:val="ListBullet"/>
        <w:spacing w:after="30"/>
        <w:ind w:left="288" w:hanging="173"/>
      </w:pPr>
      <w:r>
        <w:t>Recepción y trazabilidad de material.</w:t>
      </w:r>
    </w:p>
    <w:p>
      <w:pPr>
        <w:pStyle w:val="ListBullet"/>
        <w:spacing w:after="30"/>
        <w:ind w:left="288" w:hanging="173"/>
      </w:pPr>
      <w:r>
        <w:t>Corte láser/plasma/sierra.</w:t>
      </w:r>
    </w:p>
    <w:p>
      <w:pPr>
        <w:pStyle w:val="ListBullet"/>
        <w:spacing w:after="30"/>
        <w:ind w:left="288" w:hanging="173"/>
      </w:pPr>
      <w:r>
        <w:t>Biselado y mecanizado.</w:t>
      </w:r>
    </w:p>
    <w:p>
      <w:pPr>
        <w:pStyle w:val="ListBullet"/>
        <w:spacing w:after="30"/>
        <w:ind w:left="288" w:hanging="173"/>
      </w:pPr>
      <w:r>
        <w:t>Plegado o curvado.</w:t>
      </w:r>
    </w:p>
    <w:p>
      <w:pPr>
        <w:pStyle w:val="ListBullet"/>
        <w:spacing w:after="30"/>
        <w:ind w:left="288" w:hanging="173"/>
      </w:pPr>
      <w:r>
        <w:t>Preparación y soldadura longitudinal.</w:t>
      </w:r>
    </w:p>
    <w:p>
      <w:pPr>
        <w:pStyle w:val="ListBullet"/>
        <w:spacing w:after="30"/>
        <w:ind w:left="288" w:hanging="173"/>
      </w:pPr>
      <w:r>
        <w:t>Montaje de puerta y refuerzos.</w:t>
      </w:r>
    </w:p>
    <w:p>
      <w:pPr>
        <w:pStyle w:val="ListBullet"/>
        <w:spacing w:after="30"/>
        <w:ind w:left="288" w:hanging="173"/>
      </w:pPr>
      <w:r>
        <w:t>Soldaduras circunferenciales y accesorios.</w:t>
      </w:r>
    </w:p>
    <w:p>
      <w:pPr>
        <w:pStyle w:val="ListBullet"/>
        <w:spacing w:after="30"/>
        <w:ind w:left="288" w:hanging="173"/>
      </w:pPr>
      <w:r>
        <w:t>Enderezado y control dimensional.</w:t>
      </w:r>
    </w:p>
    <w:p>
      <w:pPr>
        <w:pStyle w:val="ListBullet"/>
        <w:spacing w:after="30"/>
        <w:ind w:left="288" w:hanging="173"/>
      </w:pPr>
      <w:r>
        <w:t>Galvanizado, anodizado o pintura.</w:t>
      </w:r>
    </w:p>
    <w:p>
      <w:pPr>
        <w:pStyle w:val="ListBullet"/>
        <w:spacing w:after="30"/>
        <w:ind w:left="288" w:hanging="173"/>
      </w:pPr>
      <w:r>
        <w:t>Mecanizados posteriores y reparación.</w:t>
      </w:r>
    </w:p>
    <w:p>
      <w:pPr>
        <w:pStyle w:val="ListBullet"/>
        <w:spacing w:after="30"/>
        <w:ind w:left="288" w:hanging="173"/>
      </w:pPr>
      <w:r>
        <w:t>Montaje final, etiquetado y embalaje.</w:t>
      </w:r>
    </w:p>
    <w:p>
      <w:pPr>
        <w:pStyle w:val="ListBullet"/>
        <w:spacing w:after="30"/>
        <w:ind w:left="288" w:hanging="173"/>
      </w:pPr>
      <w:r>
        <w:t>Inspección, liberación y expedición.</w:t>
      </w:r>
    </w:p>
    <w:p>
      <w:pPr>
        <w:pStyle w:val="Heading2"/>
      </w:pPr>
      <w:r>
        <w:t>12.3 Make-or-buy</w:t>
      </w:r>
    </w:p>
    <w:p>
      <w:r>
        <w:t>El motor podrá comparar fabricación interna y subcontratación mediante capacidad, plazo, coste, calidad, territorio, tamaño máximo y homologación. La decisión será explícita y podrá bloquearse por proyecto.</w:t>
      </w:r>
    </w:p>
    <w:p>
      <w:pPr>
        <w:pStyle w:val="Heading2"/>
      </w:pPr>
      <w:r>
        <w:t>12.4 Instrucciones de trabajo</w:t>
      </w:r>
    </w:p>
    <w:p>
      <w:r>
        <w:t>Las instrucciones combinarán datos estructurados, vistas, secuencia, herramientas, parámetros, puntos de control y riesgos. La IA podrá redactar texto a partir de estos datos, pero las variables críticas se insertarán directamente desde el modelo y quedarán protegidas.</w:t>
      </w:r>
    </w:p>
    <w:p>
      <w:pPr>
        <w:pStyle w:val="Heading1"/>
      </w:pPr>
      <w:r>
        <w:t>13. Control de calidad e inspección</w:t>
      </w:r>
    </w:p>
    <w:p>
      <w:pPr>
        <w:pStyle w:val="Heading2"/>
      </w:pPr>
      <w:r>
        <w:t>13.1 Plan de control</w:t>
      </w:r>
    </w:p>
    <w:p>
      <w:r>
        <w:t>El plan de control se generará desde características críticas y ruta. Cada control tendrá método, instrumento, frecuencia, tolerancia, responsable, evidencia y reacción ante no conformidad.</w:t>
      </w:r>
    </w:p>
    <w:p>
      <w:pPr>
        <w:pStyle w:val="Heading2"/>
      </w:pPr>
      <w:r>
        <w:t>13.2 Características críticas</w:t>
      </w:r>
    </w:p>
    <w:p>
      <w:pPr>
        <w:pStyle w:val="ListBullet"/>
        <w:spacing w:after="30"/>
        <w:ind w:left="288" w:hanging="173"/>
      </w:pPr>
      <w:r>
        <w:t>Material, espesor y certificado.</w:t>
      </w:r>
    </w:p>
    <w:p>
      <w:pPr>
        <w:pStyle w:val="ListBullet"/>
        <w:spacing w:after="30"/>
        <w:ind w:left="288" w:hanging="173"/>
      </w:pPr>
      <w:r>
        <w:t>Longitud, rectitud, conicidad y torsión.</w:t>
      </w:r>
    </w:p>
    <w:p>
      <w:pPr>
        <w:pStyle w:val="ListBullet"/>
        <w:spacing w:after="30"/>
        <w:ind w:left="288" w:hanging="173"/>
      </w:pPr>
      <w:r>
        <w:t>Dimensiones y posición de puerta.</w:t>
      </w:r>
    </w:p>
    <w:p>
      <w:pPr>
        <w:pStyle w:val="ListBullet"/>
        <w:spacing w:after="30"/>
        <w:ind w:left="288" w:hanging="173"/>
      </w:pPr>
      <w:r>
        <w:t>Patrón de pernos y planitud de placa.</w:t>
      </w:r>
    </w:p>
    <w:p>
      <w:pPr>
        <w:pStyle w:val="ListBullet"/>
        <w:spacing w:after="30"/>
        <w:ind w:left="288" w:hanging="173"/>
      </w:pPr>
      <w:r>
        <w:t>Soldaduras y END.</w:t>
      </w:r>
    </w:p>
    <w:p>
      <w:pPr>
        <w:pStyle w:val="ListBullet"/>
        <w:spacing w:after="30"/>
        <w:ind w:left="288" w:hanging="173"/>
      </w:pPr>
      <w:r>
        <w:t>Espesor y continuidad de recubrimiento.</w:t>
      </w:r>
    </w:p>
    <w:p>
      <w:pPr>
        <w:pStyle w:val="ListBullet"/>
        <w:spacing w:after="30"/>
        <w:ind w:left="288" w:hanging="173"/>
      </w:pPr>
      <w:r>
        <w:t>Solapes y uniones de tramos.</w:t>
      </w:r>
    </w:p>
    <w:p>
      <w:pPr>
        <w:pStyle w:val="ListBullet"/>
        <w:spacing w:after="30"/>
        <w:ind w:left="288" w:hanging="173"/>
      </w:pPr>
      <w:r>
        <w:t>Masa y centro de gravedad.</w:t>
      </w:r>
    </w:p>
    <w:p>
      <w:pPr>
        <w:pStyle w:val="ListBullet"/>
        <w:spacing w:after="30"/>
        <w:ind w:left="288" w:hanging="173"/>
      </w:pPr>
      <w:r>
        <w:t>Pretensado y geometría en hormigón.</w:t>
      </w:r>
    </w:p>
    <w:p>
      <w:pPr>
        <w:pStyle w:val="ListBullet"/>
        <w:spacing w:after="30"/>
        <w:ind w:left="288" w:hanging="173"/>
      </w:pPr>
      <w:r>
        <w:t>Marcado y trazabilidad.</w:t>
      </w:r>
    </w:p>
    <w:p>
      <w:pPr>
        <w:pStyle w:val="Heading2"/>
      </w:pPr>
      <w:r>
        <w:t>13.3 As-built</w:t>
      </w:r>
    </w:p>
    <w:p>
      <w:r>
        <w:t>Las mediciones reales podrán asociarse a lote o número de serie. Si una desviación modifica la capacidad o interfaz, se activará recalificación técnica. El as-built no sobrescribirá el nominal; generará una capa de conformidad y, si procede, un modelo actualizado.</w:t>
      </w:r>
    </w:p>
    <w:p>
      <w:pPr>
        <w:pStyle w:val="Heading1"/>
      </w:pPr>
      <w:r>
        <w:t>14. Paquetes documentales</w:t>
      </w:r>
    </w:p>
    <w:p>
      <w:pPr>
        <w:pStyle w:val="Heading2"/>
      </w:pPr>
      <w:r>
        <w:t>14.1 Paquete para cliente</w:t>
      </w:r>
    </w:p>
    <w:p>
      <w:pPr>
        <w:pStyle w:val="ListBullet"/>
        <w:spacing w:after="30"/>
        <w:ind w:left="288" w:hanging="173"/>
      </w:pPr>
      <w:r>
        <w:t>Ficha de producto y configuración.</w:t>
      </w:r>
    </w:p>
    <w:p>
      <w:pPr>
        <w:pStyle w:val="ListBullet"/>
        <w:spacing w:after="30"/>
        <w:ind w:left="288" w:hanging="173"/>
      </w:pPr>
      <w:r>
        <w:t>Plano general y dimensiones de interfaz.</w:t>
      </w:r>
    </w:p>
    <w:p>
      <w:pPr>
        <w:pStyle w:val="ListBullet"/>
        <w:spacing w:after="30"/>
        <w:ind w:left="288" w:hanging="173"/>
      </w:pPr>
      <w:r>
        <w:t>Resumen de cumplimiento y prestaciones.</w:t>
      </w:r>
    </w:p>
    <w:p>
      <w:pPr>
        <w:pStyle w:val="ListBullet"/>
        <w:spacing w:after="30"/>
        <w:ind w:left="288" w:hanging="173"/>
      </w:pPr>
      <w:r>
        <w:t>Peso, acabado y mantenimiento.</w:t>
      </w:r>
    </w:p>
    <w:p>
      <w:pPr>
        <w:pStyle w:val="ListBullet"/>
        <w:spacing w:after="30"/>
        <w:ind w:left="288" w:hanging="173"/>
      </w:pPr>
      <w:r>
        <w:t>Memoria de cálculo resumida o extensa según contrato.</w:t>
      </w:r>
    </w:p>
    <w:p>
      <w:pPr>
        <w:pStyle w:val="ListBullet"/>
        <w:spacing w:after="30"/>
        <w:ind w:left="288" w:hanging="173"/>
      </w:pPr>
      <w:r>
        <w:t>Documentación de conformidad aplicable.</w:t>
      </w:r>
    </w:p>
    <w:p>
      <w:pPr>
        <w:pStyle w:val="Heading2"/>
      </w:pPr>
      <w:r>
        <w:t>14.2 Paquete de ingeniería</w:t>
      </w:r>
    </w:p>
    <w:p>
      <w:pPr>
        <w:pStyle w:val="ListBullet"/>
        <w:spacing w:after="30"/>
        <w:ind w:left="288" w:hanging="173"/>
      </w:pPr>
      <w:r>
        <w:t>Modelo y planos completos.</w:t>
      </w:r>
    </w:p>
    <w:p>
      <w:pPr>
        <w:pStyle w:val="ListBullet"/>
        <w:spacing w:after="30"/>
        <w:ind w:left="288" w:hanging="173"/>
      </w:pPr>
      <w:r>
        <w:t>Memoria de cálculo completa.</w:t>
      </w:r>
    </w:p>
    <w:p>
      <w:pPr>
        <w:pStyle w:val="ListBullet"/>
        <w:spacing w:after="30"/>
        <w:ind w:left="288" w:hanging="173"/>
      </w:pPr>
      <w:r>
        <w:t>Matriz de hipótesis y verificaciones.</w:t>
      </w:r>
    </w:p>
    <w:p>
      <w:pPr>
        <w:pStyle w:val="ListBullet"/>
        <w:spacing w:after="30"/>
        <w:ind w:left="288" w:hanging="173"/>
      </w:pPr>
      <w:r>
        <w:t>BOM de ingeniería.</w:t>
      </w:r>
    </w:p>
    <w:p>
      <w:pPr>
        <w:pStyle w:val="ListBullet"/>
        <w:spacing w:after="30"/>
        <w:ind w:left="288" w:hanging="173"/>
      </w:pPr>
      <w:r>
        <w:t>Análisis de cambios y trazabilidad.</w:t>
      </w:r>
    </w:p>
    <w:p>
      <w:pPr>
        <w:pStyle w:val="ListBullet"/>
        <w:spacing w:after="30"/>
        <w:ind w:left="288" w:hanging="173"/>
      </w:pPr>
      <w:r>
        <w:t>Resultados de validación y ensayos.</w:t>
      </w:r>
    </w:p>
    <w:p>
      <w:pPr>
        <w:pStyle w:val="Heading2"/>
      </w:pPr>
      <w:r>
        <w:t>14.3 Paquete de producción/proveedor</w:t>
      </w:r>
    </w:p>
    <w:p>
      <w:pPr>
        <w:pStyle w:val="ListBullet"/>
        <w:spacing w:after="30"/>
        <w:ind w:left="288" w:hanging="173"/>
      </w:pPr>
      <w:r>
        <w:t>Planos liberados.</w:t>
      </w:r>
    </w:p>
    <w:p>
      <w:pPr>
        <w:pStyle w:val="ListBullet"/>
        <w:spacing w:after="30"/>
        <w:ind w:left="288" w:hanging="173"/>
      </w:pPr>
      <w:r>
        <w:t>DXF/STEP y lista de archivos.</w:t>
      </w:r>
    </w:p>
    <w:p>
      <w:pPr>
        <w:pStyle w:val="ListBullet"/>
        <w:spacing w:after="30"/>
        <w:ind w:left="288" w:hanging="173"/>
      </w:pPr>
      <w:r>
        <w:t>MBOM/PBOM.</w:t>
      </w:r>
    </w:p>
    <w:p>
      <w:pPr>
        <w:pStyle w:val="ListBullet"/>
        <w:spacing w:after="30"/>
        <w:ind w:left="288" w:hanging="173"/>
      </w:pPr>
      <w:r>
        <w:t>Ruta e instrucciones.</w:t>
      </w:r>
    </w:p>
    <w:p>
      <w:pPr>
        <w:pStyle w:val="ListBullet"/>
        <w:spacing w:after="30"/>
        <w:ind w:left="288" w:hanging="173"/>
      </w:pPr>
      <w:r>
        <w:t>WPS, END y plan de control.</w:t>
      </w:r>
    </w:p>
    <w:p>
      <w:pPr>
        <w:pStyle w:val="ListBullet"/>
        <w:spacing w:after="30"/>
        <w:ind w:left="288" w:hanging="173"/>
      </w:pPr>
      <w:r>
        <w:t>Requisitos de certificados, embalaje y entrega.</w:t>
      </w:r>
    </w:p>
    <w:p>
      <w:pPr>
        <w:pStyle w:val="Heading2"/>
      </w:pPr>
      <w:r>
        <w:t>14.4 Paquete de obra</w:t>
      </w:r>
    </w:p>
    <w:p>
      <w:pPr>
        <w:pStyle w:val="ListBullet"/>
        <w:spacing w:after="30"/>
        <w:ind w:left="288" w:hanging="173"/>
      </w:pPr>
      <w:r>
        <w:t>Plano de cimentación e interfaces.</w:t>
      </w:r>
    </w:p>
    <w:p>
      <w:pPr>
        <w:pStyle w:val="ListBullet"/>
        <w:spacing w:after="30"/>
        <w:ind w:left="288" w:hanging="173"/>
      </w:pPr>
      <w:r>
        <w:t>Plantilla de pernos.</w:t>
      </w:r>
    </w:p>
    <w:p>
      <w:pPr>
        <w:pStyle w:val="ListBullet"/>
        <w:spacing w:after="30"/>
        <w:ind w:left="288" w:hanging="173"/>
      </w:pPr>
      <w:r>
        <w:t>Secuencia de montaje e izado.</w:t>
      </w:r>
    </w:p>
    <w:p>
      <w:pPr>
        <w:pStyle w:val="ListBullet"/>
        <w:spacing w:after="30"/>
        <w:ind w:left="288" w:hanging="173"/>
      </w:pPr>
      <w:r>
        <w:t>Pares de apriete cuando procedan.</w:t>
      </w:r>
    </w:p>
    <w:p>
      <w:pPr>
        <w:pStyle w:val="ListBullet"/>
        <w:spacing w:after="30"/>
        <w:ind w:left="288" w:hanging="173"/>
      </w:pPr>
      <w:r>
        <w:t>Controles de recepción y verticalidad.</w:t>
      </w:r>
    </w:p>
    <w:p>
      <w:pPr>
        <w:pStyle w:val="ListBullet"/>
        <w:spacing w:after="30"/>
        <w:ind w:left="288" w:hanging="173"/>
      </w:pPr>
      <w:r>
        <w:t>Checklist y acta de instalación.</w:t>
      </w:r>
    </w:p>
    <w:p>
      <w:pPr>
        <w:pStyle w:val="Heading2"/>
      </w:pPr>
      <w:r>
        <w:t>14.5 Paquete regulatorio</w:t>
      </w:r>
    </w:p>
    <w:p>
      <w:r>
        <w:t>Se generará según mercado, fecha, especificación armonizada y estado de evaluación. El sistema no asumirá que el cálculo de proyecto equivale por sí mismo a conformidad de producto.</w:t>
      </w:r>
    </w:p>
    <w:p>
      <w:pPr>
        <w:pStyle w:val="Heading1"/>
      </w:pPr>
      <w:r>
        <w:t>15. Motor documental</w:t>
      </w:r>
    </w:p>
    <w:p>
      <w:pPr>
        <w:pStyle w:val="Heading2"/>
      </w:pPr>
      <w:r>
        <w:t>15.1 Plantillas</w:t>
      </w:r>
    </w:p>
    <w:p>
      <w:r>
        <w:t>Las plantillas serán versionadas por idioma, mercado, cliente, tipo de producto y nivel de detalle. Separarán contenido estructurado, cláusulas aprobadas, variables y anexos.</w:t>
      </w:r>
    </w:p>
    <w:p>
      <w:pPr>
        <w:pStyle w:val="Heading2"/>
      </w:pPr>
      <w:r>
        <w:t>15.2 Idiomas</w:t>
      </w:r>
    </w:p>
    <w:p>
      <w:r>
        <w:t>Se soportarán ES, EN, FR, CA, IT y PT. Los términos técnicos procederán de glosario controlado. Los valores y unidades no se traducirán mediante IA libre.</w:t>
      </w:r>
    </w:p>
    <w:p>
      <w:pPr>
        <w:pStyle w:val="Heading2"/>
      </w:pPr>
      <w:r>
        <w:t>15.3 Generación y firma</w:t>
      </w:r>
    </w:p>
    <w:p>
      <w:r>
        <w:t>Cada PDF incorporará código, revisión, estado, fecha, motor y hash. Se reservará integración futura con firma electrónica. Un documento sustituido conservará acceso histórico y marca de obsolescencia.</w:t>
      </w:r>
    </w:p>
    <w:p>
      <w:pPr>
        <w:pStyle w:val="Heading2"/>
      </w:pPr>
      <w:r>
        <w:t>15.4 Uso de IA</w:t>
      </w:r>
    </w:p>
    <w:p>
      <w:pPr>
        <w:pStyle w:val="ListBullet"/>
        <w:spacing w:after="30"/>
        <w:ind w:left="288" w:hanging="173"/>
      </w:pPr>
      <w:r>
        <w:t>Redactar explicaciones desde datos estructurados.</w:t>
      </w:r>
    </w:p>
    <w:p>
      <w:pPr>
        <w:pStyle w:val="ListBullet"/>
        <w:spacing w:after="30"/>
        <w:ind w:left="288" w:hanging="173"/>
      </w:pPr>
      <w:r>
        <w:t>Resumir cambios entre revisiones.</w:t>
      </w:r>
    </w:p>
    <w:p>
      <w:pPr>
        <w:pStyle w:val="ListBullet"/>
        <w:spacing w:after="30"/>
        <w:ind w:left="288" w:hanging="173"/>
      </w:pPr>
      <w:r>
        <w:t>Proponer notas de fabricación a partir de reglas.</w:t>
      </w:r>
    </w:p>
    <w:p>
      <w:pPr>
        <w:pStyle w:val="ListBullet"/>
        <w:spacing w:after="30"/>
        <w:ind w:left="288" w:hanging="173"/>
      </w:pPr>
      <w:r>
        <w:t>Clasificar y extraer documentos heredados.</w:t>
      </w:r>
    </w:p>
    <w:p>
      <w:pPr>
        <w:pStyle w:val="ListBullet"/>
        <w:spacing w:after="30"/>
        <w:ind w:left="288" w:hanging="173"/>
      </w:pPr>
      <w:r>
        <w:t>Detectar incoherencias lingüísticas.</w:t>
      </w:r>
    </w:p>
    <w:p>
      <w:pPr>
        <w:pStyle w:val="ListBullet"/>
        <w:spacing w:after="30"/>
        <w:ind w:left="288" w:hanging="173"/>
      </w:pPr>
      <w:r>
        <w:t>Nunca modificar números, materiales o tolerancias confirmados.</w:t>
      </w:r>
    </w:p>
    <w:p>
      <w:pPr>
        <w:pStyle w:val="Heading1"/>
      </w:pPr>
      <w:r>
        <w:t>16. Validación automática de coherencia</w:t>
      </w:r>
    </w:p>
    <w:p>
      <w:pPr>
        <w:pStyle w:val="ListBullet"/>
        <w:spacing w:after="30"/>
        <w:ind w:left="288" w:hanging="173"/>
      </w:pPr>
      <w:r>
        <w:t>Hash del ProductSnapshot coincide en todos los artefactos.</w:t>
      </w:r>
    </w:p>
    <w:p>
      <w:pPr>
        <w:pStyle w:val="ListBullet"/>
        <w:spacing w:after="30"/>
        <w:ind w:left="288" w:hanging="173"/>
      </w:pPr>
      <w:r>
        <w:t>Masa CAD reconciliada con BOM.</w:t>
      </w:r>
    </w:p>
    <w:p>
      <w:pPr>
        <w:pStyle w:val="ListBullet"/>
        <w:spacing w:after="30"/>
        <w:ind w:left="288" w:hanging="173"/>
      </w:pPr>
      <w:r>
        <w:t>Número y diámetro de pernos coinciden entre CAD, plano y BOM.</w:t>
      </w:r>
    </w:p>
    <w:p>
      <w:pPr>
        <w:pStyle w:val="ListBullet"/>
        <w:spacing w:after="30"/>
        <w:ind w:left="288" w:hanging="173"/>
      </w:pPr>
      <w:r>
        <w:t>Puerta, refuerzo y soporte coinciden con cálculo local.</w:t>
      </w:r>
    </w:p>
    <w:p>
      <w:pPr>
        <w:pStyle w:val="ListBullet"/>
        <w:spacing w:after="30"/>
        <w:ind w:left="288" w:hanging="173"/>
      </w:pPr>
      <w:r>
        <w:t>Soldaduras coinciden entre verificación, plano, BOM y ruta.</w:t>
      </w:r>
    </w:p>
    <w:p>
      <w:pPr>
        <w:pStyle w:val="ListBullet"/>
        <w:spacing w:after="30"/>
        <w:ind w:left="288" w:hanging="173"/>
      </w:pPr>
      <w:r>
        <w:t>Longitudes y diámetros de tramos coinciden con análisis estructural.</w:t>
      </w:r>
    </w:p>
    <w:p>
      <w:pPr>
        <w:pStyle w:val="ListBullet"/>
        <w:spacing w:after="30"/>
        <w:ind w:left="288" w:hanging="173"/>
      </w:pPr>
      <w:r>
        <w:t>Desarrollos DXF reconstruyen la geometría nominal dentro de tolerancia.</w:t>
      </w:r>
    </w:p>
    <w:p>
      <w:pPr>
        <w:pStyle w:val="ListBullet"/>
        <w:spacing w:after="30"/>
        <w:ind w:left="288" w:hanging="173"/>
      </w:pPr>
      <w:r>
        <w:t>Material y espesor coinciden con biblioteca congelada.</w:t>
      </w:r>
    </w:p>
    <w:p>
      <w:pPr>
        <w:pStyle w:val="ListBullet"/>
        <w:spacing w:after="30"/>
        <w:ind w:left="288" w:hanging="173"/>
      </w:pPr>
      <w:r>
        <w:t>Acabado y sistema anticorrosivo coinciden en todas las vistas.</w:t>
      </w:r>
    </w:p>
    <w:p>
      <w:pPr>
        <w:pStyle w:val="ListBullet"/>
        <w:spacing w:after="30"/>
        <w:ind w:left="288" w:hanging="173"/>
      </w:pPr>
      <w:r>
        <w:t>Uniones y solapes coinciden con Fase 9.</w:t>
      </w:r>
    </w:p>
    <w:p>
      <w:pPr>
        <w:pStyle w:val="ListBullet"/>
        <w:spacing w:after="30"/>
        <w:ind w:left="288" w:hanging="173"/>
      </w:pPr>
      <w:r>
        <w:t>Placa y anclajes coinciden con Fase 10.</w:t>
      </w:r>
    </w:p>
    <w:p>
      <w:pPr>
        <w:pStyle w:val="ListBullet"/>
        <w:spacing w:after="30"/>
        <w:ind w:left="288" w:hanging="173"/>
      </w:pPr>
      <w:r>
        <w:t>Cimentación coincide con Fase 11.</w:t>
      </w:r>
    </w:p>
    <w:p>
      <w:pPr>
        <w:pStyle w:val="ListBullet"/>
        <w:spacing w:after="30"/>
        <w:ind w:left="288" w:hanging="173"/>
      </w:pPr>
      <w:r>
        <w:t>No existen referencias obsoletas o no homologadas sin excepción.</w:t>
      </w:r>
    </w:p>
    <w:p>
      <w:pPr>
        <w:pStyle w:val="ListBullet"/>
        <w:spacing w:after="30"/>
        <w:ind w:left="288" w:hanging="173"/>
      </w:pPr>
      <w:r>
        <w:t>Todos los documentos tienen revisión y estado correctos.</w:t>
      </w:r>
    </w:p>
    <w:p>
      <w:pPr>
        <w:pStyle w:val="ListBullet"/>
        <w:spacing w:after="30"/>
        <w:ind w:left="288" w:hanging="173"/>
      </w:pPr>
      <w:r>
        <w:t>No hay archivos huérfanos ni dependencias no publicadas.</w:t>
      </w:r>
    </w:p>
    <w:p>
      <w:r>
        <w:t>Los errores se clasificarán como BLOCKING, ERROR, WARNING o INFO. Los bloqueantes impedirán liberar. Las excepciones requerirán motivo, usuario, fecha y aprobación.</w:t>
      </w:r>
    </w:p>
    <w:p>
      <w:pPr>
        <w:pStyle w:val="Heading1"/>
      </w:pPr>
      <w:r>
        <w:t>17. Gestión de cambios y revisiones</w:t>
      </w:r>
    </w:p>
    <w:p>
      <w:pPr>
        <w:pStyle w:val="Heading2"/>
      </w:pPr>
      <w:r>
        <w:t>17.1 ECR/ECO</w:t>
      </w:r>
    </w:p>
    <w:p>
      <w:r>
        <w:t>Los cambios se gestionarán mediante solicitud y orden de cambio. La app calculará impacto en cálculos, CAD, BOM, stock, compras, producción, documentación, proyectos y productos ya instalados.</w:t>
      </w:r>
    </w:p>
    <w:p>
      <w:pPr>
        <w:pStyle w:val="Heading2"/>
      </w:pPr>
      <w:r>
        <w:t>17.2 Clasificación del cambio</w:t>
      </w:r>
    </w:p>
    <w:tbl>
      <w:tblPr>
        <w:tblStyle w:val="TableGrid"/>
        <w:tblW w:type="auto" w:w="0"/>
        <w:jc w:val="center"/>
        <w:tblLook w:firstColumn="1" w:firstRow="1" w:lastColumn="0" w:lastRow="0" w:noHBand="0" w:noVBand="1" w:val="04A0"/>
      </w:tblPr>
      <w:tblGrid>
        <w:gridCol w:w="3389"/>
        <w:gridCol w:w="3389"/>
        <w:gridCol w:w="3389"/>
      </w:tblGrid>
      <w:tr>
        <w:tc>
          <w:tcPr>
            <w:tcW w:type="dxa" w:w="1872"/>
            <w:shd w:fill="000000"/>
            <w:vAlign w:val="center"/>
          </w:tcPr>
          <w:p>
            <w:pPr>
              <w:pStyle w:val="TableText"/>
              <w:spacing w:after="0"/>
            </w:pPr>
            <w:r/>
            <w:r>
              <w:rPr>
                <w:rFonts w:ascii="Arial" w:hAnsi="Arial"/>
                <w:b/>
                <w:color w:val="FFFFFF"/>
                <w:sz w:val="15"/>
              </w:rPr>
              <w:t>Clase</w:t>
            </w:r>
          </w:p>
        </w:tc>
        <w:tc>
          <w:tcPr>
            <w:tcW w:type="dxa" w:w="3456"/>
            <w:shd w:fill="000000"/>
            <w:vAlign w:val="center"/>
          </w:tcPr>
          <w:p>
            <w:pPr>
              <w:pStyle w:val="TableText"/>
              <w:spacing w:after="0"/>
            </w:pPr>
            <w:r/>
            <w:r>
              <w:rPr>
                <w:rFonts w:ascii="Arial" w:hAnsi="Arial"/>
                <w:b/>
                <w:color w:val="FFFFFF"/>
                <w:sz w:val="15"/>
              </w:rPr>
              <w:t>Ejemplo</w:t>
            </w:r>
          </w:p>
        </w:tc>
        <w:tc>
          <w:tcPr>
            <w:tcW w:type="dxa" w:w="4752"/>
            <w:shd w:fill="000000"/>
            <w:vAlign w:val="center"/>
          </w:tcPr>
          <w:p>
            <w:pPr>
              <w:pStyle w:val="TableText"/>
              <w:spacing w:after="0"/>
            </w:pPr>
            <w:r/>
            <w:r>
              <w:rPr>
                <w:rFonts w:ascii="Arial" w:hAnsi="Arial"/>
                <w:b/>
                <w:color w:val="FFFFFF"/>
                <w:sz w:val="15"/>
              </w:rPr>
              <w:t>Acción</w:t>
            </w:r>
          </w:p>
        </w:tc>
      </w:tr>
      <w:tr>
        <w:tc>
          <w:tcPr>
            <w:tcW w:type="dxa" w:w="1872"/>
            <w:vAlign w:val="center"/>
          </w:tcPr>
          <w:p>
            <w:pPr>
              <w:pStyle w:val="TableText"/>
              <w:spacing w:after="0"/>
            </w:pPr>
            <w:r/>
            <w:r>
              <w:rPr>
                <w:rFonts w:ascii="Arial" w:hAnsi="Arial"/>
                <w:b w:val="0"/>
                <w:sz w:val="14"/>
              </w:rPr>
              <w:t>Editorial</w:t>
            </w:r>
          </w:p>
        </w:tc>
        <w:tc>
          <w:tcPr>
            <w:tcW w:type="dxa" w:w="3456"/>
            <w:vAlign w:val="center"/>
          </w:tcPr>
          <w:p>
            <w:pPr>
              <w:pStyle w:val="TableText"/>
              <w:spacing w:after="0"/>
            </w:pPr>
            <w:r/>
            <w:r>
              <w:rPr>
                <w:rFonts w:ascii="Arial" w:hAnsi="Arial"/>
                <w:b w:val="0"/>
                <w:sz w:val="14"/>
              </w:rPr>
              <w:t>Nota o formato</w:t>
            </w:r>
          </w:p>
        </w:tc>
        <w:tc>
          <w:tcPr>
            <w:tcW w:type="dxa" w:w="4752"/>
            <w:vAlign w:val="center"/>
          </w:tcPr>
          <w:p>
            <w:pPr>
              <w:pStyle w:val="TableText"/>
              <w:spacing w:after="0"/>
            </w:pPr>
            <w:r/>
            <w:r>
              <w:rPr>
                <w:rFonts w:ascii="Arial" w:hAnsi="Arial"/>
                <w:b w:val="0"/>
                <w:sz w:val="14"/>
              </w:rPr>
              <w:t>No recálculo; regenerar documento.</w:t>
            </w:r>
          </w:p>
        </w:tc>
      </w:tr>
      <w:tr>
        <w:tc>
          <w:tcPr>
            <w:tcW w:type="dxa" w:w="1872"/>
            <w:vAlign w:val="center"/>
          </w:tcPr>
          <w:p>
            <w:pPr>
              <w:pStyle w:val="TableText"/>
              <w:spacing w:after="0"/>
            </w:pPr>
            <w:r/>
            <w:r>
              <w:rPr>
                <w:rFonts w:ascii="Arial" w:hAnsi="Arial"/>
                <w:b w:val="0"/>
                <w:sz w:val="14"/>
              </w:rPr>
              <w:t>Industrial</w:t>
            </w:r>
          </w:p>
        </w:tc>
        <w:tc>
          <w:tcPr>
            <w:tcW w:type="dxa" w:w="3456"/>
            <w:vAlign w:val="center"/>
          </w:tcPr>
          <w:p>
            <w:pPr>
              <w:pStyle w:val="TableText"/>
              <w:spacing w:after="0"/>
            </w:pPr>
            <w:r/>
            <w:r>
              <w:rPr>
                <w:rFonts w:ascii="Arial" w:hAnsi="Arial"/>
                <w:b w:val="0"/>
                <w:sz w:val="14"/>
              </w:rPr>
              <w:t>Proveedor equivalente</w:t>
            </w:r>
          </w:p>
        </w:tc>
        <w:tc>
          <w:tcPr>
            <w:tcW w:type="dxa" w:w="4752"/>
            <w:vAlign w:val="center"/>
          </w:tcPr>
          <w:p>
            <w:pPr>
              <w:pStyle w:val="TableText"/>
              <w:spacing w:after="0"/>
            </w:pPr>
            <w:r/>
            <w:r>
              <w:rPr>
                <w:rFonts w:ascii="Arial" w:hAnsi="Arial"/>
                <w:b w:val="0"/>
                <w:sz w:val="14"/>
              </w:rPr>
              <w:t>Validar compatibilidad y coste.</w:t>
            </w:r>
          </w:p>
        </w:tc>
      </w:tr>
      <w:tr>
        <w:tc>
          <w:tcPr>
            <w:tcW w:type="dxa" w:w="1872"/>
            <w:vAlign w:val="center"/>
          </w:tcPr>
          <w:p>
            <w:pPr>
              <w:pStyle w:val="TableText"/>
              <w:spacing w:after="0"/>
            </w:pPr>
            <w:r/>
            <w:r>
              <w:rPr>
                <w:rFonts w:ascii="Arial" w:hAnsi="Arial"/>
                <w:b w:val="0"/>
                <w:sz w:val="14"/>
              </w:rPr>
              <w:t>Geométrico no estructural</w:t>
            </w:r>
          </w:p>
        </w:tc>
        <w:tc>
          <w:tcPr>
            <w:tcW w:type="dxa" w:w="3456"/>
            <w:vAlign w:val="center"/>
          </w:tcPr>
          <w:p>
            <w:pPr>
              <w:pStyle w:val="TableText"/>
              <w:spacing w:after="0"/>
            </w:pPr>
            <w:r/>
            <w:r>
              <w:rPr>
                <w:rFonts w:ascii="Arial" w:hAnsi="Arial"/>
                <w:b w:val="0"/>
                <w:sz w:val="14"/>
              </w:rPr>
              <w:t>Taladro auxiliar</w:t>
            </w:r>
          </w:p>
        </w:tc>
        <w:tc>
          <w:tcPr>
            <w:tcW w:type="dxa" w:w="4752"/>
            <w:vAlign w:val="center"/>
          </w:tcPr>
          <w:p>
            <w:pPr>
              <w:pStyle w:val="TableText"/>
              <w:spacing w:after="0"/>
            </w:pPr>
            <w:r/>
            <w:r>
              <w:rPr>
                <w:rFonts w:ascii="Arial" w:hAnsi="Arial"/>
                <w:b w:val="0"/>
                <w:sz w:val="14"/>
              </w:rPr>
              <w:t>Revisar interferencia y fabricación.</w:t>
            </w:r>
          </w:p>
        </w:tc>
      </w:tr>
      <w:tr>
        <w:tc>
          <w:tcPr>
            <w:tcW w:type="dxa" w:w="1872"/>
            <w:vAlign w:val="center"/>
          </w:tcPr>
          <w:p>
            <w:pPr>
              <w:pStyle w:val="TableText"/>
              <w:spacing w:after="0"/>
            </w:pPr>
            <w:r/>
            <w:r>
              <w:rPr>
                <w:rFonts w:ascii="Arial" w:hAnsi="Arial"/>
                <w:b w:val="0"/>
                <w:sz w:val="14"/>
              </w:rPr>
              <w:t>Estructural</w:t>
            </w:r>
          </w:p>
        </w:tc>
        <w:tc>
          <w:tcPr>
            <w:tcW w:type="dxa" w:w="3456"/>
            <w:vAlign w:val="center"/>
          </w:tcPr>
          <w:p>
            <w:pPr>
              <w:pStyle w:val="TableText"/>
              <w:spacing w:after="0"/>
            </w:pPr>
            <w:r/>
            <w:r>
              <w:rPr>
                <w:rFonts w:ascii="Arial" w:hAnsi="Arial"/>
                <w:b w:val="0"/>
                <w:sz w:val="14"/>
              </w:rPr>
              <w:t>Espesor, diámetro, soldadura</w:t>
            </w:r>
          </w:p>
        </w:tc>
        <w:tc>
          <w:tcPr>
            <w:tcW w:type="dxa" w:w="4752"/>
            <w:vAlign w:val="center"/>
          </w:tcPr>
          <w:p>
            <w:pPr>
              <w:pStyle w:val="TableText"/>
              <w:spacing w:after="0"/>
            </w:pPr>
            <w:r/>
            <w:r>
              <w:rPr>
                <w:rFonts w:ascii="Arial" w:hAnsi="Arial"/>
                <w:b w:val="0"/>
                <w:sz w:val="14"/>
              </w:rPr>
              <w:t>Recálculo completo afectado.</w:t>
            </w:r>
          </w:p>
        </w:tc>
      </w:tr>
      <w:tr>
        <w:tc>
          <w:tcPr>
            <w:tcW w:type="dxa" w:w="1872"/>
            <w:vAlign w:val="center"/>
          </w:tcPr>
          <w:p>
            <w:pPr>
              <w:pStyle w:val="TableText"/>
              <w:spacing w:after="0"/>
            </w:pPr>
            <w:r/>
            <w:r>
              <w:rPr>
                <w:rFonts w:ascii="Arial" w:hAnsi="Arial"/>
                <w:b w:val="0"/>
                <w:sz w:val="14"/>
              </w:rPr>
              <w:t>Regulatorio</w:t>
            </w:r>
          </w:p>
        </w:tc>
        <w:tc>
          <w:tcPr>
            <w:tcW w:type="dxa" w:w="3456"/>
            <w:vAlign w:val="center"/>
          </w:tcPr>
          <w:p>
            <w:pPr>
              <w:pStyle w:val="TableText"/>
              <w:spacing w:after="0"/>
            </w:pPr>
            <w:r/>
            <w:r>
              <w:rPr>
                <w:rFonts w:ascii="Arial" w:hAnsi="Arial"/>
                <w:b w:val="0"/>
                <w:sz w:val="14"/>
              </w:rPr>
              <w:t>Norma o marcado</w:t>
            </w:r>
          </w:p>
        </w:tc>
        <w:tc>
          <w:tcPr>
            <w:tcW w:type="dxa" w:w="4752"/>
            <w:vAlign w:val="center"/>
          </w:tcPr>
          <w:p>
            <w:pPr>
              <w:pStyle w:val="TableText"/>
              <w:spacing w:after="0"/>
            </w:pPr>
            <w:r/>
            <w:r>
              <w:rPr>
                <w:rFonts w:ascii="Arial" w:hAnsi="Arial"/>
                <w:b w:val="0"/>
                <w:sz w:val="14"/>
              </w:rPr>
              <w:t>Revisar documentación y validez.</w:t>
            </w:r>
          </w:p>
        </w:tc>
      </w:tr>
    </w:tbl>
    <w:p>
      <w:pPr>
        <w:spacing w:after="20"/>
      </w:pPr>
    </w:p>
    <w:p>
      <w:pPr>
        <w:pStyle w:val="Heading2"/>
      </w:pPr>
      <w:r>
        <w:t>17.3 Effectivity</w:t>
      </w:r>
    </w:p>
    <w:p>
      <w:r>
        <w:t>Toda revisión podrá tener vigencia por fecha, lote, número de serie, planta, mercado o proyecto. ERP y producción recibirán solo revisiones liberadas y efectivas.</w:t>
      </w:r>
    </w:p>
    <w:p>
      <w:pPr>
        <w:pStyle w:val="Heading1"/>
      </w:pPr>
      <w:r>
        <w:t>18. Arquitectura técnica</w:t>
      </w:r>
    </w:p>
    <w:p>
      <w:pPr>
        <w:pStyle w:val="Heading2"/>
      </w:pPr>
      <w:r>
        <w:t>18.1 Servicios</w:t>
      </w:r>
    </w:p>
    <w:tbl>
      <w:tblPr>
        <w:tblStyle w:val="TableGrid"/>
        <w:tblW w:type="auto" w:w="0"/>
        <w:jc w:val="center"/>
        <w:tblLook w:firstColumn="1" w:firstRow="1" w:lastColumn="0" w:lastRow="0" w:noHBand="0" w:noVBand="1" w:val="04A0"/>
      </w:tblPr>
      <w:tblGrid>
        <w:gridCol w:w="5083"/>
        <w:gridCol w:w="5083"/>
      </w:tblGrid>
      <w:tr>
        <w:tc>
          <w:tcPr>
            <w:tcW w:type="dxa" w:w="3312"/>
            <w:shd w:fill="000000"/>
            <w:vAlign w:val="center"/>
          </w:tcPr>
          <w:p>
            <w:pPr>
              <w:pStyle w:val="TableText"/>
              <w:spacing w:after="0"/>
            </w:pPr>
            <w:r/>
            <w:r>
              <w:rPr>
                <w:rFonts w:ascii="Arial" w:hAnsi="Arial"/>
                <w:b/>
                <w:color w:val="FFFFFF"/>
                <w:sz w:val="15"/>
              </w:rPr>
              <w:t>Servicio</w:t>
            </w:r>
          </w:p>
        </w:tc>
        <w:tc>
          <w:tcPr>
            <w:tcW w:type="dxa" w:w="6768"/>
            <w:shd w:fill="000000"/>
            <w:vAlign w:val="center"/>
          </w:tcPr>
          <w:p>
            <w:pPr>
              <w:pStyle w:val="TableText"/>
              <w:spacing w:after="0"/>
            </w:pPr>
            <w:r/>
            <w:r>
              <w:rPr>
                <w:rFonts w:ascii="Arial" w:hAnsi="Arial"/>
                <w:b/>
                <w:color w:val="FFFFFF"/>
                <w:sz w:val="15"/>
              </w:rPr>
              <w:t>Responsabilidad</w:t>
            </w:r>
          </w:p>
        </w:tc>
      </w:tr>
      <w:tr>
        <w:tc>
          <w:tcPr>
            <w:tcW w:type="dxa" w:w="3312"/>
            <w:vAlign w:val="center"/>
          </w:tcPr>
          <w:p>
            <w:pPr>
              <w:pStyle w:val="TableText"/>
              <w:spacing w:after="0"/>
            </w:pPr>
            <w:r/>
            <w:r>
              <w:rPr>
                <w:rFonts w:ascii="Arial" w:hAnsi="Arial"/>
                <w:b w:val="0"/>
                <w:sz w:val="14"/>
              </w:rPr>
              <w:t>product-definition-service</w:t>
            </w:r>
          </w:p>
        </w:tc>
        <w:tc>
          <w:tcPr>
            <w:tcW w:type="dxa" w:w="6768"/>
            <w:vAlign w:val="center"/>
          </w:tcPr>
          <w:p>
            <w:pPr>
              <w:pStyle w:val="TableText"/>
              <w:spacing w:after="0"/>
            </w:pPr>
            <w:r/>
            <w:r>
              <w:rPr>
                <w:rFonts w:ascii="Arial" w:hAnsi="Arial"/>
                <w:b w:val="0"/>
                <w:sz w:val="14"/>
              </w:rPr>
              <w:t>Construye y versiona ProductSnapshot.</w:t>
            </w:r>
          </w:p>
        </w:tc>
      </w:tr>
      <w:tr>
        <w:tc>
          <w:tcPr>
            <w:tcW w:type="dxa" w:w="3312"/>
            <w:vAlign w:val="center"/>
          </w:tcPr>
          <w:p>
            <w:pPr>
              <w:pStyle w:val="TableText"/>
              <w:spacing w:after="0"/>
            </w:pPr>
            <w:r/>
            <w:r>
              <w:rPr>
                <w:rFonts w:ascii="Arial" w:hAnsi="Arial"/>
                <w:b w:val="0"/>
                <w:sz w:val="14"/>
              </w:rPr>
              <w:t>cad-generation-service</w:t>
            </w:r>
          </w:p>
        </w:tc>
        <w:tc>
          <w:tcPr>
            <w:tcW w:type="dxa" w:w="6768"/>
            <w:vAlign w:val="center"/>
          </w:tcPr>
          <w:p>
            <w:pPr>
              <w:pStyle w:val="TableText"/>
              <w:spacing w:after="0"/>
            </w:pPr>
            <w:r/>
            <w:r>
              <w:rPr>
                <w:rFonts w:ascii="Arial" w:hAnsi="Arial"/>
                <w:b w:val="0"/>
                <w:sz w:val="14"/>
              </w:rPr>
              <w:t>Genera B-Rep, STEP, DXF, GLB y propiedades.</w:t>
            </w:r>
          </w:p>
        </w:tc>
      </w:tr>
      <w:tr>
        <w:tc>
          <w:tcPr>
            <w:tcW w:type="dxa" w:w="3312"/>
            <w:vAlign w:val="center"/>
          </w:tcPr>
          <w:p>
            <w:pPr>
              <w:pStyle w:val="TableText"/>
              <w:spacing w:after="0"/>
            </w:pPr>
            <w:r/>
            <w:r>
              <w:rPr>
                <w:rFonts w:ascii="Arial" w:hAnsi="Arial"/>
                <w:b w:val="0"/>
                <w:sz w:val="14"/>
              </w:rPr>
              <w:t>drawing-service</w:t>
            </w:r>
          </w:p>
        </w:tc>
        <w:tc>
          <w:tcPr>
            <w:tcW w:type="dxa" w:w="6768"/>
            <w:vAlign w:val="center"/>
          </w:tcPr>
          <w:p>
            <w:pPr>
              <w:pStyle w:val="TableText"/>
              <w:spacing w:after="0"/>
            </w:pPr>
            <w:r/>
            <w:r>
              <w:rPr>
                <w:rFonts w:ascii="Arial" w:hAnsi="Arial"/>
                <w:b w:val="0"/>
                <w:sz w:val="14"/>
              </w:rPr>
              <w:t>Genera vistas, cotas y planos.</w:t>
            </w:r>
          </w:p>
        </w:tc>
      </w:tr>
      <w:tr>
        <w:tc>
          <w:tcPr>
            <w:tcW w:type="dxa" w:w="3312"/>
            <w:vAlign w:val="center"/>
          </w:tcPr>
          <w:p>
            <w:pPr>
              <w:pStyle w:val="TableText"/>
              <w:spacing w:after="0"/>
            </w:pPr>
            <w:r/>
            <w:r>
              <w:rPr>
                <w:rFonts w:ascii="Arial" w:hAnsi="Arial"/>
                <w:b w:val="0"/>
                <w:sz w:val="14"/>
              </w:rPr>
              <w:t>bom-service</w:t>
            </w:r>
          </w:p>
        </w:tc>
        <w:tc>
          <w:tcPr>
            <w:tcW w:type="dxa" w:w="6768"/>
            <w:vAlign w:val="center"/>
          </w:tcPr>
          <w:p>
            <w:pPr>
              <w:pStyle w:val="TableText"/>
              <w:spacing w:after="0"/>
            </w:pPr>
            <w:r/>
            <w:r>
              <w:rPr>
                <w:rFonts w:ascii="Arial" w:hAnsi="Arial"/>
                <w:b w:val="0"/>
                <w:sz w:val="14"/>
              </w:rPr>
              <w:t>Construye y reconcilia EBOM/MBOM/PBOM/SBOM.</w:t>
            </w:r>
          </w:p>
        </w:tc>
      </w:tr>
      <w:tr>
        <w:tc>
          <w:tcPr>
            <w:tcW w:type="dxa" w:w="3312"/>
            <w:vAlign w:val="center"/>
          </w:tcPr>
          <w:p>
            <w:pPr>
              <w:pStyle w:val="TableText"/>
              <w:spacing w:after="0"/>
            </w:pPr>
            <w:r/>
            <w:r>
              <w:rPr>
                <w:rFonts w:ascii="Arial" w:hAnsi="Arial"/>
                <w:b w:val="0"/>
                <w:sz w:val="14"/>
              </w:rPr>
              <w:t>routing-service</w:t>
            </w:r>
          </w:p>
        </w:tc>
        <w:tc>
          <w:tcPr>
            <w:tcW w:type="dxa" w:w="6768"/>
            <w:vAlign w:val="center"/>
          </w:tcPr>
          <w:p>
            <w:pPr>
              <w:pStyle w:val="TableText"/>
              <w:spacing w:after="0"/>
            </w:pPr>
            <w:r/>
            <w:r>
              <w:rPr>
                <w:rFonts w:ascii="Arial" w:hAnsi="Arial"/>
                <w:b w:val="0"/>
                <w:sz w:val="14"/>
              </w:rPr>
              <w:t>Genera rutas e instrucciones.</w:t>
            </w:r>
          </w:p>
        </w:tc>
      </w:tr>
      <w:tr>
        <w:tc>
          <w:tcPr>
            <w:tcW w:type="dxa" w:w="3312"/>
            <w:vAlign w:val="center"/>
          </w:tcPr>
          <w:p>
            <w:pPr>
              <w:pStyle w:val="TableText"/>
              <w:spacing w:after="0"/>
            </w:pPr>
            <w:r/>
            <w:r>
              <w:rPr>
                <w:rFonts w:ascii="Arial" w:hAnsi="Arial"/>
                <w:b w:val="0"/>
                <w:sz w:val="14"/>
              </w:rPr>
              <w:t>document-service</w:t>
            </w:r>
          </w:p>
        </w:tc>
        <w:tc>
          <w:tcPr>
            <w:tcW w:type="dxa" w:w="6768"/>
            <w:vAlign w:val="center"/>
          </w:tcPr>
          <w:p>
            <w:pPr>
              <w:pStyle w:val="TableText"/>
              <w:spacing w:after="0"/>
            </w:pPr>
            <w:r/>
            <w:r>
              <w:rPr>
                <w:rFonts w:ascii="Arial" w:hAnsi="Arial"/>
                <w:b w:val="0"/>
                <w:sz w:val="14"/>
              </w:rPr>
              <w:t>Genera paquetes DOCX/PDF y manifiestos.</w:t>
            </w:r>
          </w:p>
        </w:tc>
      </w:tr>
      <w:tr>
        <w:tc>
          <w:tcPr>
            <w:tcW w:type="dxa" w:w="3312"/>
            <w:vAlign w:val="center"/>
          </w:tcPr>
          <w:p>
            <w:pPr>
              <w:pStyle w:val="TableText"/>
              <w:spacing w:after="0"/>
            </w:pPr>
            <w:r/>
            <w:r>
              <w:rPr>
                <w:rFonts w:ascii="Arial" w:hAnsi="Arial"/>
                <w:b w:val="0"/>
                <w:sz w:val="14"/>
              </w:rPr>
              <w:t>release-service</w:t>
            </w:r>
          </w:p>
        </w:tc>
        <w:tc>
          <w:tcPr>
            <w:tcW w:type="dxa" w:w="6768"/>
            <w:vAlign w:val="center"/>
          </w:tcPr>
          <w:p>
            <w:pPr>
              <w:pStyle w:val="TableText"/>
              <w:spacing w:after="0"/>
            </w:pPr>
            <w:r/>
            <w:r>
              <w:rPr>
                <w:rFonts w:ascii="Arial" w:hAnsi="Arial"/>
                <w:b w:val="0"/>
                <w:sz w:val="14"/>
              </w:rPr>
              <w:t>Orquesta validaciones, aprobaciones y publicación.</w:t>
            </w:r>
          </w:p>
        </w:tc>
      </w:tr>
      <w:tr>
        <w:tc>
          <w:tcPr>
            <w:tcW w:type="dxa" w:w="3312"/>
            <w:vAlign w:val="center"/>
          </w:tcPr>
          <w:p>
            <w:pPr>
              <w:pStyle w:val="TableText"/>
              <w:spacing w:after="0"/>
            </w:pPr>
            <w:r/>
            <w:r>
              <w:rPr>
                <w:rFonts w:ascii="Arial" w:hAnsi="Arial"/>
                <w:b w:val="0"/>
                <w:sz w:val="14"/>
              </w:rPr>
              <w:t>integration-service</w:t>
            </w:r>
          </w:p>
        </w:tc>
        <w:tc>
          <w:tcPr>
            <w:tcW w:type="dxa" w:w="6768"/>
            <w:vAlign w:val="center"/>
          </w:tcPr>
          <w:p>
            <w:pPr>
              <w:pStyle w:val="TableText"/>
              <w:spacing w:after="0"/>
            </w:pPr>
            <w:r/>
            <w:r>
              <w:rPr>
                <w:rFonts w:ascii="Arial" w:hAnsi="Arial"/>
                <w:b w:val="0"/>
                <w:sz w:val="14"/>
              </w:rPr>
              <w:t>ERP/PDM/PLM/SolidWorks/proveedores.</w:t>
            </w:r>
          </w:p>
        </w:tc>
      </w:tr>
      <w:tr>
        <w:tc>
          <w:tcPr>
            <w:tcW w:type="dxa" w:w="3312"/>
            <w:vAlign w:val="center"/>
          </w:tcPr>
          <w:p>
            <w:pPr>
              <w:pStyle w:val="TableText"/>
              <w:spacing w:after="0"/>
            </w:pPr>
            <w:r/>
            <w:r>
              <w:rPr>
                <w:rFonts w:ascii="Arial" w:hAnsi="Arial"/>
                <w:b w:val="0"/>
                <w:sz w:val="14"/>
              </w:rPr>
              <w:t>artifact-store</w:t>
            </w:r>
          </w:p>
        </w:tc>
        <w:tc>
          <w:tcPr>
            <w:tcW w:type="dxa" w:w="6768"/>
            <w:vAlign w:val="center"/>
          </w:tcPr>
          <w:p>
            <w:pPr>
              <w:pStyle w:val="TableText"/>
              <w:spacing w:after="0"/>
            </w:pPr>
            <w:r/>
            <w:r>
              <w:rPr>
                <w:rFonts w:ascii="Arial" w:hAnsi="Arial"/>
                <w:b w:val="0"/>
                <w:sz w:val="14"/>
              </w:rPr>
              <w:t>Almacena binarios inmutables y hashes.</w:t>
            </w:r>
          </w:p>
        </w:tc>
      </w:tr>
      <w:tr>
        <w:tc>
          <w:tcPr>
            <w:tcW w:type="dxa" w:w="3312"/>
            <w:vAlign w:val="center"/>
          </w:tcPr>
          <w:p>
            <w:pPr>
              <w:pStyle w:val="TableText"/>
              <w:spacing w:after="0"/>
            </w:pPr>
            <w:r/>
            <w:r>
              <w:rPr>
                <w:rFonts w:ascii="Arial" w:hAnsi="Arial"/>
                <w:b w:val="0"/>
                <w:sz w:val="14"/>
              </w:rPr>
              <w:t>quality-service</w:t>
            </w:r>
          </w:p>
        </w:tc>
        <w:tc>
          <w:tcPr>
            <w:tcW w:type="dxa" w:w="6768"/>
            <w:vAlign w:val="center"/>
          </w:tcPr>
          <w:p>
            <w:pPr>
              <w:pStyle w:val="TableText"/>
              <w:spacing w:after="0"/>
            </w:pPr>
            <w:r/>
            <w:r>
              <w:rPr>
                <w:rFonts w:ascii="Arial" w:hAnsi="Arial"/>
                <w:b w:val="0"/>
                <w:sz w:val="14"/>
              </w:rPr>
              <w:t>Plan de control, as-built y no conformidades.</w:t>
            </w:r>
          </w:p>
        </w:tc>
      </w:tr>
    </w:tbl>
    <w:p>
      <w:pPr>
        <w:spacing w:after="20"/>
      </w:pPr>
    </w:p>
    <w:p>
      <w:pPr>
        <w:pStyle w:val="Heading2"/>
      </w:pPr>
      <w:r>
        <w:t>18.2 Ejecución asíncrona</w:t>
      </w:r>
    </w:p>
    <w:p>
      <w:r>
        <w:t>CAD, planos y paquetes documentales se ejecutarán como trabajos asíncronos idempotentes. Cada trabajo registrará inputs, versión del contenedor, kernel, logs, artefactos y resultado. Los reintentos no crearán revisiones duplicadas.</w:t>
      </w:r>
    </w:p>
    <w:p>
      <w:pPr>
        <w:pStyle w:val="Heading2"/>
      </w:pPr>
      <w:r>
        <w:t>18.3 Almacenamiento</w:t>
      </w:r>
    </w:p>
    <w:p>
      <w:r>
        <w:t>PostgreSQL almacenará metadatos y relaciones; almacenamiento de objetos versionado conservará CAD, planos, informes y evidencias. Se aplicarán retención, copias, cifrado y permisos por proyecto y clasificación.</w:t>
      </w:r>
    </w:p>
    <w:p>
      <w:pPr>
        <w:pStyle w:val="Heading1"/>
      </w:pPr>
      <w:r>
        <w:t>19. Modelo de datos</w:t>
      </w:r>
    </w:p>
    <w:tbl>
      <w:tblPr>
        <w:tblStyle w:val="TableGrid"/>
        <w:tblW w:type="auto" w:w="0"/>
        <w:jc w:val="center"/>
        <w:tblLook w:firstColumn="1" w:firstRow="1" w:lastColumn="0" w:lastRow="0" w:noHBand="0" w:noVBand="1" w:val="04A0"/>
      </w:tblPr>
      <w:tblGrid>
        <w:gridCol w:w="5083"/>
        <w:gridCol w:w="5083"/>
      </w:tblGrid>
      <w:tr>
        <w:tc>
          <w:tcPr>
            <w:tcW w:type="dxa" w:w="3600"/>
            <w:shd w:fill="000000"/>
            <w:vAlign w:val="center"/>
          </w:tcPr>
          <w:p>
            <w:pPr>
              <w:pStyle w:val="TableText"/>
              <w:spacing w:after="0"/>
            </w:pPr>
            <w:r/>
            <w:r>
              <w:rPr>
                <w:rFonts w:ascii="Arial" w:hAnsi="Arial"/>
                <w:b/>
                <w:color w:val="FFFFFF"/>
                <w:sz w:val="15"/>
              </w:rPr>
              <w:t>Entidad</w:t>
            </w:r>
          </w:p>
        </w:tc>
        <w:tc>
          <w:tcPr>
            <w:tcW w:type="dxa" w:w="6480"/>
            <w:shd w:fill="000000"/>
            <w:vAlign w:val="center"/>
          </w:tcPr>
          <w:p>
            <w:pPr>
              <w:pStyle w:val="TableText"/>
              <w:spacing w:after="0"/>
            </w:pPr>
            <w:r/>
            <w:r>
              <w:rPr>
                <w:rFonts w:ascii="Arial" w:hAnsi="Arial"/>
                <w:b/>
                <w:color w:val="FFFFFF"/>
                <w:sz w:val="15"/>
              </w:rPr>
              <w:t>Finalidad</w:t>
            </w:r>
          </w:p>
        </w:tc>
      </w:tr>
      <w:tr>
        <w:tc>
          <w:tcPr>
            <w:tcW w:type="dxa" w:w="3600"/>
            <w:vAlign w:val="center"/>
          </w:tcPr>
          <w:p>
            <w:pPr>
              <w:pStyle w:val="TableText"/>
              <w:spacing w:after="0"/>
            </w:pPr>
            <w:r/>
            <w:r>
              <w:rPr>
                <w:rFonts w:ascii="Arial" w:hAnsi="Arial"/>
                <w:b w:val="0"/>
                <w:sz w:val="14"/>
              </w:rPr>
              <w:t>ProductSnapshot</w:t>
            </w:r>
          </w:p>
        </w:tc>
        <w:tc>
          <w:tcPr>
            <w:tcW w:type="dxa" w:w="6480"/>
            <w:vAlign w:val="center"/>
          </w:tcPr>
          <w:p>
            <w:pPr>
              <w:pStyle w:val="TableText"/>
              <w:spacing w:after="0"/>
            </w:pPr>
            <w:r/>
            <w:r>
              <w:rPr>
                <w:rFonts w:ascii="Arial" w:hAnsi="Arial"/>
                <w:b w:val="0"/>
                <w:sz w:val="14"/>
              </w:rPr>
              <w:t>Contrato industrial congelado.</w:t>
            </w:r>
          </w:p>
        </w:tc>
      </w:tr>
      <w:tr>
        <w:tc>
          <w:tcPr>
            <w:tcW w:type="dxa" w:w="3600"/>
            <w:vAlign w:val="center"/>
          </w:tcPr>
          <w:p>
            <w:pPr>
              <w:pStyle w:val="TableText"/>
              <w:spacing w:after="0"/>
            </w:pPr>
            <w:r/>
            <w:r>
              <w:rPr>
                <w:rFonts w:ascii="Arial" w:hAnsi="Arial"/>
                <w:b w:val="0"/>
                <w:sz w:val="14"/>
              </w:rPr>
              <w:t>ProductAssembly</w:t>
            </w:r>
          </w:p>
        </w:tc>
        <w:tc>
          <w:tcPr>
            <w:tcW w:type="dxa" w:w="6480"/>
            <w:vAlign w:val="center"/>
          </w:tcPr>
          <w:p>
            <w:pPr>
              <w:pStyle w:val="TableText"/>
              <w:spacing w:after="0"/>
            </w:pPr>
            <w:r/>
            <w:r>
              <w:rPr>
                <w:rFonts w:ascii="Arial" w:hAnsi="Arial"/>
                <w:b w:val="0"/>
                <w:sz w:val="14"/>
              </w:rPr>
              <w:t>Jerarquía de montaje.</w:t>
            </w:r>
          </w:p>
        </w:tc>
      </w:tr>
      <w:tr>
        <w:tc>
          <w:tcPr>
            <w:tcW w:type="dxa" w:w="3600"/>
            <w:vAlign w:val="center"/>
          </w:tcPr>
          <w:p>
            <w:pPr>
              <w:pStyle w:val="TableText"/>
              <w:spacing w:after="0"/>
            </w:pPr>
            <w:r/>
            <w:r>
              <w:rPr>
                <w:rFonts w:ascii="Arial" w:hAnsi="Arial"/>
                <w:b w:val="0"/>
                <w:sz w:val="14"/>
              </w:rPr>
              <w:t>PartDefinition</w:t>
            </w:r>
          </w:p>
        </w:tc>
        <w:tc>
          <w:tcPr>
            <w:tcW w:type="dxa" w:w="6480"/>
            <w:vAlign w:val="center"/>
          </w:tcPr>
          <w:p>
            <w:pPr>
              <w:pStyle w:val="TableText"/>
              <w:spacing w:after="0"/>
            </w:pPr>
            <w:r/>
            <w:r>
              <w:rPr>
                <w:rFonts w:ascii="Arial" w:hAnsi="Arial"/>
                <w:b w:val="0"/>
                <w:sz w:val="14"/>
              </w:rPr>
              <w:t>Pieza y parámetros.</w:t>
            </w:r>
          </w:p>
        </w:tc>
      </w:tr>
      <w:tr>
        <w:tc>
          <w:tcPr>
            <w:tcW w:type="dxa" w:w="3600"/>
            <w:vAlign w:val="center"/>
          </w:tcPr>
          <w:p>
            <w:pPr>
              <w:pStyle w:val="TableText"/>
              <w:spacing w:after="0"/>
            </w:pPr>
            <w:r/>
            <w:r>
              <w:rPr>
                <w:rFonts w:ascii="Arial" w:hAnsi="Arial"/>
                <w:b w:val="0"/>
                <w:sz w:val="14"/>
              </w:rPr>
              <w:t>FeatureDefinition</w:t>
            </w:r>
          </w:p>
        </w:tc>
        <w:tc>
          <w:tcPr>
            <w:tcW w:type="dxa" w:w="6480"/>
            <w:vAlign w:val="center"/>
          </w:tcPr>
          <w:p>
            <w:pPr>
              <w:pStyle w:val="TableText"/>
              <w:spacing w:after="0"/>
            </w:pPr>
            <w:r/>
            <w:r>
              <w:rPr>
                <w:rFonts w:ascii="Arial" w:hAnsi="Arial"/>
                <w:b w:val="0"/>
                <w:sz w:val="14"/>
              </w:rPr>
              <w:t>Hueco, taladro, pliegue, soldadura, etc.</w:t>
            </w:r>
          </w:p>
        </w:tc>
      </w:tr>
      <w:tr>
        <w:tc>
          <w:tcPr>
            <w:tcW w:type="dxa" w:w="3600"/>
            <w:vAlign w:val="center"/>
          </w:tcPr>
          <w:p>
            <w:pPr>
              <w:pStyle w:val="TableText"/>
              <w:spacing w:after="0"/>
            </w:pPr>
            <w:r/>
            <w:r>
              <w:rPr>
                <w:rFonts w:ascii="Arial" w:hAnsi="Arial"/>
                <w:b w:val="0"/>
                <w:sz w:val="14"/>
              </w:rPr>
              <w:t>InterfaceDefinition</w:t>
            </w:r>
          </w:p>
        </w:tc>
        <w:tc>
          <w:tcPr>
            <w:tcW w:type="dxa" w:w="6480"/>
            <w:vAlign w:val="center"/>
          </w:tcPr>
          <w:p>
            <w:pPr>
              <w:pStyle w:val="TableText"/>
              <w:spacing w:after="0"/>
            </w:pPr>
            <w:r/>
            <w:r>
              <w:rPr>
                <w:rFonts w:ascii="Arial" w:hAnsi="Arial"/>
                <w:b w:val="0"/>
                <w:sz w:val="14"/>
              </w:rPr>
              <w:t>Acoplamientos controlados.</w:t>
            </w:r>
          </w:p>
        </w:tc>
      </w:tr>
      <w:tr>
        <w:tc>
          <w:tcPr>
            <w:tcW w:type="dxa" w:w="3600"/>
            <w:vAlign w:val="center"/>
          </w:tcPr>
          <w:p>
            <w:pPr>
              <w:pStyle w:val="TableText"/>
              <w:spacing w:after="0"/>
            </w:pPr>
            <w:r/>
            <w:r>
              <w:rPr>
                <w:rFonts w:ascii="Arial" w:hAnsi="Arial"/>
                <w:b w:val="0"/>
                <w:sz w:val="14"/>
              </w:rPr>
              <w:t>CadArtifact</w:t>
            </w:r>
          </w:p>
        </w:tc>
        <w:tc>
          <w:tcPr>
            <w:tcW w:type="dxa" w:w="6480"/>
            <w:vAlign w:val="center"/>
          </w:tcPr>
          <w:p>
            <w:pPr>
              <w:pStyle w:val="TableText"/>
              <w:spacing w:after="0"/>
            </w:pPr>
            <w:r/>
            <w:r>
              <w:rPr>
                <w:rFonts w:ascii="Arial" w:hAnsi="Arial"/>
                <w:b w:val="0"/>
                <w:sz w:val="14"/>
              </w:rPr>
              <w:t>Archivo y metadatos CAD.</w:t>
            </w:r>
          </w:p>
        </w:tc>
      </w:tr>
      <w:tr>
        <w:tc>
          <w:tcPr>
            <w:tcW w:type="dxa" w:w="3600"/>
            <w:vAlign w:val="center"/>
          </w:tcPr>
          <w:p>
            <w:pPr>
              <w:pStyle w:val="TableText"/>
              <w:spacing w:after="0"/>
            </w:pPr>
            <w:r/>
            <w:r>
              <w:rPr>
                <w:rFonts w:ascii="Arial" w:hAnsi="Arial"/>
                <w:b w:val="0"/>
                <w:sz w:val="14"/>
              </w:rPr>
              <w:t>DrawingArtifact</w:t>
            </w:r>
          </w:p>
        </w:tc>
        <w:tc>
          <w:tcPr>
            <w:tcW w:type="dxa" w:w="6480"/>
            <w:vAlign w:val="center"/>
          </w:tcPr>
          <w:p>
            <w:pPr>
              <w:pStyle w:val="TableText"/>
              <w:spacing w:after="0"/>
            </w:pPr>
            <w:r/>
            <w:r>
              <w:rPr>
                <w:rFonts w:ascii="Arial" w:hAnsi="Arial"/>
                <w:b w:val="0"/>
                <w:sz w:val="14"/>
              </w:rPr>
              <w:t>Plano y revisión.</w:t>
            </w:r>
          </w:p>
        </w:tc>
      </w:tr>
      <w:tr>
        <w:tc>
          <w:tcPr>
            <w:tcW w:type="dxa" w:w="3600"/>
            <w:vAlign w:val="center"/>
          </w:tcPr>
          <w:p>
            <w:pPr>
              <w:pStyle w:val="TableText"/>
              <w:spacing w:after="0"/>
            </w:pPr>
            <w:r/>
            <w:r>
              <w:rPr>
                <w:rFonts w:ascii="Arial" w:hAnsi="Arial"/>
                <w:b w:val="0"/>
                <w:sz w:val="14"/>
              </w:rPr>
              <w:t>BomHeader</w:t>
            </w:r>
          </w:p>
        </w:tc>
        <w:tc>
          <w:tcPr>
            <w:tcW w:type="dxa" w:w="6480"/>
            <w:vAlign w:val="center"/>
          </w:tcPr>
          <w:p>
            <w:pPr>
              <w:pStyle w:val="TableText"/>
              <w:spacing w:after="0"/>
            </w:pPr>
            <w:r/>
            <w:r>
              <w:rPr>
                <w:rFonts w:ascii="Arial" w:hAnsi="Arial"/>
                <w:b w:val="0"/>
                <w:sz w:val="14"/>
              </w:rPr>
              <w:t>Cabecera de vista BOM.</w:t>
            </w:r>
          </w:p>
        </w:tc>
      </w:tr>
      <w:tr>
        <w:tc>
          <w:tcPr>
            <w:tcW w:type="dxa" w:w="3600"/>
            <w:vAlign w:val="center"/>
          </w:tcPr>
          <w:p>
            <w:pPr>
              <w:pStyle w:val="TableText"/>
              <w:spacing w:after="0"/>
            </w:pPr>
            <w:r/>
            <w:r>
              <w:rPr>
                <w:rFonts w:ascii="Arial" w:hAnsi="Arial"/>
                <w:b w:val="0"/>
                <w:sz w:val="14"/>
              </w:rPr>
              <w:t>BomLine</w:t>
            </w:r>
          </w:p>
        </w:tc>
        <w:tc>
          <w:tcPr>
            <w:tcW w:type="dxa" w:w="6480"/>
            <w:vAlign w:val="center"/>
          </w:tcPr>
          <w:p>
            <w:pPr>
              <w:pStyle w:val="TableText"/>
              <w:spacing w:after="0"/>
            </w:pPr>
            <w:r/>
            <w:r>
              <w:rPr>
                <w:rFonts w:ascii="Arial" w:hAnsi="Arial"/>
                <w:b w:val="0"/>
                <w:sz w:val="14"/>
              </w:rPr>
              <w:t>Componente, cantidad y regla.</w:t>
            </w:r>
          </w:p>
        </w:tc>
      </w:tr>
      <w:tr>
        <w:tc>
          <w:tcPr>
            <w:tcW w:type="dxa" w:w="3600"/>
            <w:vAlign w:val="center"/>
          </w:tcPr>
          <w:p>
            <w:pPr>
              <w:pStyle w:val="TableText"/>
              <w:spacing w:after="0"/>
            </w:pPr>
            <w:r/>
            <w:r>
              <w:rPr>
                <w:rFonts w:ascii="Arial" w:hAnsi="Arial"/>
                <w:b w:val="0"/>
                <w:sz w:val="14"/>
              </w:rPr>
              <w:t>MaterialRequirement</w:t>
            </w:r>
          </w:p>
        </w:tc>
        <w:tc>
          <w:tcPr>
            <w:tcW w:type="dxa" w:w="6480"/>
            <w:vAlign w:val="center"/>
          </w:tcPr>
          <w:p>
            <w:pPr>
              <w:pStyle w:val="TableText"/>
              <w:spacing w:after="0"/>
            </w:pPr>
            <w:r/>
            <w:r>
              <w:rPr>
                <w:rFonts w:ascii="Arial" w:hAnsi="Arial"/>
                <w:b w:val="0"/>
                <w:sz w:val="14"/>
              </w:rPr>
              <w:t>Materia prima, formato y merma.</w:t>
            </w:r>
          </w:p>
        </w:tc>
      </w:tr>
      <w:tr>
        <w:tc>
          <w:tcPr>
            <w:tcW w:type="dxa" w:w="3600"/>
            <w:vAlign w:val="center"/>
          </w:tcPr>
          <w:p>
            <w:pPr>
              <w:pStyle w:val="TableText"/>
              <w:spacing w:after="0"/>
            </w:pPr>
            <w:r/>
            <w:r>
              <w:rPr>
                <w:rFonts w:ascii="Arial" w:hAnsi="Arial"/>
                <w:b w:val="0"/>
                <w:sz w:val="14"/>
              </w:rPr>
              <w:t>Routing</w:t>
            </w:r>
          </w:p>
        </w:tc>
        <w:tc>
          <w:tcPr>
            <w:tcW w:type="dxa" w:w="6480"/>
            <w:vAlign w:val="center"/>
          </w:tcPr>
          <w:p>
            <w:pPr>
              <w:pStyle w:val="TableText"/>
              <w:spacing w:after="0"/>
            </w:pPr>
            <w:r/>
            <w:r>
              <w:rPr>
                <w:rFonts w:ascii="Arial" w:hAnsi="Arial"/>
                <w:b w:val="0"/>
                <w:sz w:val="14"/>
              </w:rPr>
              <w:t>Ruta homologada.</w:t>
            </w:r>
          </w:p>
        </w:tc>
      </w:tr>
      <w:tr>
        <w:tc>
          <w:tcPr>
            <w:tcW w:type="dxa" w:w="3600"/>
            <w:vAlign w:val="center"/>
          </w:tcPr>
          <w:p>
            <w:pPr>
              <w:pStyle w:val="TableText"/>
              <w:spacing w:after="0"/>
            </w:pPr>
            <w:r/>
            <w:r>
              <w:rPr>
                <w:rFonts w:ascii="Arial" w:hAnsi="Arial"/>
                <w:b w:val="0"/>
                <w:sz w:val="14"/>
              </w:rPr>
              <w:t>Operation</w:t>
            </w:r>
          </w:p>
        </w:tc>
        <w:tc>
          <w:tcPr>
            <w:tcW w:type="dxa" w:w="6480"/>
            <w:vAlign w:val="center"/>
          </w:tcPr>
          <w:p>
            <w:pPr>
              <w:pStyle w:val="TableText"/>
              <w:spacing w:after="0"/>
            </w:pPr>
            <w:r/>
            <w:r>
              <w:rPr>
                <w:rFonts w:ascii="Arial" w:hAnsi="Arial"/>
                <w:b w:val="0"/>
                <w:sz w:val="14"/>
              </w:rPr>
              <w:t>Proceso, recurso y tiempo.</w:t>
            </w:r>
          </w:p>
        </w:tc>
      </w:tr>
      <w:tr>
        <w:tc>
          <w:tcPr>
            <w:tcW w:type="dxa" w:w="3600"/>
            <w:vAlign w:val="center"/>
          </w:tcPr>
          <w:p>
            <w:pPr>
              <w:pStyle w:val="TableText"/>
              <w:spacing w:after="0"/>
            </w:pPr>
            <w:r/>
            <w:r>
              <w:rPr>
                <w:rFonts w:ascii="Arial" w:hAnsi="Arial"/>
                <w:b w:val="0"/>
                <w:sz w:val="14"/>
              </w:rPr>
              <w:t>WorkInstruction</w:t>
            </w:r>
          </w:p>
        </w:tc>
        <w:tc>
          <w:tcPr>
            <w:tcW w:type="dxa" w:w="6480"/>
            <w:vAlign w:val="center"/>
          </w:tcPr>
          <w:p>
            <w:pPr>
              <w:pStyle w:val="TableText"/>
              <w:spacing w:after="0"/>
            </w:pPr>
            <w:r/>
            <w:r>
              <w:rPr>
                <w:rFonts w:ascii="Arial" w:hAnsi="Arial"/>
                <w:b w:val="0"/>
                <w:sz w:val="14"/>
              </w:rPr>
              <w:t>Instrucción estructurada.</w:t>
            </w:r>
          </w:p>
        </w:tc>
      </w:tr>
      <w:tr>
        <w:tc>
          <w:tcPr>
            <w:tcW w:type="dxa" w:w="3600"/>
            <w:vAlign w:val="center"/>
          </w:tcPr>
          <w:p>
            <w:pPr>
              <w:pStyle w:val="TableText"/>
              <w:spacing w:after="0"/>
            </w:pPr>
            <w:r/>
            <w:r>
              <w:rPr>
                <w:rFonts w:ascii="Arial" w:hAnsi="Arial"/>
                <w:b w:val="0"/>
                <w:sz w:val="14"/>
              </w:rPr>
              <w:t>InspectionPlan</w:t>
            </w:r>
          </w:p>
        </w:tc>
        <w:tc>
          <w:tcPr>
            <w:tcW w:type="dxa" w:w="6480"/>
            <w:vAlign w:val="center"/>
          </w:tcPr>
          <w:p>
            <w:pPr>
              <w:pStyle w:val="TableText"/>
              <w:spacing w:after="0"/>
            </w:pPr>
            <w:r/>
            <w:r>
              <w:rPr>
                <w:rFonts w:ascii="Arial" w:hAnsi="Arial"/>
                <w:b w:val="0"/>
                <w:sz w:val="14"/>
              </w:rPr>
              <w:t>Plan de calidad.</w:t>
            </w:r>
          </w:p>
        </w:tc>
      </w:tr>
      <w:tr>
        <w:tc>
          <w:tcPr>
            <w:tcW w:type="dxa" w:w="3600"/>
            <w:vAlign w:val="center"/>
          </w:tcPr>
          <w:p>
            <w:pPr>
              <w:pStyle w:val="TableText"/>
              <w:spacing w:after="0"/>
            </w:pPr>
            <w:r/>
            <w:r>
              <w:rPr>
                <w:rFonts w:ascii="Arial" w:hAnsi="Arial"/>
                <w:b w:val="0"/>
                <w:sz w:val="14"/>
              </w:rPr>
              <w:t>InspectionCharacteristic</w:t>
            </w:r>
          </w:p>
        </w:tc>
        <w:tc>
          <w:tcPr>
            <w:tcW w:type="dxa" w:w="6480"/>
            <w:vAlign w:val="center"/>
          </w:tcPr>
          <w:p>
            <w:pPr>
              <w:pStyle w:val="TableText"/>
              <w:spacing w:after="0"/>
            </w:pPr>
            <w:r/>
            <w:r>
              <w:rPr>
                <w:rFonts w:ascii="Arial" w:hAnsi="Arial"/>
                <w:b w:val="0"/>
                <w:sz w:val="14"/>
              </w:rPr>
              <w:t>Control y tolerancia.</w:t>
            </w:r>
          </w:p>
        </w:tc>
      </w:tr>
      <w:tr>
        <w:tc>
          <w:tcPr>
            <w:tcW w:type="dxa" w:w="3600"/>
            <w:vAlign w:val="center"/>
          </w:tcPr>
          <w:p>
            <w:pPr>
              <w:pStyle w:val="TableText"/>
              <w:spacing w:after="0"/>
            </w:pPr>
            <w:r/>
            <w:r>
              <w:rPr>
                <w:rFonts w:ascii="Arial" w:hAnsi="Arial"/>
                <w:b w:val="0"/>
                <w:sz w:val="14"/>
              </w:rPr>
              <w:t>DocumentPackage</w:t>
            </w:r>
          </w:p>
        </w:tc>
        <w:tc>
          <w:tcPr>
            <w:tcW w:type="dxa" w:w="6480"/>
            <w:vAlign w:val="center"/>
          </w:tcPr>
          <w:p>
            <w:pPr>
              <w:pStyle w:val="TableText"/>
              <w:spacing w:after="0"/>
            </w:pPr>
            <w:r/>
            <w:r>
              <w:rPr>
                <w:rFonts w:ascii="Arial" w:hAnsi="Arial"/>
                <w:b w:val="0"/>
                <w:sz w:val="14"/>
              </w:rPr>
              <w:t>Conjunto por destinatario.</w:t>
            </w:r>
          </w:p>
        </w:tc>
      </w:tr>
      <w:tr>
        <w:tc>
          <w:tcPr>
            <w:tcW w:type="dxa" w:w="3600"/>
            <w:vAlign w:val="center"/>
          </w:tcPr>
          <w:p>
            <w:pPr>
              <w:pStyle w:val="TableText"/>
              <w:spacing w:after="0"/>
            </w:pPr>
            <w:r/>
            <w:r>
              <w:rPr>
                <w:rFonts w:ascii="Arial" w:hAnsi="Arial"/>
                <w:b w:val="0"/>
                <w:sz w:val="14"/>
              </w:rPr>
              <w:t>DocumentArtifact</w:t>
            </w:r>
          </w:p>
        </w:tc>
        <w:tc>
          <w:tcPr>
            <w:tcW w:type="dxa" w:w="6480"/>
            <w:vAlign w:val="center"/>
          </w:tcPr>
          <w:p>
            <w:pPr>
              <w:pStyle w:val="TableText"/>
              <w:spacing w:after="0"/>
            </w:pPr>
            <w:r/>
            <w:r>
              <w:rPr>
                <w:rFonts w:ascii="Arial" w:hAnsi="Arial"/>
                <w:b w:val="0"/>
                <w:sz w:val="14"/>
              </w:rPr>
              <w:t>Documento individual.</w:t>
            </w:r>
          </w:p>
        </w:tc>
      </w:tr>
      <w:tr>
        <w:tc>
          <w:tcPr>
            <w:tcW w:type="dxa" w:w="3600"/>
            <w:vAlign w:val="center"/>
          </w:tcPr>
          <w:p>
            <w:pPr>
              <w:pStyle w:val="TableText"/>
              <w:spacing w:after="0"/>
            </w:pPr>
            <w:r/>
            <w:r>
              <w:rPr>
                <w:rFonts w:ascii="Arial" w:hAnsi="Arial"/>
                <w:b w:val="0"/>
                <w:sz w:val="14"/>
              </w:rPr>
              <w:t>ReleaseRecord</w:t>
            </w:r>
          </w:p>
        </w:tc>
        <w:tc>
          <w:tcPr>
            <w:tcW w:type="dxa" w:w="6480"/>
            <w:vAlign w:val="center"/>
          </w:tcPr>
          <w:p>
            <w:pPr>
              <w:pStyle w:val="TableText"/>
              <w:spacing w:after="0"/>
            </w:pPr>
            <w:r/>
            <w:r>
              <w:rPr>
                <w:rFonts w:ascii="Arial" w:hAnsi="Arial"/>
                <w:b w:val="0"/>
                <w:sz w:val="14"/>
              </w:rPr>
              <w:t>Liberación y aprobación.</w:t>
            </w:r>
          </w:p>
        </w:tc>
      </w:tr>
      <w:tr>
        <w:tc>
          <w:tcPr>
            <w:tcW w:type="dxa" w:w="3600"/>
            <w:vAlign w:val="center"/>
          </w:tcPr>
          <w:p>
            <w:pPr>
              <w:pStyle w:val="TableText"/>
              <w:spacing w:after="0"/>
            </w:pPr>
            <w:r/>
            <w:r>
              <w:rPr>
                <w:rFonts w:ascii="Arial" w:hAnsi="Arial"/>
                <w:b w:val="0"/>
                <w:sz w:val="14"/>
              </w:rPr>
              <w:t>ChangeRequest</w:t>
            </w:r>
          </w:p>
        </w:tc>
        <w:tc>
          <w:tcPr>
            <w:tcW w:type="dxa" w:w="6480"/>
            <w:vAlign w:val="center"/>
          </w:tcPr>
          <w:p>
            <w:pPr>
              <w:pStyle w:val="TableText"/>
              <w:spacing w:after="0"/>
            </w:pPr>
            <w:r/>
            <w:r>
              <w:rPr>
                <w:rFonts w:ascii="Arial" w:hAnsi="Arial"/>
                <w:b w:val="0"/>
                <w:sz w:val="14"/>
              </w:rPr>
              <w:t>Solicitud de cambio.</w:t>
            </w:r>
          </w:p>
        </w:tc>
      </w:tr>
      <w:tr>
        <w:tc>
          <w:tcPr>
            <w:tcW w:type="dxa" w:w="3600"/>
            <w:vAlign w:val="center"/>
          </w:tcPr>
          <w:p>
            <w:pPr>
              <w:pStyle w:val="TableText"/>
              <w:spacing w:after="0"/>
            </w:pPr>
            <w:r/>
            <w:r>
              <w:rPr>
                <w:rFonts w:ascii="Arial" w:hAnsi="Arial"/>
                <w:b w:val="0"/>
                <w:sz w:val="14"/>
              </w:rPr>
              <w:t>ChangeOrder</w:t>
            </w:r>
          </w:p>
        </w:tc>
        <w:tc>
          <w:tcPr>
            <w:tcW w:type="dxa" w:w="6480"/>
            <w:vAlign w:val="center"/>
          </w:tcPr>
          <w:p>
            <w:pPr>
              <w:pStyle w:val="TableText"/>
              <w:spacing w:after="0"/>
            </w:pPr>
            <w:r/>
            <w:r>
              <w:rPr>
                <w:rFonts w:ascii="Arial" w:hAnsi="Arial"/>
                <w:b w:val="0"/>
                <w:sz w:val="14"/>
              </w:rPr>
              <w:t>Cambio aprobado.</w:t>
            </w:r>
          </w:p>
        </w:tc>
      </w:tr>
      <w:tr>
        <w:tc>
          <w:tcPr>
            <w:tcW w:type="dxa" w:w="3600"/>
            <w:vAlign w:val="center"/>
          </w:tcPr>
          <w:p>
            <w:pPr>
              <w:pStyle w:val="TableText"/>
              <w:spacing w:after="0"/>
            </w:pPr>
            <w:r/>
            <w:r>
              <w:rPr>
                <w:rFonts w:ascii="Arial" w:hAnsi="Arial"/>
                <w:b w:val="0"/>
                <w:sz w:val="14"/>
              </w:rPr>
              <w:t>SupplierManufacturingCapability</w:t>
            </w:r>
          </w:p>
        </w:tc>
        <w:tc>
          <w:tcPr>
            <w:tcW w:type="dxa" w:w="6480"/>
            <w:vAlign w:val="center"/>
          </w:tcPr>
          <w:p>
            <w:pPr>
              <w:pStyle w:val="TableText"/>
              <w:spacing w:after="0"/>
            </w:pPr>
            <w:r/>
            <w:r>
              <w:rPr>
                <w:rFonts w:ascii="Arial" w:hAnsi="Arial"/>
                <w:b w:val="0"/>
                <w:sz w:val="14"/>
              </w:rPr>
              <w:t>Límites del proveedor.</w:t>
            </w:r>
          </w:p>
        </w:tc>
      </w:tr>
      <w:tr>
        <w:tc>
          <w:tcPr>
            <w:tcW w:type="dxa" w:w="3600"/>
            <w:vAlign w:val="center"/>
          </w:tcPr>
          <w:p>
            <w:pPr>
              <w:pStyle w:val="TableText"/>
              <w:spacing w:after="0"/>
            </w:pPr>
            <w:r/>
            <w:r>
              <w:rPr>
                <w:rFonts w:ascii="Arial" w:hAnsi="Arial"/>
                <w:b w:val="0"/>
                <w:sz w:val="14"/>
              </w:rPr>
              <w:t>AsBuiltMeasurement</w:t>
            </w:r>
          </w:p>
        </w:tc>
        <w:tc>
          <w:tcPr>
            <w:tcW w:type="dxa" w:w="6480"/>
            <w:vAlign w:val="center"/>
          </w:tcPr>
          <w:p>
            <w:pPr>
              <w:pStyle w:val="TableText"/>
              <w:spacing w:after="0"/>
            </w:pPr>
            <w:r/>
            <w:r>
              <w:rPr>
                <w:rFonts w:ascii="Arial" w:hAnsi="Arial"/>
                <w:b w:val="0"/>
                <w:sz w:val="14"/>
              </w:rPr>
              <w:t>Medición real.</w:t>
            </w:r>
          </w:p>
        </w:tc>
      </w:tr>
      <w:tr>
        <w:tc>
          <w:tcPr>
            <w:tcW w:type="dxa" w:w="3600"/>
            <w:vAlign w:val="center"/>
          </w:tcPr>
          <w:p>
            <w:pPr>
              <w:pStyle w:val="TableText"/>
              <w:spacing w:after="0"/>
            </w:pPr>
            <w:r/>
            <w:r>
              <w:rPr>
                <w:rFonts w:ascii="Arial" w:hAnsi="Arial"/>
                <w:b w:val="0"/>
                <w:sz w:val="14"/>
              </w:rPr>
              <w:t>NonConformance</w:t>
            </w:r>
          </w:p>
        </w:tc>
        <w:tc>
          <w:tcPr>
            <w:tcW w:type="dxa" w:w="6480"/>
            <w:vAlign w:val="center"/>
          </w:tcPr>
          <w:p>
            <w:pPr>
              <w:pStyle w:val="TableText"/>
              <w:spacing w:after="0"/>
            </w:pPr>
            <w:r/>
            <w:r>
              <w:rPr>
                <w:rFonts w:ascii="Arial" w:hAnsi="Arial"/>
                <w:b w:val="0"/>
                <w:sz w:val="14"/>
              </w:rPr>
              <w:t>Desviación y disposición.</w:t>
            </w:r>
          </w:p>
        </w:tc>
      </w:tr>
      <w:tr>
        <w:tc>
          <w:tcPr>
            <w:tcW w:type="dxa" w:w="3600"/>
            <w:vAlign w:val="center"/>
          </w:tcPr>
          <w:p>
            <w:pPr>
              <w:pStyle w:val="TableText"/>
              <w:spacing w:after="0"/>
            </w:pPr>
            <w:r/>
            <w:r>
              <w:rPr>
                <w:rFonts w:ascii="Arial" w:hAnsi="Arial"/>
                <w:b w:val="0"/>
                <w:sz w:val="14"/>
              </w:rPr>
              <w:t>ArtifactManifest</w:t>
            </w:r>
          </w:p>
        </w:tc>
        <w:tc>
          <w:tcPr>
            <w:tcW w:type="dxa" w:w="6480"/>
            <w:vAlign w:val="center"/>
          </w:tcPr>
          <w:p>
            <w:pPr>
              <w:pStyle w:val="TableText"/>
              <w:spacing w:after="0"/>
            </w:pPr>
            <w:r/>
            <w:r>
              <w:rPr>
                <w:rFonts w:ascii="Arial" w:hAnsi="Arial"/>
                <w:b w:val="0"/>
                <w:sz w:val="14"/>
              </w:rPr>
              <w:t>Lista completa de archivos y hashes.</w:t>
            </w:r>
          </w:p>
        </w:tc>
      </w:tr>
    </w:tbl>
    <w:p>
      <w:pPr>
        <w:spacing w:after="20"/>
      </w:pPr>
    </w:p>
    <w:p>
      <w:pPr>
        <w:pStyle w:val="Heading1"/>
      </w:pPr>
      <w:r>
        <w:t>20. API y contratos</w:t>
      </w:r>
    </w:p>
    <w:p>
      <w:pPr>
        <w:pStyle w:val="Heading2"/>
      </w:pPr>
      <w:r>
        <w:t>20.1 Endpoints principales</w:t>
      </w:r>
    </w:p>
    <w:tbl>
      <w:tblPr>
        <w:tblStyle w:val="TableGrid"/>
        <w:tblW w:type="auto" w:w="0"/>
        <w:jc w:val="center"/>
        <w:tblLook w:firstColumn="1" w:firstRow="1" w:lastColumn="0" w:lastRow="0" w:noHBand="0" w:noVBand="1" w:val="04A0"/>
      </w:tblPr>
      <w:tblGrid>
        <w:gridCol w:w="5083"/>
        <w:gridCol w:w="5083"/>
      </w:tblGrid>
      <w:tr>
        <w:tc>
          <w:tcPr>
            <w:tcW w:type="dxa" w:w="3888"/>
            <w:shd w:fill="000000"/>
            <w:vAlign w:val="center"/>
          </w:tcPr>
          <w:p>
            <w:pPr>
              <w:pStyle w:val="TableText"/>
              <w:spacing w:after="0"/>
            </w:pPr>
            <w:r/>
            <w:r>
              <w:rPr>
                <w:rFonts w:ascii="Arial" w:hAnsi="Arial"/>
                <w:b/>
                <w:color w:val="FFFFFF"/>
                <w:sz w:val="15"/>
              </w:rPr>
              <w:t>Endpoint</w:t>
            </w:r>
          </w:p>
        </w:tc>
        <w:tc>
          <w:tcPr>
            <w:tcW w:type="dxa" w:w="6192"/>
            <w:shd w:fill="000000"/>
            <w:vAlign w:val="center"/>
          </w:tcPr>
          <w:p>
            <w:pPr>
              <w:pStyle w:val="TableText"/>
              <w:spacing w:after="0"/>
            </w:pPr>
            <w:r/>
            <w:r>
              <w:rPr>
                <w:rFonts w:ascii="Arial" w:hAnsi="Arial"/>
                <w:b/>
                <w:color w:val="FFFFFF"/>
                <w:sz w:val="15"/>
              </w:rPr>
              <w:t>Función</w:t>
            </w:r>
          </w:p>
        </w:tc>
      </w:tr>
      <w:tr>
        <w:tc>
          <w:tcPr>
            <w:tcW w:type="dxa" w:w="3888"/>
            <w:vAlign w:val="center"/>
          </w:tcPr>
          <w:p>
            <w:pPr>
              <w:pStyle w:val="TableText"/>
              <w:spacing w:after="0"/>
            </w:pPr>
            <w:r/>
            <w:r>
              <w:rPr>
                <w:rFonts w:ascii="Arial" w:hAnsi="Arial"/>
                <w:b w:val="0"/>
                <w:sz w:val="14"/>
              </w:rPr>
              <w:t>POST /product-snapshots</w:t>
            </w:r>
          </w:p>
        </w:tc>
        <w:tc>
          <w:tcPr>
            <w:tcW w:type="dxa" w:w="6192"/>
            <w:vAlign w:val="center"/>
          </w:tcPr>
          <w:p>
            <w:pPr>
              <w:pStyle w:val="TableText"/>
              <w:spacing w:after="0"/>
            </w:pPr>
            <w:r/>
            <w:r>
              <w:rPr>
                <w:rFonts w:ascii="Arial" w:hAnsi="Arial"/>
                <w:b w:val="0"/>
                <w:sz w:val="14"/>
              </w:rPr>
              <w:t>Crear snapshot desde revisión validada.</w:t>
            </w:r>
          </w:p>
        </w:tc>
      </w:tr>
      <w:tr>
        <w:tc>
          <w:tcPr>
            <w:tcW w:type="dxa" w:w="3888"/>
            <w:vAlign w:val="center"/>
          </w:tcPr>
          <w:p>
            <w:pPr>
              <w:pStyle w:val="TableText"/>
              <w:spacing w:after="0"/>
            </w:pPr>
            <w:r/>
            <w:r>
              <w:rPr>
                <w:rFonts w:ascii="Arial" w:hAnsi="Arial"/>
                <w:b w:val="0"/>
                <w:sz w:val="14"/>
              </w:rPr>
              <w:t>POST /cad/jobs</w:t>
            </w:r>
          </w:p>
        </w:tc>
        <w:tc>
          <w:tcPr>
            <w:tcW w:type="dxa" w:w="6192"/>
            <w:vAlign w:val="center"/>
          </w:tcPr>
          <w:p>
            <w:pPr>
              <w:pStyle w:val="TableText"/>
              <w:spacing w:after="0"/>
            </w:pPr>
            <w:r/>
            <w:r>
              <w:rPr>
                <w:rFonts w:ascii="Arial" w:hAnsi="Arial"/>
                <w:b w:val="0"/>
                <w:sz w:val="14"/>
              </w:rPr>
              <w:t>Generar CAD y derivados.</w:t>
            </w:r>
          </w:p>
        </w:tc>
      </w:tr>
      <w:tr>
        <w:tc>
          <w:tcPr>
            <w:tcW w:type="dxa" w:w="3888"/>
            <w:vAlign w:val="center"/>
          </w:tcPr>
          <w:p>
            <w:pPr>
              <w:pStyle w:val="TableText"/>
              <w:spacing w:after="0"/>
            </w:pPr>
            <w:r/>
            <w:r>
              <w:rPr>
                <w:rFonts w:ascii="Arial" w:hAnsi="Arial"/>
                <w:b w:val="0"/>
                <w:sz w:val="14"/>
              </w:rPr>
              <w:t>GET /cad/jobs/{id}</w:t>
            </w:r>
          </w:p>
        </w:tc>
        <w:tc>
          <w:tcPr>
            <w:tcW w:type="dxa" w:w="6192"/>
            <w:vAlign w:val="center"/>
          </w:tcPr>
          <w:p>
            <w:pPr>
              <w:pStyle w:val="TableText"/>
              <w:spacing w:after="0"/>
            </w:pPr>
            <w:r/>
            <w:r>
              <w:rPr>
                <w:rFonts w:ascii="Arial" w:hAnsi="Arial"/>
                <w:b w:val="0"/>
                <w:sz w:val="14"/>
              </w:rPr>
              <w:t>Estado y manifiesto.</w:t>
            </w:r>
          </w:p>
        </w:tc>
      </w:tr>
      <w:tr>
        <w:tc>
          <w:tcPr>
            <w:tcW w:type="dxa" w:w="3888"/>
            <w:vAlign w:val="center"/>
          </w:tcPr>
          <w:p>
            <w:pPr>
              <w:pStyle w:val="TableText"/>
              <w:spacing w:after="0"/>
            </w:pPr>
            <w:r/>
            <w:r>
              <w:rPr>
                <w:rFonts w:ascii="Arial" w:hAnsi="Arial"/>
                <w:b w:val="0"/>
                <w:sz w:val="14"/>
              </w:rPr>
              <w:t>POST /drawings/jobs</w:t>
            </w:r>
          </w:p>
        </w:tc>
        <w:tc>
          <w:tcPr>
            <w:tcW w:type="dxa" w:w="6192"/>
            <w:vAlign w:val="center"/>
          </w:tcPr>
          <w:p>
            <w:pPr>
              <w:pStyle w:val="TableText"/>
              <w:spacing w:after="0"/>
            </w:pPr>
            <w:r/>
            <w:r>
              <w:rPr>
                <w:rFonts w:ascii="Arial" w:hAnsi="Arial"/>
                <w:b w:val="0"/>
                <w:sz w:val="14"/>
              </w:rPr>
              <w:t>Generar planos.</w:t>
            </w:r>
          </w:p>
        </w:tc>
      </w:tr>
      <w:tr>
        <w:tc>
          <w:tcPr>
            <w:tcW w:type="dxa" w:w="3888"/>
            <w:vAlign w:val="center"/>
          </w:tcPr>
          <w:p>
            <w:pPr>
              <w:pStyle w:val="TableText"/>
              <w:spacing w:after="0"/>
            </w:pPr>
            <w:r/>
            <w:r>
              <w:rPr>
                <w:rFonts w:ascii="Arial" w:hAnsi="Arial"/>
                <w:b w:val="0"/>
                <w:sz w:val="14"/>
              </w:rPr>
              <w:t>POST /boms/build</w:t>
            </w:r>
          </w:p>
        </w:tc>
        <w:tc>
          <w:tcPr>
            <w:tcW w:type="dxa" w:w="6192"/>
            <w:vAlign w:val="center"/>
          </w:tcPr>
          <w:p>
            <w:pPr>
              <w:pStyle w:val="TableText"/>
              <w:spacing w:after="0"/>
            </w:pPr>
            <w:r/>
            <w:r>
              <w:rPr>
                <w:rFonts w:ascii="Arial" w:hAnsi="Arial"/>
                <w:b w:val="0"/>
                <w:sz w:val="14"/>
              </w:rPr>
              <w:t>Construir vistas BOM.</w:t>
            </w:r>
          </w:p>
        </w:tc>
      </w:tr>
      <w:tr>
        <w:tc>
          <w:tcPr>
            <w:tcW w:type="dxa" w:w="3888"/>
            <w:vAlign w:val="center"/>
          </w:tcPr>
          <w:p>
            <w:pPr>
              <w:pStyle w:val="TableText"/>
              <w:spacing w:after="0"/>
            </w:pPr>
            <w:r/>
            <w:r>
              <w:rPr>
                <w:rFonts w:ascii="Arial" w:hAnsi="Arial"/>
                <w:b w:val="0"/>
                <w:sz w:val="14"/>
              </w:rPr>
              <w:t>POST /routings/build</w:t>
            </w:r>
          </w:p>
        </w:tc>
        <w:tc>
          <w:tcPr>
            <w:tcW w:type="dxa" w:w="6192"/>
            <w:vAlign w:val="center"/>
          </w:tcPr>
          <w:p>
            <w:pPr>
              <w:pStyle w:val="TableText"/>
              <w:spacing w:after="0"/>
            </w:pPr>
            <w:r/>
            <w:r>
              <w:rPr>
                <w:rFonts w:ascii="Arial" w:hAnsi="Arial"/>
                <w:b w:val="0"/>
                <w:sz w:val="14"/>
              </w:rPr>
              <w:t>Generar rutas.</w:t>
            </w:r>
          </w:p>
        </w:tc>
      </w:tr>
      <w:tr>
        <w:tc>
          <w:tcPr>
            <w:tcW w:type="dxa" w:w="3888"/>
            <w:vAlign w:val="center"/>
          </w:tcPr>
          <w:p>
            <w:pPr>
              <w:pStyle w:val="TableText"/>
              <w:spacing w:after="0"/>
            </w:pPr>
            <w:r/>
            <w:r>
              <w:rPr>
                <w:rFonts w:ascii="Arial" w:hAnsi="Arial"/>
                <w:b w:val="0"/>
                <w:sz w:val="14"/>
              </w:rPr>
              <w:t>POST /documents/packages</w:t>
            </w:r>
          </w:p>
        </w:tc>
        <w:tc>
          <w:tcPr>
            <w:tcW w:type="dxa" w:w="6192"/>
            <w:vAlign w:val="center"/>
          </w:tcPr>
          <w:p>
            <w:pPr>
              <w:pStyle w:val="TableText"/>
              <w:spacing w:after="0"/>
            </w:pPr>
            <w:r/>
            <w:r>
              <w:rPr>
                <w:rFonts w:ascii="Arial" w:hAnsi="Arial"/>
                <w:b w:val="0"/>
                <w:sz w:val="14"/>
              </w:rPr>
              <w:t>Generar paquete documental.</w:t>
            </w:r>
          </w:p>
        </w:tc>
      </w:tr>
      <w:tr>
        <w:tc>
          <w:tcPr>
            <w:tcW w:type="dxa" w:w="3888"/>
            <w:vAlign w:val="center"/>
          </w:tcPr>
          <w:p>
            <w:pPr>
              <w:pStyle w:val="TableText"/>
              <w:spacing w:after="0"/>
            </w:pPr>
            <w:r/>
            <w:r>
              <w:rPr>
                <w:rFonts w:ascii="Arial" w:hAnsi="Arial"/>
                <w:b w:val="0"/>
                <w:sz w:val="14"/>
              </w:rPr>
              <w:t>POST /releases/validate</w:t>
            </w:r>
          </w:p>
        </w:tc>
        <w:tc>
          <w:tcPr>
            <w:tcW w:type="dxa" w:w="6192"/>
            <w:vAlign w:val="center"/>
          </w:tcPr>
          <w:p>
            <w:pPr>
              <w:pStyle w:val="TableText"/>
              <w:spacing w:after="0"/>
            </w:pPr>
            <w:r/>
            <w:r>
              <w:rPr>
                <w:rFonts w:ascii="Arial" w:hAnsi="Arial"/>
                <w:b w:val="0"/>
                <w:sz w:val="14"/>
              </w:rPr>
              <w:t>Ejecutar gate de liberación.</w:t>
            </w:r>
          </w:p>
        </w:tc>
      </w:tr>
      <w:tr>
        <w:tc>
          <w:tcPr>
            <w:tcW w:type="dxa" w:w="3888"/>
            <w:vAlign w:val="center"/>
          </w:tcPr>
          <w:p>
            <w:pPr>
              <w:pStyle w:val="TableText"/>
              <w:spacing w:after="0"/>
            </w:pPr>
            <w:r/>
            <w:r>
              <w:rPr>
                <w:rFonts w:ascii="Arial" w:hAnsi="Arial"/>
                <w:b w:val="0"/>
                <w:sz w:val="14"/>
              </w:rPr>
              <w:t>POST /releases</w:t>
            </w:r>
          </w:p>
        </w:tc>
        <w:tc>
          <w:tcPr>
            <w:tcW w:type="dxa" w:w="6192"/>
            <w:vAlign w:val="center"/>
          </w:tcPr>
          <w:p>
            <w:pPr>
              <w:pStyle w:val="TableText"/>
              <w:spacing w:after="0"/>
            </w:pPr>
            <w:r/>
            <w:r>
              <w:rPr>
                <w:rFonts w:ascii="Arial" w:hAnsi="Arial"/>
                <w:b w:val="0"/>
                <w:sz w:val="14"/>
              </w:rPr>
              <w:t>Liberar revisión.</w:t>
            </w:r>
          </w:p>
        </w:tc>
      </w:tr>
      <w:tr>
        <w:tc>
          <w:tcPr>
            <w:tcW w:type="dxa" w:w="3888"/>
            <w:vAlign w:val="center"/>
          </w:tcPr>
          <w:p>
            <w:pPr>
              <w:pStyle w:val="TableText"/>
              <w:spacing w:after="0"/>
            </w:pPr>
            <w:r/>
            <w:r>
              <w:rPr>
                <w:rFonts w:ascii="Arial" w:hAnsi="Arial"/>
                <w:b w:val="0"/>
                <w:sz w:val="14"/>
              </w:rPr>
              <w:t>POST /changes/impact</w:t>
            </w:r>
          </w:p>
        </w:tc>
        <w:tc>
          <w:tcPr>
            <w:tcW w:type="dxa" w:w="6192"/>
            <w:vAlign w:val="center"/>
          </w:tcPr>
          <w:p>
            <w:pPr>
              <w:pStyle w:val="TableText"/>
              <w:spacing w:after="0"/>
            </w:pPr>
            <w:r/>
            <w:r>
              <w:rPr>
                <w:rFonts w:ascii="Arial" w:hAnsi="Arial"/>
                <w:b w:val="0"/>
                <w:sz w:val="14"/>
              </w:rPr>
              <w:t>Analizar impacto.</w:t>
            </w:r>
          </w:p>
        </w:tc>
      </w:tr>
      <w:tr>
        <w:tc>
          <w:tcPr>
            <w:tcW w:type="dxa" w:w="3888"/>
            <w:vAlign w:val="center"/>
          </w:tcPr>
          <w:p>
            <w:pPr>
              <w:pStyle w:val="TableText"/>
              <w:spacing w:after="0"/>
            </w:pPr>
            <w:r/>
            <w:r>
              <w:rPr>
                <w:rFonts w:ascii="Arial" w:hAnsi="Arial"/>
                <w:b w:val="0"/>
                <w:sz w:val="14"/>
              </w:rPr>
              <w:t>POST /integrations/erp/publish</w:t>
            </w:r>
          </w:p>
        </w:tc>
        <w:tc>
          <w:tcPr>
            <w:tcW w:type="dxa" w:w="6192"/>
            <w:vAlign w:val="center"/>
          </w:tcPr>
          <w:p>
            <w:pPr>
              <w:pStyle w:val="TableText"/>
              <w:spacing w:after="0"/>
            </w:pPr>
            <w:r/>
            <w:r>
              <w:rPr>
                <w:rFonts w:ascii="Arial" w:hAnsi="Arial"/>
                <w:b w:val="0"/>
                <w:sz w:val="14"/>
              </w:rPr>
              <w:t>Publicar datos liberados.</w:t>
            </w:r>
          </w:p>
        </w:tc>
      </w:tr>
    </w:tbl>
    <w:p>
      <w:pPr>
        <w:spacing w:after="20"/>
      </w:pPr>
    </w:p>
    <w:p>
      <w:pPr>
        <w:pStyle w:val="Heading2"/>
      </w:pPr>
      <w:r>
        <w:t>20.2 Contrato de artefacto</w:t>
      </w:r>
    </w:p>
    <w:p>
      <w:r>
        <w:t>Cada artefacto incluirá artifact_id, type, format, revision, state, source_snapshot_hash, generator_version, created_at, created_by, checksum, units, coordinate_system, dependencies y validation_status.</w:t>
      </w:r>
    </w:p>
    <w:p>
      <w:pPr>
        <w:pStyle w:val="Heading2"/>
      </w:pPr>
      <w:r>
        <w:t>20.3 Idempotencia</w:t>
      </w:r>
    </w:p>
    <w:p>
      <w:r>
        <w:t>Las solicitudes usarán idempotency_key. Si el snapshot, configuración y versión del generador coinciden, el sistema reutilizará artefactos válidos o regenerará de forma controlada.</w:t>
      </w:r>
    </w:p>
    <w:p>
      <w:pPr>
        <w:pStyle w:val="Heading1"/>
      </w:pPr>
      <w:r>
        <w:t>21. Front-end y experiencia de usuario</w:t>
      </w:r>
    </w:p>
    <w:p>
      <w:pPr>
        <w:pStyle w:val="Heading2"/>
      </w:pPr>
      <w:r>
        <w:t>21.1 Espacio de trabajo</w:t>
      </w:r>
    </w:p>
    <w:p>
      <w:pPr>
        <w:pStyle w:val="ListBullet"/>
        <w:spacing w:after="30"/>
        <w:ind w:left="288" w:hanging="173"/>
      </w:pPr>
      <w:r>
        <w:t>Árbol de producto y revisiones.</w:t>
      </w:r>
    </w:p>
    <w:p>
      <w:pPr>
        <w:pStyle w:val="ListBullet"/>
        <w:spacing w:after="30"/>
        <w:ind w:left="288" w:hanging="173"/>
      </w:pPr>
      <w:r>
        <w:t>Visor 3D con selección cruzada CAD–BOM–plano.</w:t>
      </w:r>
    </w:p>
    <w:p>
      <w:pPr>
        <w:pStyle w:val="ListBullet"/>
        <w:spacing w:after="30"/>
        <w:ind w:left="288" w:hanging="173"/>
      </w:pPr>
      <w:r>
        <w:t>Panel de propiedades y features.</w:t>
      </w:r>
    </w:p>
    <w:p>
      <w:pPr>
        <w:pStyle w:val="ListBullet"/>
        <w:spacing w:after="30"/>
        <w:ind w:left="288" w:hanging="173"/>
      </w:pPr>
      <w:r>
        <w:t>Editor de BOM con procedencia y reglas.</w:t>
      </w:r>
    </w:p>
    <w:p>
      <w:pPr>
        <w:pStyle w:val="ListBullet"/>
        <w:spacing w:after="30"/>
        <w:ind w:left="288" w:hanging="173"/>
      </w:pPr>
      <w:r>
        <w:t>Editor de rutas y operaciones.</w:t>
      </w:r>
    </w:p>
    <w:p>
      <w:pPr>
        <w:pStyle w:val="ListBullet"/>
        <w:spacing w:after="30"/>
        <w:ind w:left="288" w:hanging="173"/>
      </w:pPr>
      <w:r>
        <w:t>Panel de documentos y estado.</w:t>
      </w:r>
    </w:p>
    <w:p>
      <w:pPr>
        <w:pStyle w:val="ListBullet"/>
        <w:spacing w:after="30"/>
        <w:ind w:left="288" w:hanging="173"/>
      </w:pPr>
      <w:r>
        <w:t>Centro de validación y discrepancias.</w:t>
      </w:r>
    </w:p>
    <w:p>
      <w:pPr>
        <w:pStyle w:val="ListBullet"/>
        <w:spacing w:after="30"/>
        <w:ind w:left="288" w:hanging="173"/>
      </w:pPr>
      <w:r>
        <w:t>Comparador de revisiones 3D, BOM y documental.</w:t>
      </w:r>
    </w:p>
    <w:p>
      <w:pPr>
        <w:pStyle w:val="Heading2"/>
      </w:pPr>
      <w:r>
        <w:t>21.2 Modos</w:t>
      </w:r>
    </w:p>
    <w:tbl>
      <w:tblPr>
        <w:tblStyle w:val="TableGrid"/>
        <w:tblW w:type="auto" w:w="0"/>
        <w:jc w:val="center"/>
        <w:tblLook w:firstColumn="1" w:firstRow="1" w:lastColumn="0" w:lastRow="0" w:noHBand="0" w:noVBand="1" w:val="04A0"/>
      </w:tblPr>
      <w:tblGrid>
        <w:gridCol w:w="3389"/>
        <w:gridCol w:w="3389"/>
        <w:gridCol w:w="3389"/>
      </w:tblGrid>
      <w:tr>
        <w:tc>
          <w:tcPr>
            <w:tcW w:type="dxa" w:w="1728"/>
            <w:shd w:fill="000000"/>
            <w:vAlign w:val="center"/>
          </w:tcPr>
          <w:p>
            <w:pPr>
              <w:pStyle w:val="TableText"/>
              <w:spacing w:after="0"/>
            </w:pPr>
            <w:r/>
            <w:r>
              <w:rPr>
                <w:rFonts w:ascii="Arial" w:hAnsi="Arial"/>
                <w:b/>
                <w:color w:val="FFFFFF"/>
                <w:sz w:val="15"/>
              </w:rPr>
              <w:t>Modo</w:t>
            </w:r>
          </w:p>
        </w:tc>
        <w:tc>
          <w:tcPr>
            <w:tcW w:type="dxa" w:w="2592"/>
            <w:shd w:fill="000000"/>
            <w:vAlign w:val="center"/>
          </w:tcPr>
          <w:p>
            <w:pPr>
              <w:pStyle w:val="TableText"/>
              <w:spacing w:after="0"/>
            </w:pPr>
            <w:r/>
            <w:r>
              <w:rPr>
                <w:rFonts w:ascii="Arial" w:hAnsi="Arial"/>
                <w:b/>
                <w:color w:val="FFFFFF"/>
                <w:sz w:val="15"/>
              </w:rPr>
              <w:t>Usuario</w:t>
            </w:r>
          </w:p>
        </w:tc>
        <w:tc>
          <w:tcPr>
            <w:tcW w:type="dxa" w:w="5760"/>
            <w:shd w:fill="000000"/>
            <w:vAlign w:val="center"/>
          </w:tcPr>
          <w:p>
            <w:pPr>
              <w:pStyle w:val="TableText"/>
              <w:spacing w:after="0"/>
            </w:pPr>
            <w:r/>
            <w:r>
              <w:rPr>
                <w:rFonts w:ascii="Arial" w:hAnsi="Arial"/>
                <w:b/>
                <w:color w:val="FFFFFF"/>
                <w:sz w:val="15"/>
              </w:rPr>
              <w:t>Capacidad</w:t>
            </w:r>
          </w:p>
        </w:tc>
      </w:tr>
      <w:tr>
        <w:tc>
          <w:tcPr>
            <w:tcW w:type="dxa" w:w="1728"/>
            <w:vAlign w:val="center"/>
          </w:tcPr>
          <w:p>
            <w:pPr>
              <w:pStyle w:val="TableText"/>
              <w:spacing w:after="0"/>
            </w:pPr>
            <w:r/>
            <w:r>
              <w:rPr>
                <w:rFonts w:ascii="Arial" w:hAnsi="Arial"/>
                <w:b w:val="0"/>
                <w:sz w:val="14"/>
              </w:rPr>
              <w:t>Express</w:t>
            </w:r>
          </w:p>
        </w:tc>
        <w:tc>
          <w:tcPr>
            <w:tcW w:type="dxa" w:w="2592"/>
            <w:vAlign w:val="center"/>
          </w:tcPr>
          <w:p>
            <w:pPr>
              <w:pStyle w:val="TableText"/>
              <w:spacing w:after="0"/>
            </w:pPr>
            <w:r/>
            <w:r>
              <w:rPr>
                <w:rFonts w:ascii="Arial" w:hAnsi="Arial"/>
                <w:b w:val="0"/>
                <w:sz w:val="14"/>
              </w:rPr>
              <w:t>Técnico comercial</w:t>
            </w:r>
          </w:p>
        </w:tc>
        <w:tc>
          <w:tcPr>
            <w:tcW w:type="dxa" w:w="5760"/>
            <w:vAlign w:val="center"/>
          </w:tcPr>
          <w:p>
            <w:pPr>
              <w:pStyle w:val="TableText"/>
              <w:spacing w:after="0"/>
            </w:pPr>
            <w:r/>
            <w:r>
              <w:rPr>
                <w:rFonts w:ascii="Arial" w:hAnsi="Arial"/>
                <w:b w:val="0"/>
                <w:sz w:val="14"/>
              </w:rPr>
              <w:t>Visualizar, generar paquete preliminar y solicitar revisión.</w:t>
            </w:r>
          </w:p>
        </w:tc>
      </w:tr>
      <w:tr>
        <w:tc>
          <w:tcPr>
            <w:tcW w:type="dxa" w:w="1728"/>
            <w:vAlign w:val="center"/>
          </w:tcPr>
          <w:p>
            <w:pPr>
              <w:pStyle w:val="TableText"/>
              <w:spacing w:after="0"/>
            </w:pPr>
            <w:r/>
            <w:r>
              <w:rPr>
                <w:rFonts w:ascii="Arial" w:hAnsi="Arial"/>
                <w:b w:val="0"/>
                <w:sz w:val="14"/>
              </w:rPr>
              <w:t>Ingeniería</w:t>
            </w:r>
          </w:p>
        </w:tc>
        <w:tc>
          <w:tcPr>
            <w:tcW w:type="dxa" w:w="2592"/>
            <w:vAlign w:val="center"/>
          </w:tcPr>
          <w:p>
            <w:pPr>
              <w:pStyle w:val="TableText"/>
              <w:spacing w:after="0"/>
            </w:pPr>
            <w:r/>
            <w:r>
              <w:rPr>
                <w:rFonts w:ascii="Arial" w:hAnsi="Arial"/>
                <w:b w:val="0"/>
                <w:sz w:val="14"/>
              </w:rPr>
              <w:t>Ingeniero de producto</w:t>
            </w:r>
          </w:p>
        </w:tc>
        <w:tc>
          <w:tcPr>
            <w:tcW w:type="dxa" w:w="5760"/>
            <w:vAlign w:val="center"/>
          </w:tcPr>
          <w:p>
            <w:pPr>
              <w:pStyle w:val="TableText"/>
              <w:spacing w:after="0"/>
            </w:pPr>
            <w:r/>
            <w:r>
              <w:rPr>
                <w:rFonts w:ascii="Arial" w:hAnsi="Arial"/>
                <w:b w:val="0"/>
                <w:sz w:val="14"/>
              </w:rPr>
              <w:t>Editar definición, revisar CAD/BOM y resolver errores.</w:t>
            </w:r>
          </w:p>
        </w:tc>
      </w:tr>
      <w:tr>
        <w:tc>
          <w:tcPr>
            <w:tcW w:type="dxa" w:w="1728"/>
            <w:vAlign w:val="center"/>
          </w:tcPr>
          <w:p>
            <w:pPr>
              <w:pStyle w:val="TableText"/>
              <w:spacing w:after="0"/>
            </w:pPr>
            <w:r/>
            <w:r>
              <w:rPr>
                <w:rFonts w:ascii="Arial" w:hAnsi="Arial"/>
                <w:b w:val="0"/>
                <w:sz w:val="14"/>
              </w:rPr>
              <w:t>Industrialización</w:t>
            </w:r>
          </w:p>
        </w:tc>
        <w:tc>
          <w:tcPr>
            <w:tcW w:type="dxa" w:w="2592"/>
            <w:vAlign w:val="center"/>
          </w:tcPr>
          <w:p>
            <w:pPr>
              <w:pStyle w:val="TableText"/>
              <w:spacing w:after="0"/>
            </w:pPr>
            <w:r/>
            <w:r>
              <w:rPr>
                <w:rFonts w:ascii="Arial" w:hAnsi="Arial"/>
                <w:b w:val="0"/>
                <w:sz w:val="14"/>
              </w:rPr>
              <w:t>Producción/compras</w:t>
            </w:r>
          </w:p>
        </w:tc>
        <w:tc>
          <w:tcPr>
            <w:tcW w:type="dxa" w:w="5760"/>
            <w:vAlign w:val="center"/>
          </w:tcPr>
          <w:p>
            <w:pPr>
              <w:pStyle w:val="TableText"/>
              <w:spacing w:after="0"/>
            </w:pPr>
            <w:r/>
            <w:r>
              <w:rPr>
                <w:rFonts w:ascii="Arial" w:hAnsi="Arial"/>
                <w:b w:val="0"/>
                <w:sz w:val="14"/>
              </w:rPr>
              <w:t>Rutas, proveedores, tiempos, embalaje.</w:t>
            </w:r>
          </w:p>
        </w:tc>
      </w:tr>
      <w:tr>
        <w:tc>
          <w:tcPr>
            <w:tcW w:type="dxa" w:w="1728"/>
            <w:vAlign w:val="center"/>
          </w:tcPr>
          <w:p>
            <w:pPr>
              <w:pStyle w:val="TableText"/>
              <w:spacing w:after="0"/>
            </w:pPr>
            <w:r/>
            <w:r>
              <w:rPr>
                <w:rFonts w:ascii="Arial" w:hAnsi="Arial"/>
                <w:b w:val="0"/>
                <w:sz w:val="14"/>
              </w:rPr>
              <w:t>Calidad</w:t>
            </w:r>
          </w:p>
        </w:tc>
        <w:tc>
          <w:tcPr>
            <w:tcW w:type="dxa" w:w="2592"/>
            <w:vAlign w:val="center"/>
          </w:tcPr>
          <w:p>
            <w:pPr>
              <w:pStyle w:val="TableText"/>
              <w:spacing w:after="0"/>
            </w:pPr>
            <w:r/>
            <w:r>
              <w:rPr>
                <w:rFonts w:ascii="Arial" w:hAnsi="Arial"/>
                <w:b w:val="0"/>
                <w:sz w:val="14"/>
              </w:rPr>
              <w:t>Calidad</w:t>
            </w:r>
          </w:p>
        </w:tc>
        <w:tc>
          <w:tcPr>
            <w:tcW w:type="dxa" w:w="5760"/>
            <w:vAlign w:val="center"/>
          </w:tcPr>
          <w:p>
            <w:pPr>
              <w:pStyle w:val="TableText"/>
              <w:spacing w:after="0"/>
            </w:pPr>
            <w:r/>
            <w:r>
              <w:rPr>
                <w:rFonts w:ascii="Arial" w:hAnsi="Arial"/>
                <w:b w:val="0"/>
                <w:sz w:val="14"/>
              </w:rPr>
              <w:t>Plan de control, as-built, NC.</w:t>
            </w:r>
          </w:p>
        </w:tc>
      </w:tr>
      <w:tr>
        <w:tc>
          <w:tcPr>
            <w:tcW w:type="dxa" w:w="1728"/>
            <w:vAlign w:val="center"/>
          </w:tcPr>
          <w:p>
            <w:pPr>
              <w:pStyle w:val="TableText"/>
              <w:spacing w:after="0"/>
            </w:pPr>
            <w:r/>
            <w:r>
              <w:rPr>
                <w:rFonts w:ascii="Arial" w:hAnsi="Arial"/>
                <w:b w:val="0"/>
                <w:sz w:val="14"/>
              </w:rPr>
              <w:t>Administrador</w:t>
            </w:r>
          </w:p>
        </w:tc>
        <w:tc>
          <w:tcPr>
            <w:tcW w:type="dxa" w:w="2592"/>
            <w:vAlign w:val="center"/>
          </w:tcPr>
          <w:p>
            <w:pPr>
              <w:pStyle w:val="TableText"/>
              <w:spacing w:after="0"/>
            </w:pPr>
            <w:r/>
            <w:r>
              <w:rPr>
                <w:rFonts w:ascii="Arial" w:hAnsi="Arial"/>
                <w:b w:val="0"/>
                <w:sz w:val="14"/>
              </w:rPr>
              <w:t>Responsable</w:t>
            </w:r>
          </w:p>
        </w:tc>
        <w:tc>
          <w:tcPr>
            <w:tcW w:type="dxa" w:w="5760"/>
            <w:vAlign w:val="center"/>
          </w:tcPr>
          <w:p>
            <w:pPr>
              <w:pStyle w:val="TableText"/>
              <w:spacing w:after="0"/>
            </w:pPr>
            <w:r/>
            <w:r>
              <w:rPr>
                <w:rFonts w:ascii="Arial" w:hAnsi="Arial"/>
                <w:b w:val="0"/>
                <w:sz w:val="14"/>
              </w:rPr>
              <w:t>Plantillas, reglas y liberaciones.</w:t>
            </w:r>
          </w:p>
        </w:tc>
      </w:tr>
    </w:tbl>
    <w:p>
      <w:pPr>
        <w:spacing w:after="20"/>
      </w:pPr>
    </w:p>
    <w:p>
      <w:pPr>
        <w:pStyle w:val="Heading2"/>
      </w:pPr>
      <w:r>
        <w:t>21.3 Asistente IA</w:t>
      </w:r>
    </w:p>
    <w:p>
      <w:r>
        <w:t>El asistente podrá responder “¿qué falta para liberar?”, explicar discrepancias, preparar una solicitud de cambio, localizar una pieza o interpretar un comentario. Toda acción propuesta se mostrará antes de aplicarse y quedará auditada.</w:t>
      </w:r>
    </w:p>
    <w:p>
      <w:pPr>
        <w:pStyle w:val="Heading1"/>
      </w:pPr>
      <w:r>
        <w:t>22. Integraciones</w:t>
      </w:r>
    </w:p>
    <w:p>
      <w:pPr>
        <w:pStyle w:val="Heading2"/>
      </w:pPr>
      <w:r>
        <w:t>22.1 ERP/PIM/PLM/PDM</w:t>
      </w:r>
    </w:p>
    <w:p>
      <w:r>
        <w:t>Se definirán propietarios de cada dato. Salvi Studio será propietario de la definición técnica y de la evidencia de cálculo; ERP, de stock, compras y contabilidad; PIM, de atributos comerciales publicados; PDM/PLM, de archivos y cambios cuando exista. Los conflictos se resolverán mediante reglas, no por “último dato recibido”.</w:t>
      </w:r>
    </w:p>
    <w:p>
      <w:pPr>
        <w:pStyle w:val="Heading2"/>
      </w:pPr>
      <w:r>
        <w:t>22.2 Proveedores</w:t>
      </w:r>
    </w:p>
    <w:p>
      <w:r>
        <w:t>Se generarán paquetes seguros por proveedor, sin exponer costes internos o información no necesaria. La devolución de ofertas, capacidades, certificados y as-built se vinculará al mismo paquete y revisión.</w:t>
      </w:r>
    </w:p>
    <w:p>
      <w:pPr>
        <w:pStyle w:val="Heading2"/>
      </w:pPr>
      <w:r>
        <w:t>22.3 SolidWorks</w:t>
      </w:r>
    </w:p>
    <w:p>
      <w:r>
        <w:t>El conector deberá soportar generación, actualización, extracción de masa, comparación de geometría y publicación controlada. Se ejecutará en una infraestructura Windows con licencias y versiones gestionadas.</w:t>
      </w:r>
    </w:p>
    <w:p>
      <w:pPr>
        <w:pStyle w:val="Heading1"/>
      </w:pPr>
      <w:r>
        <w:t>23. Seguridad, permisos y propiedad intelectual</w:t>
      </w:r>
    </w:p>
    <w:p>
      <w:pPr>
        <w:pStyle w:val="ListBullet"/>
        <w:spacing w:after="30"/>
        <w:ind w:left="288" w:hanging="173"/>
      </w:pPr>
      <w:r>
        <w:t>Separación entre geometría, costes, márgenes, proveedores y documentación regulatoria.</w:t>
      </w:r>
    </w:p>
    <w:p>
      <w:pPr>
        <w:pStyle w:val="ListBullet"/>
        <w:spacing w:after="30"/>
        <w:ind w:left="288" w:hanging="173"/>
      </w:pPr>
      <w:r>
        <w:t>Permisos por rol, proyecto, país y paquete.</w:t>
      </w:r>
    </w:p>
    <w:p>
      <w:pPr>
        <w:pStyle w:val="ListBullet"/>
        <w:spacing w:after="30"/>
        <w:ind w:left="288" w:hanging="173"/>
      </w:pPr>
      <w:r>
        <w:t>Marcas de agua para borradores y documentos compartidos.</w:t>
      </w:r>
    </w:p>
    <w:p>
      <w:pPr>
        <w:pStyle w:val="ListBullet"/>
        <w:spacing w:after="30"/>
        <w:ind w:left="288" w:hanging="173"/>
      </w:pPr>
      <w:r>
        <w:t>Expiración y revocación de enlaces de proveedor.</w:t>
      </w:r>
    </w:p>
    <w:p>
      <w:pPr>
        <w:pStyle w:val="ListBullet"/>
        <w:spacing w:after="30"/>
        <w:ind w:left="288" w:hanging="173"/>
      </w:pPr>
      <w:r>
        <w:t>Cifrado en tránsito y reposo.</w:t>
      </w:r>
    </w:p>
    <w:p>
      <w:pPr>
        <w:pStyle w:val="ListBullet"/>
        <w:spacing w:after="30"/>
        <w:ind w:left="288" w:hanging="173"/>
      </w:pPr>
      <w:r>
        <w:t>Auditoría de descargas y publicaciones.</w:t>
      </w:r>
    </w:p>
    <w:p>
      <w:pPr>
        <w:pStyle w:val="ListBullet"/>
        <w:spacing w:after="30"/>
        <w:ind w:left="288" w:hanging="173"/>
      </w:pPr>
      <w:r>
        <w:t>Protección de modelos estándar, know-how y reglas Salvi.</w:t>
      </w:r>
    </w:p>
    <w:p>
      <w:pPr>
        <w:pStyle w:val="ListBullet"/>
        <w:spacing w:after="30"/>
        <w:ind w:left="288" w:hanging="173"/>
      </w:pPr>
      <w:r>
        <w:t>No incluir archivos fuente innecesarios en paquetes externos.</w:t>
      </w:r>
    </w:p>
    <w:p>
      <w:pPr>
        <w:pStyle w:val="Heading1"/>
      </w:pPr>
      <w:r>
        <w:t>24. Rendimiento y escalabilidad</w:t>
      </w:r>
    </w:p>
    <w:tbl>
      <w:tblPr>
        <w:tblStyle w:val="TableGrid"/>
        <w:tblW w:type="auto" w:w="0"/>
        <w:jc w:val="center"/>
        <w:tblLook w:firstColumn="1" w:firstRow="1" w:lastColumn="0" w:lastRow="0" w:noHBand="0" w:noVBand="1" w:val="04A0"/>
      </w:tblPr>
      <w:tblGrid>
        <w:gridCol w:w="5083"/>
        <w:gridCol w:w="5083"/>
      </w:tblGrid>
      <w:tr>
        <w:tc>
          <w:tcPr>
            <w:tcW w:type="dxa" w:w="3744"/>
            <w:shd w:fill="000000"/>
            <w:vAlign w:val="center"/>
          </w:tcPr>
          <w:p>
            <w:pPr>
              <w:pStyle w:val="TableText"/>
              <w:spacing w:after="0"/>
            </w:pPr>
            <w:r/>
            <w:r>
              <w:rPr>
                <w:rFonts w:ascii="Arial" w:hAnsi="Arial"/>
                <w:b/>
                <w:color w:val="FFFFFF"/>
                <w:sz w:val="15"/>
              </w:rPr>
              <w:t>Operación</w:t>
            </w:r>
          </w:p>
        </w:tc>
        <w:tc>
          <w:tcPr>
            <w:tcW w:type="dxa" w:w="6336"/>
            <w:shd w:fill="000000"/>
            <w:vAlign w:val="center"/>
          </w:tcPr>
          <w:p>
            <w:pPr>
              <w:pStyle w:val="TableText"/>
              <w:spacing w:after="0"/>
            </w:pPr>
            <w:r/>
            <w:r>
              <w:rPr>
                <w:rFonts w:ascii="Arial" w:hAnsi="Arial"/>
                <w:b/>
                <w:color w:val="FFFFFF"/>
                <w:sz w:val="15"/>
              </w:rPr>
              <w:t>Objetivo inicial</w:t>
            </w:r>
          </w:p>
        </w:tc>
      </w:tr>
      <w:tr>
        <w:tc>
          <w:tcPr>
            <w:tcW w:type="dxa" w:w="3744"/>
            <w:vAlign w:val="center"/>
          </w:tcPr>
          <w:p>
            <w:pPr>
              <w:pStyle w:val="TableText"/>
              <w:spacing w:after="0"/>
            </w:pPr>
            <w:r/>
            <w:r>
              <w:rPr>
                <w:rFonts w:ascii="Arial" w:hAnsi="Arial"/>
                <w:b w:val="0"/>
                <w:sz w:val="14"/>
              </w:rPr>
              <w:t>Generar GLB preliminar</w:t>
            </w:r>
          </w:p>
        </w:tc>
        <w:tc>
          <w:tcPr>
            <w:tcW w:type="dxa" w:w="6336"/>
            <w:vAlign w:val="center"/>
          </w:tcPr>
          <w:p>
            <w:pPr>
              <w:pStyle w:val="TableText"/>
              <w:spacing w:after="0"/>
            </w:pPr>
            <w:r/>
            <w:r>
              <w:rPr>
                <w:rFonts w:ascii="Arial" w:hAnsi="Arial"/>
                <w:b w:val="0"/>
                <w:sz w:val="14"/>
              </w:rPr>
              <w:t>&lt; 5 s para columna típica.</w:t>
            </w:r>
          </w:p>
        </w:tc>
      </w:tr>
      <w:tr>
        <w:tc>
          <w:tcPr>
            <w:tcW w:type="dxa" w:w="3744"/>
            <w:vAlign w:val="center"/>
          </w:tcPr>
          <w:p>
            <w:pPr>
              <w:pStyle w:val="TableText"/>
              <w:spacing w:after="0"/>
            </w:pPr>
            <w:r/>
            <w:r>
              <w:rPr>
                <w:rFonts w:ascii="Arial" w:hAnsi="Arial"/>
                <w:b w:val="0"/>
                <w:sz w:val="14"/>
              </w:rPr>
              <w:t>Generar STEP de producto</w:t>
            </w:r>
          </w:p>
        </w:tc>
        <w:tc>
          <w:tcPr>
            <w:tcW w:type="dxa" w:w="6336"/>
            <w:vAlign w:val="center"/>
          </w:tcPr>
          <w:p>
            <w:pPr>
              <w:pStyle w:val="TableText"/>
              <w:spacing w:after="0"/>
            </w:pPr>
            <w:r/>
            <w:r>
              <w:rPr>
                <w:rFonts w:ascii="Arial" w:hAnsi="Arial"/>
                <w:b w:val="0"/>
                <w:sz w:val="14"/>
              </w:rPr>
              <w:t>&lt; 60 s típico; &lt; 5 min complejo.</w:t>
            </w:r>
          </w:p>
        </w:tc>
      </w:tr>
      <w:tr>
        <w:tc>
          <w:tcPr>
            <w:tcW w:type="dxa" w:w="3744"/>
            <w:vAlign w:val="center"/>
          </w:tcPr>
          <w:p>
            <w:pPr>
              <w:pStyle w:val="TableText"/>
              <w:spacing w:after="0"/>
            </w:pPr>
            <w:r/>
            <w:r>
              <w:rPr>
                <w:rFonts w:ascii="Arial" w:hAnsi="Arial"/>
                <w:b w:val="0"/>
                <w:sz w:val="14"/>
              </w:rPr>
              <w:t>Construir BOM</w:t>
            </w:r>
          </w:p>
        </w:tc>
        <w:tc>
          <w:tcPr>
            <w:tcW w:type="dxa" w:w="6336"/>
            <w:vAlign w:val="center"/>
          </w:tcPr>
          <w:p>
            <w:pPr>
              <w:pStyle w:val="TableText"/>
              <w:spacing w:after="0"/>
            </w:pPr>
            <w:r/>
            <w:r>
              <w:rPr>
                <w:rFonts w:ascii="Arial" w:hAnsi="Arial"/>
                <w:b w:val="0"/>
                <w:sz w:val="14"/>
              </w:rPr>
              <w:t>&lt; 3 s sin integraciones remotas.</w:t>
            </w:r>
          </w:p>
        </w:tc>
      </w:tr>
      <w:tr>
        <w:tc>
          <w:tcPr>
            <w:tcW w:type="dxa" w:w="3744"/>
            <w:vAlign w:val="center"/>
          </w:tcPr>
          <w:p>
            <w:pPr>
              <w:pStyle w:val="TableText"/>
              <w:spacing w:after="0"/>
            </w:pPr>
            <w:r/>
            <w:r>
              <w:rPr>
                <w:rFonts w:ascii="Arial" w:hAnsi="Arial"/>
                <w:b w:val="0"/>
                <w:sz w:val="14"/>
              </w:rPr>
              <w:t>Generar paquete documental</w:t>
            </w:r>
          </w:p>
        </w:tc>
        <w:tc>
          <w:tcPr>
            <w:tcW w:type="dxa" w:w="6336"/>
            <w:vAlign w:val="center"/>
          </w:tcPr>
          <w:p>
            <w:pPr>
              <w:pStyle w:val="TableText"/>
              <w:spacing w:after="0"/>
            </w:pPr>
            <w:r/>
            <w:r>
              <w:rPr>
                <w:rFonts w:ascii="Arial" w:hAnsi="Arial"/>
                <w:b w:val="0"/>
                <w:sz w:val="14"/>
              </w:rPr>
              <w:t>&lt; 2 min típico.</w:t>
            </w:r>
          </w:p>
        </w:tc>
      </w:tr>
      <w:tr>
        <w:tc>
          <w:tcPr>
            <w:tcW w:type="dxa" w:w="3744"/>
            <w:vAlign w:val="center"/>
          </w:tcPr>
          <w:p>
            <w:pPr>
              <w:pStyle w:val="TableText"/>
              <w:spacing w:after="0"/>
            </w:pPr>
            <w:r/>
            <w:r>
              <w:rPr>
                <w:rFonts w:ascii="Arial" w:hAnsi="Arial"/>
                <w:b w:val="0"/>
                <w:sz w:val="14"/>
              </w:rPr>
              <w:t>Comparar revisiones</w:t>
            </w:r>
          </w:p>
        </w:tc>
        <w:tc>
          <w:tcPr>
            <w:tcW w:type="dxa" w:w="6336"/>
            <w:vAlign w:val="center"/>
          </w:tcPr>
          <w:p>
            <w:pPr>
              <w:pStyle w:val="TableText"/>
              <w:spacing w:after="0"/>
            </w:pPr>
            <w:r/>
            <w:r>
              <w:rPr>
                <w:rFonts w:ascii="Arial" w:hAnsi="Arial"/>
                <w:b w:val="0"/>
                <w:sz w:val="14"/>
              </w:rPr>
              <w:t>&lt; 20 s para conjunto típico.</w:t>
            </w:r>
          </w:p>
        </w:tc>
      </w:tr>
      <w:tr>
        <w:tc>
          <w:tcPr>
            <w:tcW w:type="dxa" w:w="3744"/>
            <w:vAlign w:val="center"/>
          </w:tcPr>
          <w:p>
            <w:pPr>
              <w:pStyle w:val="TableText"/>
              <w:spacing w:after="0"/>
            </w:pPr>
            <w:r/>
            <w:r>
              <w:rPr>
                <w:rFonts w:ascii="Arial" w:hAnsi="Arial"/>
                <w:b w:val="0"/>
                <w:sz w:val="14"/>
              </w:rPr>
              <w:t>Publicar a ERP</w:t>
            </w:r>
          </w:p>
        </w:tc>
        <w:tc>
          <w:tcPr>
            <w:tcW w:type="dxa" w:w="6336"/>
            <w:vAlign w:val="center"/>
          </w:tcPr>
          <w:p>
            <w:pPr>
              <w:pStyle w:val="TableText"/>
              <w:spacing w:after="0"/>
            </w:pPr>
            <w:r/>
            <w:r>
              <w:rPr>
                <w:rFonts w:ascii="Arial" w:hAnsi="Arial"/>
                <w:b w:val="0"/>
                <w:sz w:val="14"/>
              </w:rPr>
              <w:t>Transacción controlada &lt; 30 s, con cola si falla.</w:t>
            </w:r>
          </w:p>
        </w:tc>
      </w:tr>
    </w:tbl>
    <w:p>
      <w:pPr>
        <w:spacing w:after="20"/>
      </w:pPr>
    </w:p>
    <w:p>
      <w:r>
        <w:t>Los objetivos deberán medirse con conjuntos de referencia reales. Se usará caché por snapshot y paralelización solo donde no comprometa determinismo.</w:t>
      </w:r>
    </w:p>
    <w:p>
      <w:pPr>
        <w:pStyle w:val="Heading1"/>
      </w:pPr>
      <w:r>
        <w:t>25. Estrategia de validación</w:t>
      </w:r>
    </w:p>
    <w:p>
      <w:pPr>
        <w:pStyle w:val="Heading2"/>
      </w:pPr>
      <w:r>
        <w:t>25.1 Niveles</w:t>
      </w:r>
    </w:p>
    <w:p>
      <w:pPr>
        <w:pStyle w:val="ListBullet"/>
        <w:spacing w:after="30"/>
        <w:ind w:left="288" w:hanging="173"/>
      </w:pPr>
      <w:r>
        <w:t>V0: validación de esquema y reglas.</w:t>
      </w:r>
    </w:p>
    <w:p>
      <w:pPr>
        <w:pStyle w:val="ListBullet"/>
        <w:spacing w:after="30"/>
        <w:ind w:left="288" w:hanging="173"/>
      </w:pPr>
      <w:r>
        <w:t>V1: propiedades geométricas frente a cálculos analíticos.</w:t>
      </w:r>
    </w:p>
    <w:p>
      <w:pPr>
        <w:pStyle w:val="ListBullet"/>
        <w:spacing w:after="30"/>
        <w:ind w:left="288" w:hanging="173"/>
      </w:pPr>
      <w:r>
        <w:t>V2: comparación con CAD de referencia.</w:t>
      </w:r>
    </w:p>
    <w:p>
      <w:pPr>
        <w:pStyle w:val="ListBullet"/>
        <w:spacing w:after="30"/>
        <w:ind w:left="288" w:hanging="173"/>
      </w:pPr>
      <w:r>
        <w:t>V3: reconciliación CAD–BOM–plano.</w:t>
      </w:r>
    </w:p>
    <w:p>
      <w:pPr>
        <w:pStyle w:val="ListBullet"/>
        <w:spacing w:after="30"/>
        <w:ind w:left="288" w:hanging="173"/>
      </w:pPr>
      <w:r>
        <w:t>V4: fabricación piloto y medición as-built.</w:t>
      </w:r>
    </w:p>
    <w:p>
      <w:pPr>
        <w:pStyle w:val="ListBullet"/>
        <w:spacing w:after="30"/>
        <w:ind w:left="288" w:hanging="173"/>
      </w:pPr>
      <w:r>
        <w:t>V5: auditoría del flujo completo y liberación productiva.</w:t>
      </w:r>
    </w:p>
    <w:p>
      <w:pPr>
        <w:pStyle w:val="Heading2"/>
      </w:pPr>
      <w:r>
        <w:t>25.2 Casos de referencia</w:t>
      </w:r>
    </w:p>
    <w:p>
      <w:pPr>
        <w:pStyle w:val="ListBullet"/>
        <w:spacing w:after="30"/>
        <w:ind w:left="288" w:hanging="173"/>
      </w:pPr>
      <w:r>
        <w:t>Columna acero circular de una pieza.</w:t>
      </w:r>
    </w:p>
    <w:p>
      <w:pPr>
        <w:pStyle w:val="ListBullet"/>
        <w:spacing w:after="30"/>
        <w:ind w:left="288" w:hanging="173"/>
      </w:pPr>
      <w:r>
        <w:t>Columna poligonal plegada con puerta.</w:t>
      </w:r>
    </w:p>
    <w:p>
      <w:pPr>
        <w:pStyle w:val="ListBullet"/>
        <w:spacing w:after="30"/>
        <w:ind w:left="288" w:hanging="173"/>
      </w:pPr>
      <w:r>
        <w:t>Columna de dos tramos slip-fit.</w:t>
      </w:r>
    </w:p>
    <w:p>
      <w:pPr>
        <w:pStyle w:val="ListBullet"/>
        <w:spacing w:after="30"/>
        <w:ind w:left="288" w:hanging="173"/>
      </w:pPr>
      <w:r>
        <w:t>Columna aluminio 5083 soldada.</w:t>
      </w:r>
    </w:p>
    <w:p>
      <w:pPr>
        <w:pStyle w:val="ListBullet"/>
        <w:spacing w:after="30"/>
        <w:ind w:left="288" w:hanging="173"/>
      </w:pPr>
      <w:r>
        <w:t>Columna extrusionada con mecanizados.</w:t>
      </w:r>
    </w:p>
    <w:p>
      <w:pPr>
        <w:pStyle w:val="ListBullet"/>
        <w:spacing w:after="30"/>
        <w:ind w:left="288" w:hanging="173"/>
      </w:pPr>
      <w:r>
        <w:t>Columna hormigón pretensado.</w:t>
      </w:r>
    </w:p>
    <w:p>
      <w:pPr>
        <w:pStyle w:val="ListBullet"/>
        <w:spacing w:after="30"/>
        <w:ind w:left="288" w:hanging="173"/>
      </w:pPr>
      <w:r>
        <w:t>Báculo con brazo y luminaria.</w:t>
      </w:r>
    </w:p>
    <w:p>
      <w:pPr>
        <w:pStyle w:val="ListBullet"/>
        <w:spacing w:after="30"/>
        <w:ind w:left="288" w:hanging="173"/>
      </w:pPr>
      <w:r>
        <w:t>Columna solar con panel y batería.</w:t>
      </w:r>
    </w:p>
    <w:p>
      <w:pPr>
        <w:pStyle w:val="ListBullet"/>
        <w:spacing w:after="30"/>
        <w:ind w:left="288" w:hanging="173"/>
      </w:pPr>
      <w:r>
        <w:t>Columna con placa y jaula estándar.</w:t>
      </w:r>
    </w:p>
    <w:p>
      <w:pPr>
        <w:pStyle w:val="ListBullet"/>
        <w:spacing w:after="30"/>
        <w:ind w:left="288" w:hanging="173"/>
      </w:pPr>
      <w:r>
        <w:t>Columna especial con catenarias.</w:t>
      </w:r>
    </w:p>
    <w:p>
      <w:pPr>
        <w:pStyle w:val="Heading2"/>
      </w:pPr>
      <w:r>
        <w:t>25.3 Tolerancias de validación iniciales</w:t>
      </w:r>
    </w:p>
    <w:tbl>
      <w:tblPr>
        <w:tblStyle w:val="TableGrid"/>
        <w:tblW w:type="auto" w:w="0"/>
        <w:jc w:val="center"/>
        <w:tblLook w:firstColumn="1" w:firstRow="1" w:lastColumn="0" w:lastRow="0" w:noHBand="0" w:noVBand="1" w:val="04A0"/>
      </w:tblPr>
      <w:tblGrid>
        <w:gridCol w:w="5083"/>
        <w:gridCol w:w="5083"/>
      </w:tblGrid>
      <w:tr>
        <w:tc>
          <w:tcPr>
            <w:tcW w:type="dxa" w:w="4608"/>
            <w:shd w:fill="000000"/>
            <w:vAlign w:val="center"/>
          </w:tcPr>
          <w:p>
            <w:pPr>
              <w:pStyle w:val="TableText"/>
              <w:spacing w:after="0"/>
            </w:pPr>
            <w:r/>
            <w:r>
              <w:rPr>
                <w:rFonts w:ascii="Arial" w:hAnsi="Arial"/>
                <w:b/>
                <w:color w:val="FFFFFF"/>
                <w:sz w:val="15"/>
              </w:rPr>
              <w:t>Métrica</w:t>
            </w:r>
          </w:p>
        </w:tc>
        <w:tc>
          <w:tcPr>
            <w:tcW w:type="dxa" w:w="5472"/>
            <w:shd w:fill="000000"/>
            <w:vAlign w:val="center"/>
          </w:tcPr>
          <w:p>
            <w:pPr>
              <w:pStyle w:val="TableText"/>
              <w:spacing w:after="0"/>
            </w:pPr>
            <w:r/>
            <w:r>
              <w:rPr>
                <w:rFonts w:ascii="Arial" w:hAnsi="Arial"/>
                <w:b/>
                <w:color w:val="FFFFFF"/>
                <w:sz w:val="15"/>
              </w:rPr>
              <w:t>Criterio</w:t>
            </w:r>
          </w:p>
        </w:tc>
      </w:tr>
      <w:tr>
        <w:tc>
          <w:tcPr>
            <w:tcW w:type="dxa" w:w="4608"/>
            <w:vAlign w:val="center"/>
          </w:tcPr>
          <w:p>
            <w:pPr>
              <w:pStyle w:val="TableText"/>
              <w:spacing w:after="0"/>
            </w:pPr>
            <w:r/>
            <w:r>
              <w:rPr>
                <w:rFonts w:ascii="Arial" w:hAnsi="Arial"/>
                <w:b w:val="0"/>
                <w:sz w:val="14"/>
              </w:rPr>
              <w:t>Volumen CAD vs analítico</w:t>
            </w:r>
          </w:p>
        </w:tc>
        <w:tc>
          <w:tcPr>
            <w:tcW w:type="dxa" w:w="5472"/>
            <w:vAlign w:val="center"/>
          </w:tcPr>
          <w:p>
            <w:pPr>
              <w:pStyle w:val="TableText"/>
              <w:spacing w:after="0"/>
            </w:pPr>
            <w:r/>
            <w:r>
              <w:rPr>
                <w:rFonts w:ascii="Arial" w:hAnsi="Arial"/>
                <w:b w:val="0"/>
                <w:sz w:val="14"/>
              </w:rPr>
              <w:t>≤ 0,1 % en geometrías simples.</w:t>
            </w:r>
          </w:p>
        </w:tc>
      </w:tr>
      <w:tr>
        <w:tc>
          <w:tcPr>
            <w:tcW w:type="dxa" w:w="4608"/>
            <w:vAlign w:val="center"/>
          </w:tcPr>
          <w:p>
            <w:pPr>
              <w:pStyle w:val="TableText"/>
              <w:spacing w:after="0"/>
            </w:pPr>
            <w:r/>
            <w:r>
              <w:rPr>
                <w:rFonts w:ascii="Arial" w:hAnsi="Arial"/>
                <w:b w:val="0"/>
                <w:sz w:val="14"/>
              </w:rPr>
              <w:t>Masa CAD vs BOM geométrica</w:t>
            </w:r>
          </w:p>
        </w:tc>
        <w:tc>
          <w:tcPr>
            <w:tcW w:type="dxa" w:w="5472"/>
            <w:vAlign w:val="center"/>
          </w:tcPr>
          <w:p>
            <w:pPr>
              <w:pStyle w:val="TableText"/>
              <w:spacing w:after="0"/>
            </w:pPr>
            <w:r/>
            <w:r>
              <w:rPr>
                <w:rFonts w:ascii="Arial" w:hAnsi="Arial"/>
                <w:b w:val="0"/>
                <w:sz w:val="14"/>
              </w:rPr>
              <w:t>≤ 0,5 % sin consumibles/recubrimientos.</w:t>
            </w:r>
          </w:p>
        </w:tc>
      </w:tr>
      <w:tr>
        <w:tc>
          <w:tcPr>
            <w:tcW w:type="dxa" w:w="4608"/>
            <w:vAlign w:val="center"/>
          </w:tcPr>
          <w:p>
            <w:pPr>
              <w:pStyle w:val="TableText"/>
              <w:spacing w:after="0"/>
            </w:pPr>
            <w:r/>
            <w:r>
              <w:rPr>
                <w:rFonts w:ascii="Arial" w:hAnsi="Arial"/>
                <w:b w:val="0"/>
                <w:sz w:val="14"/>
              </w:rPr>
              <w:t>Área de chapa desarrollada</w:t>
            </w:r>
          </w:p>
        </w:tc>
        <w:tc>
          <w:tcPr>
            <w:tcW w:type="dxa" w:w="5472"/>
            <w:vAlign w:val="center"/>
          </w:tcPr>
          <w:p>
            <w:pPr>
              <w:pStyle w:val="TableText"/>
              <w:spacing w:after="0"/>
            </w:pPr>
            <w:r/>
            <w:r>
              <w:rPr>
                <w:rFonts w:ascii="Arial" w:hAnsi="Arial"/>
                <w:b w:val="0"/>
                <w:sz w:val="14"/>
              </w:rPr>
              <w:t>≤ 0,2 % respecto a referencia.</w:t>
            </w:r>
          </w:p>
        </w:tc>
      </w:tr>
      <w:tr>
        <w:tc>
          <w:tcPr>
            <w:tcW w:type="dxa" w:w="4608"/>
            <w:vAlign w:val="center"/>
          </w:tcPr>
          <w:p>
            <w:pPr>
              <w:pStyle w:val="TableText"/>
              <w:spacing w:after="0"/>
            </w:pPr>
            <w:r/>
            <w:r>
              <w:rPr>
                <w:rFonts w:ascii="Arial" w:hAnsi="Arial"/>
                <w:b w:val="0"/>
                <w:sz w:val="14"/>
              </w:rPr>
              <w:t>Posición de interfaces</w:t>
            </w:r>
          </w:p>
        </w:tc>
        <w:tc>
          <w:tcPr>
            <w:tcW w:type="dxa" w:w="5472"/>
            <w:vAlign w:val="center"/>
          </w:tcPr>
          <w:p>
            <w:pPr>
              <w:pStyle w:val="TableText"/>
              <w:spacing w:after="0"/>
            </w:pPr>
            <w:r/>
            <w:r>
              <w:rPr>
                <w:rFonts w:ascii="Arial" w:hAnsi="Arial"/>
                <w:b w:val="0"/>
                <w:sz w:val="14"/>
              </w:rPr>
              <w:t>≤ 0,1 mm o tolerancia funcional definida.</w:t>
            </w:r>
          </w:p>
        </w:tc>
      </w:tr>
      <w:tr>
        <w:tc>
          <w:tcPr>
            <w:tcW w:type="dxa" w:w="4608"/>
            <w:vAlign w:val="center"/>
          </w:tcPr>
          <w:p>
            <w:pPr>
              <w:pStyle w:val="TableText"/>
              <w:spacing w:after="0"/>
            </w:pPr>
            <w:r/>
            <w:r>
              <w:rPr>
                <w:rFonts w:ascii="Arial" w:hAnsi="Arial"/>
                <w:b w:val="0"/>
                <w:sz w:val="14"/>
              </w:rPr>
              <w:t>Reconstrucción DXF</w:t>
            </w:r>
          </w:p>
        </w:tc>
        <w:tc>
          <w:tcPr>
            <w:tcW w:type="dxa" w:w="5472"/>
            <w:vAlign w:val="center"/>
          </w:tcPr>
          <w:p>
            <w:pPr>
              <w:pStyle w:val="TableText"/>
              <w:spacing w:after="0"/>
            </w:pPr>
            <w:r/>
            <w:r>
              <w:rPr>
                <w:rFonts w:ascii="Arial" w:hAnsi="Arial"/>
                <w:b w:val="0"/>
                <w:sz w:val="14"/>
              </w:rPr>
              <w:t>Dentro de tolerancia de fabricación.</w:t>
            </w:r>
          </w:p>
        </w:tc>
      </w:tr>
      <w:tr>
        <w:tc>
          <w:tcPr>
            <w:tcW w:type="dxa" w:w="4608"/>
            <w:vAlign w:val="center"/>
          </w:tcPr>
          <w:p>
            <w:pPr>
              <w:pStyle w:val="TableText"/>
              <w:spacing w:after="0"/>
            </w:pPr>
            <w:r/>
            <w:r>
              <w:rPr>
                <w:rFonts w:ascii="Arial" w:hAnsi="Arial"/>
                <w:b w:val="0"/>
                <w:sz w:val="14"/>
              </w:rPr>
              <w:t>Cantidad de piezas</w:t>
            </w:r>
          </w:p>
        </w:tc>
        <w:tc>
          <w:tcPr>
            <w:tcW w:type="dxa" w:w="5472"/>
            <w:vAlign w:val="center"/>
          </w:tcPr>
          <w:p>
            <w:pPr>
              <w:pStyle w:val="TableText"/>
              <w:spacing w:after="0"/>
            </w:pPr>
            <w:r/>
            <w:r>
              <w:rPr>
                <w:rFonts w:ascii="Arial" w:hAnsi="Arial"/>
                <w:b w:val="0"/>
                <w:sz w:val="14"/>
              </w:rPr>
              <w:t>Coincidencia exacta.</w:t>
            </w:r>
          </w:p>
        </w:tc>
      </w:tr>
      <w:tr>
        <w:tc>
          <w:tcPr>
            <w:tcW w:type="dxa" w:w="4608"/>
            <w:vAlign w:val="center"/>
          </w:tcPr>
          <w:p>
            <w:pPr>
              <w:pStyle w:val="TableText"/>
              <w:spacing w:after="0"/>
            </w:pPr>
            <w:r/>
            <w:r>
              <w:rPr>
                <w:rFonts w:ascii="Arial" w:hAnsi="Arial"/>
                <w:b w:val="0"/>
                <w:sz w:val="14"/>
              </w:rPr>
              <w:t>Hash y revisión</w:t>
            </w:r>
          </w:p>
        </w:tc>
        <w:tc>
          <w:tcPr>
            <w:tcW w:type="dxa" w:w="5472"/>
            <w:vAlign w:val="center"/>
          </w:tcPr>
          <w:p>
            <w:pPr>
              <w:pStyle w:val="TableText"/>
              <w:spacing w:after="0"/>
            </w:pPr>
            <w:r/>
            <w:r>
              <w:rPr>
                <w:rFonts w:ascii="Arial" w:hAnsi="Arial"/>
                <w:b w:val="0"/>
                <w:sz w:val="14"/>
              </w:rPr>
              <w:t>Coincidencia exacta.</w:t>
            </w:r>
          </w:p>
        </w:tc>
      </w:tr>
    </w:tbl>
    <w:p>
      <w:pPr>
        <w:spacing w:after="20"/>
      </w:pPr>
    </w:p>
    <w:p>
      <w:pPr>
        <w:pStyle w:val="Heading1"/>
      </w:pPr>
      <w:r>
        <w:t>26. Casos mínimos de aceptación</w:t>
      </w:r>
    </w:p>
    <w:tbl>
      <w:tblPr>
        <w:tblStyle w:val="TableGrid"/>
        <w:tblW w:type="auto" w:w="0"/>
        <w:jc w:val="center"/>
        <w:tblLook w:firstColumn="1" w:firstRow="1" w:lastColumn="0" w:lastRow="0" w:noHBand="0" w:noVBand="1" w:val="04A0"/>
      </w:tblPr>
      <w:tblGrid>
        <w:gridCol w:w="5083"/>
        <w:gridCol w:w="5083"/>
      </w:tblGrid>
      <w:tr>
        <w:tc>
          <w:tcPr>
            <w:tcW w:type="dxa" w:w="2448"/>
            <w:shd w:fill="000000"/>
            <w:vAlign w:val="center"/>
          </w:tcPr>
          <w:p>
            <w:pPr>
              <w:pStyle w:val="TableText"/>
              <w:spacing w:after="0"/>
            </w:pPr>
            <w:r/>
            <w:r>
              <w:rPr>
                <w:rFonts w:ascii="Arial" w:hAnsi="Arial"/>
                <w:b/>
                <w:color w:val="FFFFFF"/>
                <w:sz w:val="15"/>
              </w:rPr>
              <w:t>Rango</w:t>
            </w:r>
          </w:p>
        </w:tc>
        <w:tc>
          <w:tcPr>
            <w:tcW w:type="dxa" w:w="7632"/>
            <w:shd w:fill="000000"/>
            <w:vAlign w:val="center"/>
          </w:tcPr>
          <w:p>
            <w:pPr>
              <w:pStyle w:val="TableText"/>
              <w:spacing w:after="0"/>
            </w:pPr>
            <w:r/>
            <w:r>
              <w:rPr>
                <w:rFonts w:ascii="Arial" w:hAnsi="Arial"/>
                <w:b/>
                <w:color w:val="FFFFFF"/>
                <w:sz w:val="15"/>
              </w:rPr>
              <w:t>Cobertura</w:t>
            </w:r>
          </w:p>
        </w:tc>
      </w:tr>
      <w:tr>
        <w:tc>
          <w:tcPr>
            <w:tcW w:type="dxa" w:w="2448"/>
            <w:vAlign w:val="center"/>
          </w:tcPr>
          <w:p>
            <w:pPr>
              <w:pStyle w:val="TableText"/>
              <w:spacing w:after="0"/>
            </w:pPr>
            <w:r/>
            <w:r>
              <w:rPr>
                <w:rFonts w:ascii="Arial" w:hAnsi="Arial"/>
                <w:b w:val="0"/>
                <w:sz w:val="14"/>
              </w:rPr>
              <w:t>AC14-001–020</w:t>
            </w:r>
          </w:p>
        </w:tc>
        <w:tc>
          <w:tcPr>
            <w:tcW w:type="dxa" w:w="7632"/>
            <w:vAlign w:val="center"/>
          </w:tcPr>
          <w:p>
            <w:pPr>
              <w:pStyle w:val="TableText"/>
              <w:spacing w:after="0"/>
            </w:pPr>
            <w:r/>
            <w:r>
              <w:rPr>
                <w:rFonts w:ascii="Arial" w:hAnsi="Arial"/>
                <w:b w:val="0"/>
                <w:sz w:val="14"/>
              </w:rPr>
              <w:t>ProductSnapshot, inmutabilidad, estados, hashes y reproducibilidad.</w:t>
            </w:r>
          </w:p>
        </w:tc>
      </w:tr>
      <w:tr>
        <w:tc>
          <w:tcPr>
            <w:tcW w:type="dxa" w:w="2448"/>
            <w:vAlign w:val="center"/>
          </w:tcPr>
          <w:p>
            <w:pPr>
              <w:pStyle w:val="TableText"/>
              <w:spacing w:after="0"/>
            </w:pPr>
            <w:r/>
            <w:r>
              <w:rPr>
                <w:rFonts w:ascii="Arial" w:hAnsi="Arial"/>
                <w:b w:val="0"/>
                <w:sz w:val="14"/>
              </w:rPr>
              <w:t>AC14-021–040</w:t>
            </w:r>
          </w:p>
        </w:tc>
        <w:tc>
          <w:tcPr>
            <w:tcW w:type="dxa" w:w="7632"/>
            <w:vAlign w:val="center"/>
          </w:tcPr>
          <w:p>
            <w:pPr>
              <w:pStyle w:val="TableText"/>
              <w:spacing w:after="0"/>
            </w:pPr>
            <w:r/>
            <w:r>
              <w:rPr>
                <w:rFonts w:ascii="Arial" w:hAnsi="Arial"/>
                <w:b w:val="0"/>
                <w:sz w:val="14"/>
              </w:rPr>
              <w:t>Generación de fustes, tramos, puertas, brazos y accesorios.</w:t>
            </w:r>
          </w:p>
        </w:tc>
      </w:tr>
      <w:tr>
        <w:tc>
          <w:tcPr>
            <w:tcW w:type="dxa" w:w="2448"/>
            <w:vAlign w:val="center"/>
          </w:tcPr>
          <w:p>
            <w:pPr>
              <w:pStyle w:val="TableText"/>
              <w:spacing w:after="0"/>
            </w:pPr>
            <w:r/>
            <w:r>
              <w:rPr>
                <w:rFonts w:ascii="Arial" w:hAnsi="Arial"/>
                <w:b w:val="0"/>
                <w:sz w:val="14"/>
              </w:rPr>
              <w:t>AC14-041–060</w:t>
            </w:r>
          </w:p>
        </w:tc>
        <w:tc>
          <w:tcPr>
            <w:tcW w:type="dxa" w:w="7632"/>
            <w:vAlign w:val="center"/>
          </w:tcPr>
          <w:p>
            <w:pPr>
              <w:pStyle w:val="TableText"/>
              <w:spacing w:after="0"/>
            </w:pPr>
            <w:r/>
            <w:r>
              <w:rPr>
                <w:rFonts w:ascii="Arial" w:hAnsi="Arial"/>
                <w:b w:val="0"/>
                <w:sz w:val="14"/>
              </w:rPr>
              <w:t>Desarrollos, plegados, DXF, capas y reconstrucción.</w:t>
            </w:r>
          </w:p>
        </w:tc>
      </w:tr>
      <w:tr>
        <w:tc>
          <w:tcPr>
            <w:tcW w:type="dxa" w:w="2448"/>
            <w:vAlign w:val="center"/>
          </w:tcPr>
          <w:p>
            <w:pPr>
              <w:pStyle w:val="TableText"/>
              <w:spacing w:after="0"/>
            </w:pPr>
            <w:r/>
            <w:r>
              <w:rPr>
                <w:rFonts w:ascii="Arial" w:hAnsi="Arial"/>
                <w:b w:val="0"/>
                <w:sz w:val="14"/>
              </w:rPr>
              <w:t>AC14-061–080</w:t>
            </w:r>
          </w:p>
        </w:tc>
        <w:tc>
          <w:tcPr>
            <w:tcW w:type="dxa" w:w="7632"/>
            <w:vAlign w:val="center"/>
          </w:tcPr>
          <w:p>
            <w:pPr>
              <w:pStyle w:val="TableText"/>
              <w:spacing w:after="0"/>
            </w:pPr>
            <w:r/>
            <w:r>
              <w:rPr>
                <w:rFonts w:ascii="Arial" w:hAnsi="Arial"/>
                <w:b w:val="0"/>
                <w:sz w:val="14"/>
              </w:rPr>
              <w:t>STEP AP242, ensamblajes, nombres, unidades y propiedades.</w:t>
            </w:r>
          </w:p>
        </w:tc>
      </w:tr>
      <w:tr>
        <w:tc>
          <w:tcPr>
            <w:tcW w:type="dxa" w:w="2448"/>
            <w:vAlign w:val="center"/>
          </w:tcPr>
          <w:p>
            <w:pPr>
              <w:pStyle w:val="TableText"/>
              <w:spacing w:after="0"/>
            </w:pPr>
            <w:r/>
            <w:r>
              <w:rPr>
                <w:rFonts w:ascii="Arial" w:hAnsi="Arial"/>
                <w:b w:val="0"/>
                <w:sz w:val="14"/>
              </w:rPr>
              <w:t>AC14-081–100</w:t>
            </w:r>
          </w:p>
        </w:tc>
        <w:tc>
          <w:tcPr>
            <w:tcW w:type="dxa" w:w="7632"/>
            <w:vAlign w:val="center"/>
          </w:tcPr>
          <w:p>
            <w:pPr>
              <w:pStyle w:val="TableText"/>
              <w:spacing w:after="0"/>
            </w:pPr>
            <w:r/>
            <w:r>
              <w:rPr>
                <w:rFonts w:ascii="Arial" w:hAnsi="Arial"/>
                <w:b w:val="0"/>
                <w:sz w:val="14"/>
              </w:rPr>
              <w:t>Planos, cotas, soldaduras, tolerancias y notas.</w:t>
            </w:r>
          </w:p>
        </w:tc>
      </w:tr>
      <w:tr>
        <w:tc>
          <w:tcPr>
            <w:tcW w:type="dxa" w:w="2448"/>
            <w:vAlign w:val="center"/>
          </w:tcPr>
          <w:p>
            <w:pPr>
              <w:pStyle w:val="TableText"/>
              <w:spacing w:after="0"/>
            </w:pPr>
            <w:r/>
            <w:r>
              <w:rPr>
                <w:rFonts w:ascii="Arial" w:hAnsi="Arial"/>
                <w:b w:val="0"/>
                <w:sz w:val="14"/>
              </w:rPr>
              <w:t>AC14-101–120</w:t>
            </w:r>
          </w:p>
        </w:tc>
        <w:tc>
          <w:tcPr>
            <w:tcW w:type="dxa" w:w="7632"/>
            <w:vAlign w:val="center"/>
          </w:tcPr>
          <w:p>
            <w:pPr>
              <w:pStyle w:val="TableText"/>
              <w:spacing w:after="0"/>
            </w:pPr>
            <w:r/>
            <w:r>
              <w:rPr>
                <w:rFonts w:ascii="Arial" w:hAnsi="Arial"/>
                <w:b w:val="0"/>
                <w:sz w:val="14"/>
              </w:rPr>
              <w:t>EBOM/MBOM/PBOM/SBOM, cantidades, mermas y sustituciones.</w:t>
            </w:r>
          </w:p>
        </w:tc>
      </w:tr>
      <w:tr>
        <w:tc>
          <w:tcPr>
            <w:tcW w:type="dxa" w:w="2448"/>
            <w:vAlign w:val="center"/>
          </w:tcPr>
          <w:p>
            <w:pPr>
              <w:pStyle w:val="TableText"/>
              <w:spacing w:after="0"/>
            </w:pPr>
            <w:r/>
            <w:r>
              <w:rPr>
                <w:rFonts w:ascii="Arial" w:hAnsi="Arial"/>
                <w:b w:val="0"/>
                <w:sz w:val="14"/>
              </w:rPr>
              <w:t>AC14-121–140</w:t>
            </w:r>
          </w:p>
        </w:tc>
        <w:tc>
          <w:tcPr>
            <w:tcW w:type="dxa" w:w="7632"/>
            <w:vAlign w:val="center"/>
          </w:tcPr>
          <w:p>
            <w:pPr>
              <w:pStyle w:val="TableText"/>
              <w:spacing w:after="0"/>
            </w:pPr>
            <w:r/>
            <w:r>
              <w:rPr>
                <w:rFonts w:ascii="Arial" w:hAnsi="Arial"/>
                <w:b w:val="0"/>
                <w:sz w:val="14"/>
              </w:rPr>
              <w:t>Rutas, operaciones, instrucciones, proveedores y make-or-buy.</w:t>
            </w:r>
          </w:p>
        </w:tc>
      </w:tr>
      <w:tr>
        <w:tc>
          <w:tcPr>
            <w:tcW w:type="dxa" w:w="2448"/>
            <w:vAlign w:val="center"/>
          </w:tcPr>
          <w:p>
            <w:pPr>
              <w:pStyle w:val="TableText"/>
              <w:spacing w:after="0"/>
            </w:pPr>
            <w:r/>
            <w:r>
              <w:rPr>
                <w:rFonts w:ascii="Arial" w:hAnsi="Arial"/>
                <w:b w:val="0"/>
                <w:sz w:val="14"/>
              </w:rPr>
              <w:t>AC14-141–160</w:t>
            </w:r>
          </w:p>
        </w:tc>
        <w:tc>
          <w:tcPr>
            <w:tcW w:type="dxa" w:w="7632"/>
            <w:vAlign w:val="center"/>
          </w:tcPr>
          <w:p>
            <w:pPr>
              <w:pStyle w:val="TableText"/>
              <w:spacing w:after="0"/>
            </w:pPr>
            <w:r/>
            <w:r>
              <w:rPr>
                <w:rFonts w:ascii="Arial" w:hAnsi="Arial"/>
                <w:b w:val="0"/>
                <w:sz w:val="14"/>
              </w:rPr>
              <w:t>Calidad, as-built, no conformidades y recalificación.</w:t>
            </w:r>
          </w:p>
        </w:tc>
      </w:tr>
      <w:tr>
        <w:tc>
          <w:tcPr>
            <w:tcW w:type="dxa" w:w="2448"/>
            <w:vAlign w:val="center"/>
          </w:tcPr>
          <w:p>
            <w:pPr>
              <w:pStyle w:val="TableText"/>
              <w:spacing w:after="0"/>
            </w:pPr>
            <w:r/>
            <w:r>
              <w:rPr>
                <w:rFonts w:ascii="Arial" w:hAnsi="Arial"/>
                <w:b w:val="0"/>
                <w:sz w:val="14"/>
              </w:rPr>
              <w:t>AC14-161–180</w:t>
            </w:r>
          </w:p>
        </w:tc>
        <w:tc>
          <w:tcPr>
            <w:tcW w:type="dxa" w:w="7632"/>
            <w:vAlign w:val="center"/>
          </w:tcPr>
          <w:p>
            <w:pPr>
              <w:pStyle w:val="TableText"/>
              <w:spacing w:after="0"/>
            </w:pPr>
            <w:r/>
            <w:r>
              <w:rPr>
                <w:rFonts w:ascii="Arial" w:hAnsi="Arial"/>
                <w:b w:val="0"/>
                <w:sz w:val="14"/>
              </w:rPr>
              <w:t>Paquetes documentales, idiomas, permisos y publicación.</w:t>
            </w:r>
          </w:p>
        </w:tc>
      </w:tr>
      <w:tr>
        <w:tc>
          <w:tcPr>
            <w:tcW w:type="dxa" w:w="2448"/>
            <w:vAlign w:val="center"/>
          </w:tcPr>
          <w:p>
            <w:pPr>
              <w:pStyle w:val="TableText"/>
              <w:spacing w:after="0"/>
            </w:pPr>
            <w:r/>
            <w:r>
              <w:rPr>
                <w:rFonts w:ascii="Arial" w:hAnsi="Arial"/>
                <w:b w:val="0"/>
                <w:sz w:val="14"/>
              </w:rPr>
              <w:t>AC14-181–200</w:t>
            </w:r>
          </w:p>
        </w:tc>
        <w:tc>
          <w:tcPr>
            <w:tcW w:type="dxa" w:w="7632"/>
            <w:vAlign w:val="center"/>
          </w:tcPr>
          <w:p>
            <w:pPr>
              <w:pStyle w:val="TableText"/>
              <w:spacing w:after="0"/>
            </w:pPr>
            <w:r/>
            <w:r>
              <w:rPr>
                <w:rFonts w:ascii="Arial" w:hAnsi="Arial"/>
                <w:b w:val="0"/>
                <w:sz w:val="14"/>
              </w:rPr>
              <w:t>Cambios, integraciones, rendimiento, seguridad y recuperación.</w:t>
            </w:r>
          </w:p>
        </w:tc>
      </w:tr>
    </w:tbl>
    <w:p>
      <w:pPr>
        <w:spacing w:after="20"/>
      </w:pPr>
    </w:p>
    <w:p>
      <w:r>
        <w:t>Cada caso tendrá entradas, bibliotecas, versión, resultado esperado, tolerancia, evidencia y responsable. Los golden masters incluirán archivos CAD, imágenes renderizadas, BOM y documentos.</w:t>
      </w:r>
    </w:p>
    <w:p>
      <w:pPr>
        <w:pStyle w:val="Heading1"/>
      </w:pPr>
      <w:r>
        <w:t>27. Criterios de cierre de la fase</w:t>
      </w:r>
    </w:p>
    <w:p>
      <w:pPr>
        <w:pStyle w:val="ListBullet"/>
        <w:spacing w:after="30"/>
        <w:ind w:left="288" w:hanging="173"/>
      </w:pPr>
      <w:r>
        <w:t>ProductSnapshot aprobado y estable.</w:t>
      </w:r>
    </w:p>
    <w:p>
      <w:pPr>
        <w:pStyle w:val="ListBullet"/>
        <w:spacing w:after="30"/>
        <w:ind w:left="288" w:hanging="173"/>
      </w:pPr>
      <w:r>
        <w:t>Kernel CAD y formatos definidos y validados.</w:t>
      </w:r>
    </w:p>
    <w:p>
      <w:pPr>
        <w:pStyle w:val="ListBullet"/>
        <w:spacing w:after="30"/>
        <w:ind w:left="288" w:hanging="173"/>
      </w:pPr>
      <w:r>
        <w:t>Generación de al menos diez productos reales sin correcciones manuales críticas.</w:t>
      </w:r>
    </w:p>
    <w:p>
      <w:pPr>
        <w:pStyle w:val="ListBullet"/>
        <w:spacing w:after="30"/>
        <w:ind w:left="288" w:hanging="173"/>
      </w:pPr>
      <w:r>
        <w:t>Reconciliación automática CAD–BOM–planos aprobada.</w:t>
      </w:r>
    </w:p>
    <w:p>
      <w:pPr>
        <w:pStyle w:val="ListBullet"/>
        <w:spacing w:after="30"/>
        <w:ind w:left="288" w:hanging="173"/>
      </w:pPr>
      <w:r>
        <w:t>Planos y DXF aceptados por producción o proveedor piloto.</w:t>
      </w:r>
    </w:p>
    <w:p>
      <w:pPr>
        <w:pStyle w:val="ListBullet"/>
        <w:spacing w:after="30"/>
        <w:ind w:left="288" w:hanging="173"/>
      </w:pPr>
      <w:r>
        <w:t>BOM multinivel publicada en entorno de prueba ERP.</w:t>
      </w:r>
    </w:p>
    <w:p>
      <w:pPr>
        <w:pStyle w:val="ListBullet"/>
        <w:spacing w:after="30"/>
        <w:ind w:left="288" w:hanging="173"/>
      </w:pPr>
      <w:r>
        <w:t>Rutas e instrucciones validadas por industrialización.</w:t>
      </w:r>
    </w:p>
    <w:p>
      <w:pPr>
        <w:pStyle w:val="ListBullet"/>
        <w:spacing w:after="30"/>
        <w:ind w:left="288" w:hanging="173"/>
      </w:pPr>
      <w:r>
        <w:t>Paquetes para cliente, proveedor y obra aprobados.</w:t>
      </w:r>
    </w:p>
    <w:p>
      <w:pPr>
        <w:pStyle w:val="ListBullet"/>
        <w:spacing w:after="30"/>
        <w:ind w:left="288" w:hanging="173"/>
      </w:pPr>
      <w:r>
        <w:t>Gestión de revisiones y cambios demostrada end-to-end.</w:t>
      </w:r>
    </w:p>
    <w:p>
      <w:pPr>
        <w:pStyle w:val="ListBullet"/>
        <w:spacing w:after="30"/>
        <w:ind w:left="288" w:hanging="173"/>
      </w:pPr>
      <w:r>
        <w:t>Casos AC14 obligatorios superados.</w:t>
      </w:r>
    </w:p>
    <w:p>
      <w:pPr>
        <w:pStyle w:val="ListBullet"/>
        <w:spacing w:after="30"/>
        <w:ind w:left="288" w:hanging="173"/>
      </w:pPr>
      <w:r>
        <w:t>Permisos, auditoría, backup y recuperación verificados.</w:t>
      </w:r>
    </w:p>
    <w:p>
      <w:pPr>
        <w:pStyle w:val="ListBullet"/>
        <w:spacing w:after="30"/>
        <w:ind w:left="288" w:hanging="173"/>
      </w:pPr>
      <w:r>
        <w:t>Oficina Técnica y Producción autorizan pasar a uso piloto.</w:t>
      </w:r>
    </w:p>
    <w:p>
      <w:pPr>
        <w:pStyle w:val="Heading1"/>
      </w:pPr>
      <w:r>
        <w:t>28. Entregables</w:t>
      </w:r>
    </w:p>
    <w:p>
      <w:pPr>
        <w:pStyle w:val="ListBullet"/>
        <w:spacing w:after="30"/>
        <w:ind w:left="288" w:hanging="173"/>
      </w:pPr>
      <w:r>
        <w:t>Especificación funcional y técnica v1.0.</w:t>
      </w:r>
    </w:p>
    <w:p>
      <w:pPr>
        <w:pStyle w:val="ListBullet"/>
        <w:spacing w:after="30"/>
        <w:ind w:left="288" w:hanging="173"/>
      </w:pPr>
      <w:r>
        <w:t>Esquemas JSON y modelo relacional.</w:t>
      </w:r>
    </w:p>
    <w:p>
      <w:pPr>
        <w:pStyle w:val="ListBullet"/>
        <w:spacing w:after="30"/>
        <w:ind w:left="288" w:hanging="173"/>
      </w:pPr>
      <w:r>
        <w:t>Biblioteca inicial de plantillas de producto.</w:t>
      </w:r>
    </w:p>
    <w:p>
      <w:pPr>
        <w:pStyle w:val="ListBullet"/>
        <w:spacing w:after="30"/>
        <w:ind w:left="288" w:hanging="173"/>
      </w:pPr>
      <w:r>
        <w:t>Convenciones STEP, DXF, capas y nomenclatura.</w:t>
      </w:r>
    </w:p>
    <w:p>
      <w:pPr>
        <w:pStyle w:val="ListBullet"/>
        <w:spacing w:after="30"/>
        <w:ind w:left="288" w:hanging="173"/>
      </w:pPr>
      <w:r>
        <w:t>Plantillas de planos y documentos.</w:t>
      </w:r>
    </w:p>
    <w:p>
      <w:pPr>
        <w:pStyle w:val="ListBullet"/>
        <w:spacing w:after="30"/>
        <w:ind w:left="288" w:hanging="173"/>
      </w:pPr>
      <w:r>
        <w:t>Reglas EBOM–MBOM–PBOM–SBOM.</w:t>
      </w:r>
    </w:p>
    <w:p>
      <w:pPr>
        <w:pStyle w:val="ListBullet"/>
        <w:spacing w:after="30"/>
        <w:ind w:left="288" w:hanging="173"/>
      </w:pPr>
      <w:r>
        <w:t>Biblioteca inicial de rutas y operaciones.</w:t>
      </w:r>
    </w:p>
    <w:p>
      <w:pPr>
        <w:pStyle w:val="ListBullet"/>
        <w:spacing w:after="30"/>
        <w:ind w:left="288" w:hanging="173"/>
      </w:pPr>
      <w:r>
        <w:t>Motor de validación de coherencia.</w:t>
      </w:r>
    </w:p>
    <w:p>
      <w:pPr>
        <w:pStyle w:val="ListBullet"/>
        <w:spacing w:after="30"/>
        <w:ind w:left="288" w:hanging="173"/>
      </w:pPr>
      <w:r>
        <w:t>Conectores piloto SolidWorks y ERP.</w:t>
      </w:r>
    </w:p>
    <w:p>
      <w:pPr>
        <w:pStyle w:val="ListBullet"/>
        <w:spacing w:after="30"/>
        <w:ind w:left="288" w:hanging="173"/>
      </w:pPr>
      <w:r>
        <w:t>Suite de pruebas y golden masters.</w:t>
      </w:r>
    </w:p>
    <w:p>
      <w:pPr>
        <w:pStyle w:val="ListBullet"/>
        <w:spacing w:after="30"/>
        <w:ind w:left="288" w:hanging="173"/>
      </w:pPr>
      <w:r>
        <w:t>Manual de administración y liberación.</w:t>
      </w:r>
    </w:p>
    <w:p>
      <w:pPr>
        <w:pStyle w:val="ListBullet"/>
        <w:spacing w:after="30"/>
        <w:ind w:left="288" w:hanging="173"/>
      </w:pPr>
      <w:r>
        <w:t>Guía de proveedores y paquete de subcontratación.</w:t>
      </w:r>
    </w:p>
    <w:p>
      <w:pPr>
        <w:pStyle w:val="Heading1"/>
      </w:pPr>
      <w:r>
        <w:t>29. Riesgos y mitigaciones</w:t>
      </w:r>
    </w:p>
    <w:tbl>
      <w:tblPr>
        <w:tblStyle w:val="TableGrid"/>
        <w:tblW w:type="auto" w:w="0"/>
        <w:jc w:val="center"/>
        <w:tblLook w:firstColumn="1" w:firstRow="1" w:lastColumn="0" w:lastRow="0" w:noHBand="0" w:noVBand="1" w:val="04A0"/>
      </w:tblPr>
      <w:tblGrid>
        <w:gridCol w:w="5083"/>
        <w:gridCol w:w="5083"/>
      </w:tblGrid>
      <w:tr>
        <w:tc>
          <w:tcPr>
            <w:tcW w:type="dxa" w:w="3024"/>
            <w:shd w:fill="000000"/>
            <w:vAlign w:val="center"/>
          </w:tcPr>
          <w:p>
            <w:pPr>
              <w:pStyle w:val="TableText"/>
              <w:spacing w:after="0"/>
            </w:pPr>
            <w:r/>
            <w:r>
              <w:rPr>
                <w:rFonts w:ascii="Arial" w:hAnsi="Arial"/>
                <w:b/>
                <w:color w:val="FFFFFF"/>
                <w:sz w:val="15"/>
              </w:rPr>
              <w:t>Riesgo</w:t>
            </w:r>
          </w:p>
        </w:tc>
        <w:tc>
          <w:tcPr>
            <w:tcW w:type="dxa" w:w="7056"/>
            <w:shd w:fill="000000"/>
            <w:vAlign w:val="center"/>
          </w:tcPr>
          <w:p>
            <w:pPr>
              <w:pStyle w:val="TableText"/>
              <w:spacing w:after="0"/>
            </w:pPr>
            <w:r/>
            <w:r>
              <w:rPr>
                <w:rFonts w:ascii="Arial" w:hAnsi="Arial"/>
                <w:b/>
                <w:color w:val="FFFFFF"/>
                <w:sz w:val="15"/>
              </w:rPr>
              <w:t>Mitigación</w:t>
            </w:r>
          </w:p>
        </w:tc>
      </w:tr>
      <w:tr>
        <w:tc>
          <w:tcPr>
            <w:tcW w:type="dxa" w:w="3024"/>
            <w:vAlign w:val="center"/>
          </w:tcPr>
          <w:p>
            <w:pPr>
              <w:pStyle w:val="TableText"/>
              <w:spacing w:after="0"/>
            </w:pPr>
            <w:r/>
            <w:r>
              <w:rPr>
                <w:rFonts w:ascii="Arial" w:hAnsi="Arial"/>
                <w:b w:val="0"/>
                <w:sz w:val="14"/>
              </w:rPr>
              <w:t>Divergencia CAD/BOM</w:t>
            </w:r>
          </w:p>
        </w:tc>
        <w:tc>
          <w:tcPr>
            <w:tcW w:type="dxa" w:w="7056"/>
            <w:vAlign w:val="center"/>
          </w:tcPr>
          <w:p>
            <w:pPr>
              <w:pStyle w:val="TableText"/>
              <w:spacing w:after="0"/>
            </w:pPr>
            <w:r/>
            <w:r>
              <w:rPr>
                <w:rFonts w:ascii="Arial" w:hAnsi="Arial"/>
                <w:b w:val="0"/>
                <w:sz w:val="14"/>
              </w:rPr>
              <w:t>Fuente única, hashes y reconciliación bloqueante.</w:t>
            </w:r>
          </w:p>
        </w:tc>
      </w:tr>
      <w:tr>
        <w:tc>
          <w:tcPr>
            <w:tcW w:type="dxa" w:w="3024"/>
            <w:vAlign w:val="center"/>
          </w:tcPr>
          <w:p>
            <w:pPr>
              <w:pStyle w:val="TableText"/>
              <w:spacing w:after="0"/>
            </w:pPr>
            <w:r/>
            <w:r>
              <w:rPr>
                <w:rFonts w:ascii="Arial" w:hAnsi="Arial"/>
                <w:b w:val="0"/>
                <w:sz w:val="14"/>
              </w:rPr>
              <w:t>CAD no editable en SolidWorks</w:t>
            </w:r>
          </w:p>
        </w:tc>
        <w:tc>
          <w:tcPr>
            <w:tcW w:type="dxa" w:w="7056"/>
            <w:vAlign w:val="center"/>
          </w:tcPr>
          <w:p>
            <w:pPr>
              <w:pStyle w:val="TableText"/>
              <w:spacing w:after="0"/>
            </w:pPr>
            <w:r/>
            <w:r>
              <w:rPr>
                <w:rFonts w:ascii="Arial" w:hAnsi="Arial"/>
                <w:b w:val="0"/>
                <w:sz w:val="14"/>
              </w:rPr>
              <w:t>Conector nativo progresivo y declaración clara del nivel de editabilidad.</w:t>
            </w:r>
          </w:p>
        </w:tc>
      </w:tr>
      <w:tr>
        <w:tc>
          <w:tcPr>
            <w:tcW w:type="dxa" w:w="3024"/>
            <w:vAlign w:val="center"/>
          </w:tcPr>
          <w:p>
            <w:pPr>
              <w:pStyle w:val="TableText"/>
              <w:spacing w:after="0"/>
            </w:pPr>
            <w:r/>
            <w:r>
              <w:rPr>
                <w:rFonts w:ascii="Arial" w:hAnsi="Arial"/>
                <w:b w:val="0"/>
                <w:sz w:val="14"/>
              </w:rPr>
              <w:t>Errores en DXF</w:t>
            </w:r>
          </w:p>
        </w:tc>
        <w:tc>
          <w:tcPr>
            <w:tcW w:type="dxa" w:w="7056"/>
            <w:vAlign w:val="center"/>
          </w:tcPr>
          <w:p>
            <w:pPr>
              <w:pStyle w:val="TableText"/>
              <w:spacing w:after="0"/>
            </w:pPr>
            <w:r/>
            <w:r>
              <w:rPr>
                <w:rFonts w:ascii="Arial" w:hAnsi="Arial"/>
                <w:b w:val="0"/>
                <w:sz w:val="14"/>
              </w:rPr>
              <w:t>Capas controladas, reconstrucción y pilotos CAM.</w:t>
            </w:r>
          </w:p>
        </w:tc>
      </w:tr>
      <w:tr>
        <w:tc>
          <w:tcPr>
            <w:tcW w:type="dxa" w:w="3024"/>
            <w:vAlign w:val="center"/>
          </w:tcPr>
          <w:p>
            <w:pPr>
              <w:pStyle w:val="TableText"/>
              <w:spacing w:after="0"/>
            </w:pPr>
            <w:r/>
            <w:r>
              <w:rPr>
                <w:rFonts w:ascii="Arial" w:hAnsi="Arial"/>
                <w:b w:val="0"/>
                <w:sz w:val="14"/>
              </w:rPr>
              <w:t>Demasiadas variantes</w:t>
            </w:r>
          </w:p>
        </w:tc>
        <w:tc>
          <w:tcPr>
            <w:tcW w:type="dxa" w:w="7056"/>
            <w:vAlign w:val="center"/>
          </w:tcPr>
          <w:p>
            <w:pPr>
              <w:pStyle w:val="TableText"/>
              <w:spacing w:after="0"/>
            </w:pPr>
            <w:r/>
            <w:r>
              <w:rPr>
                <w:rFonts w:ascii="Arial" w:hAnsi="Arial"/>
                <w:b w:val="0"/>
                <w:sz w:val="14"/>
              </w:rPr>
              <w:t>Arquitectura modular y reglas de configuración.</w:t>
            </w:r>
          </w:p>
        </w:tc>
      </w:tr>
      <w:tr>
        <w:tc>
          <w:tcPr>
            <w:tcW w:type="dxa" w:w="3024"/>
            <w:vAlign w:val="center"/>
          </w:tcPr>
          <w:p>
            <w:pPr>
              <w:pStyle w:val="TableText"/>
              <w:spacing w:after="0"/>
            </w:pPr>
            <w:r/>
            <w:r>
              <w:rPr>
                <w:rFonts w:ascii="Arial" w:hAnsi="Arial"/>
                <w:b w:val="0"/>
                <w:sz w:val="14"/>
              </w:rPr>
              <w:t>Datos ERP inconsistentes</w:t>
            </w:r>
          </w:p>
        </w:tc>
        <w:tc>
          <w:tcPr>
            <w:tcW w:type="dxa" w:w="7056"/>
            <w:vAlign w:val="center"/>
          </w:tcPr>
          <w:p>
            <w:pPr>
              <w:pStyle w:val="TableText"/>
              <w:spacing w:after="0"/>
            </w:pPr>
            <w:r/>
            <w:r>
              <w:rPr>
                <w:rFonts w:ascii="Arial" w:hAnsi="Arial"/>
                <w:b w:val="0"/>
                <w:sz w:val="14"/>
              </w:rPr>
              <w:t>Gobierno de propiedad y staging.</w:t>
            </w:r>
          </w:p>
        </w:tc>
      </w:tr>
      <w:tr>
        <w:tc>
          <w:tcPr>
            <w:tcW w:type="dxa" w:w="3024"/>
            <w:vAlign w:val="center"/>
          </w:tcPr>
          <w:p>
            <w:pPr>
              <w:pStyle w:val="TableText"/>
              <w:spacing w:after="0"/>
            </w:pPr>
            <w:r/>
            <w:r>
              <w:rPr>
                <w:rFonts w:ascii="Arial" w:hAnsi="Arial"/>
                <w:b w:val="0"/>
                <w:sz w:val="14"/>
              </w:rPr>
              <w:t>Planos incompletos</w:t>
            </w:r>
          </w:p>
        </w:tc>
        <w:tc>
          <w:tcPr>
            <w:tcW w:type="dxa" w:w="7056"/>
            <w:vAlign w:val="center"/>
          </w:tcPr>
          <w:p>
            <w:pPr>
              <w:pStyle w:val="TableText"/>
              <w:spacing w:after="0"/>
            </w:pPr>
            <w:r/>
            <w:r>
              <w:rPr>
                <w:rFonts w:ascii="Arial" w:hAnsi="Arial"/>
                <w:b w:val="0"/>
                <w:sz w:val="14"/>
              </w:rPr>
              <w:t>Características críticas y checklist automático.</w:t>
            </w:r>
          </w:p>
        </w:tc>
      </w:tr>
      <w:tr>
        <w:tc>
          <w:tcPr>
            <w:tcW w:type="dxa" w:w="3024"/>
            <w:vAlign w:val="center"/>
          </w:tcPr>
          <w:p>
            <w:pPr>
              <w:pStyle w:val="TableText"/>
              <w:spacing w:after="0"/>
            </w:pPr>
            <w:r/>
            <w:r>
              <w:rPr>
                <w:rFonts w:ascii="Arial" w:hAnsi="Arial"/>
                <w:b w:val="0"/>
                <w:sz w:val="14"/>
              </w:rPr>
              <w:t>Dependencia de proveedor</w:t>
            </w:r>
          </w:p>
        </w:tc>
        <w:tc>
          <w:tcPr>
            <w:tcW w:type="dxa" w:w="7056"/>
            <w:vAlign w:val="center"/>
          </w:tcPr>
          <w:p>
            <w:pPr>
              <w:pStyle w:val="TableText"/>
              <w:spacing w:after="0"/>
            </w:pPr>
            <w:r/>
            <w:r>
              <w:rPr>
                <w:rFonts w:ascii="Arial" w:hAnsi="Arial"/>
                <w:b w:val="0"/>
                <w:sz w:val="14"/>
              </w:rPr>
              <w:t>Formatos neutros y arquetipos estándar.</w:t>
            </w:r>
          </w:p>
        </w:tc>
      </w:tr>
      <w:tr>
        <w:tc>
          <w:tcPr>
            <w:tcW w:type="dxa" w:w="3024"/>
            <w:vAlign w:val="center"/>
          </w:tcPr>
          <w:p>
            <w:pPr>
              <w:pStyle w:val="TableText"/>
              <w:spacing w:after="0"/>
            </w:pPr>
            <w:r/>
            <w:r>
              <w:rPr>
                <w:rFonts w:ascii="Arial" w:hAnsi="Arial"/>
                <w:b w:val="0"/>
                <w:sz w:val="14"/>
              </w:rPr>
              <w:t>IA altera datos críticos</w:t>
            </w:r>
          </w:p>
        </w:tc>
        <w:tc>
          <w:tcPr>
            <w:tcW w:type="dxa" w:w="7056"/>
            <w:vAlign w:val="center"/>
          </w:tcPr>
          <w:p>
            <w:pPr>
              <w:pStyle w:val="TableText"/>
              <w:spacing w:after="0"/>
            </w:pPr>
            <w:r/>
            <w:r>
              <w:rPr>
                <w:rFonts w:ascii="Arial" w:hAnsi="Arial"/>
                <w:b w:val="0"/>
                <w:sz w:val="14"/>
              </w:rPr>
              <w:t>Plantillas protegidas e inserción determinista.</w:t>
            </w:r>
          </w:p>
        </w:tc>
      </w:tr>
      <w:tr>
        <w:tc>
          <w:tcPr>
            <w:tcW w:type="dxa" w:w="3024"/>
            <w:vAlign w:val="center"/>
          </w:tcPr>
          <w:p>
            <w:pPr>
              <w:pStyle w:val="TableText"/>
              <w:spacing w:after="0"/>
            </w:pPr>
            <w:r/>
            <w:r>
              <w:rPr>
                <w:rFonts w:ascii="Arial" w:hAnsi="Arial"/>
                <w:b w:val="0"/>
                <w:sz w:val="14"/>
              </w:rPr>
              <w:t>Cambios no propagados</w:t>
            </w:r>
          </w:p>
        </w:tc>
        <w:tc>
          <w:tcPr>
            <w:tcW w:type="dxa" w:w="7056"/>
            <w:vAlign w:val="center"/>
          </w:tcPr>
          <w:p>
            <w:pPr>
              <w:pStyle w:val="TableText"/>
              <w:spacing w:after="0"/>
            </w:pPr>
            <w:r/>
            <w:r>
              <w:rPr>
                <w:rFonts w:ascii="Arial" w:hAnsi="Arial"/>
                <w:b w:val="0"/>
                <w:sz w:val="14"/>
              </w:rPr>
              <w:t>Grafo de dependencias e invalidación.</w:t>
            </w:r>
          </w:p>
        </w:tc>
      </w:tr>
      <w:tr>
        <w:tc>
          <w:tcPr>
            <w:tcW w:type="dxa" w:w="3024"/>
            <w:vAlign w:val="center"/>
          </w:tcPr>
          <w:p>
            <w:pPr>
              <w:pStyle w:val="TableText"/>
              <w:spacing w:after="0"/>
            </w:pPr>
            <w:r/>
            <w:r>
              <w:rPr>
                <w:rFonts w:ascii="Arial" w:hAnsi="Arial"/>
                <w:b w:val="0"/>
                <w:sz w:val="14"/>
              </w:rPr>
              <w:t>Fuga de know-how</w:t>
            </w:r>
          </w:p>
        </w:tc>
        <w:tc>
          <w:tcPr>
            <w:tcW w:type="dxa" w:w="7056"/>
            <w:vAlign w:val="center"/>
          </w:tcPr>
          <w:p>
            <w:pPr>
              <w:pStyle w:val="TableText"/>
              <w:spacing w:after="0"/>
            </w:pPr>
            <w:r/>
            <w:r>
              <w:rPr>
                <w:rFonts w:ascii="Arial" w:hAnsi="Arial"/>
                <w:b w:val="0"/>
                <w:sz w:val="14"/>
              </w:rPr>
              <w:t>Paquetes mínimos y permisos finos.</w:t>
            </w:r>
          </w:p>
        </w:tc>
      </w:tr>
    </w:tbl>
    <w:p>
      <w:pPr>
        <w:spacing w:after="20"/>
      </w:pPr>
    </w:p>
    <w:p>
      <w:pPr>
        <w:pStyle w:val="Heading1"/>
      </w:pPr>
      <w:r>
        <w:t>30. Contrato CAD ejecutable y semántica geométrica</w:t>
      </w:r>
    </w:p>
    <w:p>
      <w:r>
        <w:t>Esta sección convierte el modelo CAD en un contrato verificable. Cada feature deberá tener identidad, propósito, dependencia, parámetros, tolerancia, estado de madurez y relación con cálculo, BOM, plano y proceso. No se aceptarán operaciones geométricas anónimas ni sólidos “importados” sin procedencia cuando el producto se libere para fabricación.</w:t>
      </w:r>
    </w:p>
    <w:p>
      <w:pPr>
        <w:pStyle w:val="Heading2"/>
      </w:pPr>
      <w:r>
        <w:t>30.1 Feature graph y reconstrucción determinista</w:t>
      </w:r>
    </w:p>
    <w:p>
      <w:pPr>
        <w:pStyle w:val="ListBullet"/>
      </w:pPr>
      <w:r>
        <w:t>Cada pieza tendrá un feature graph dirigido y acíclico con operaciones de referencia, croquis, extrusión, revolución, loft, plegado, corte, taladro, bisel, soldadura representada, mecanizado y acabado.</w:t>
      </w:r>
    </w:p>
    <w:p>
      <w:pPr>
        <w:pStyle w:val="ListBullet"/>
      </w:pPr>
      <w:r>
        <w:t>Cada feature incluirá feature_id estable, tipo, parámetros, sistema de coordenadas, dependencias, regla de supresión, fuente normativa o industrial y hash.</w:t>
      </w:r>
    </w:p>
    <w:p>
      <w:pPr>
        <w:pStyle w:val="ListBullet"/>
      </w:pPr>
      <w:r>
        <w:t>La regeneración deberá ser estable ante cambios pequeños de parámetros y evitar referencias topológicas frágiles. Se utilizarán referencias semánticas —estación, cara funcional, eje, interfaz— en lugar de índices de cara del kernel.</w:t>
      </w:r>
    </w:p>
    <w:p>
      <w:pPr>
        <w:pStyle w:val="ListBullet"/>
      </w:pPr>
      <w:r>
        <w:t>Cuando falle una operación, el sistema conservará el último estado válido, marcará el feature fallido y bloqueará la liberación. Nunca reparará silenciosamente la geometría.</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814"/>
            <w:vAlign w:val="center"/>
            <w:shd w:fill="D9E1F2"/>
          </w:tcPr>
          <w:p>
            <w:pPr>
              <w:spacing w:after="0"/>
            </w:pPr>
            <w:r/>
            <w:r>
              <w:rPr>
                <w:b/>
              </w:rPr>
              <w:t>Objeto</w:t>
            </w:r>
          </w:p>
        </w:tc>
        <w:tc>
          <w:tcPr>
            <w:tcW w:type="dxa" w:w="1928"/>
            <w:vAlign w:val="center"/>
            <w:shd w:fill="D9E1F2"/>
          </w:tcPr>
          <w:p>
            <w:pPr>
              <w:spacing w:after="0"/>
            </w:pPr>
            <w:r/>
            <w:r>
              <w:rPr>
                <w:b/>
              </w:rPr>
              <w:t>Identificador estable</w:t>
            </w:r>
          </w:p>
        </w:tc>
        <w:tc>
          <w:tcPr>
            <w:tcW w:type="dxa" w:w="3685"/>
            <w:vAlign w:val="center"/>
            <w:shd w:fill="D9E1F2"/>
          </w:tcPr>
          <w:p>
            <w:pPr>
              <w:spacing w:after="0"/>
            </w:pPr>
            <w:r/>
            <w:r>
              <w:rPr>
                <w:b/>
              </w:rPr>
              <w:t>Parámetros mínimos</w:t>
            </w:r>
          </w:p>
        </w:tc>
        <w:tc>
          <w:tcPr>
            <w:tcW w:type="dxa" w:w="2835"/>
            <w:vAlign w:val="center"/>
            <w:shd w:fill="D9E1F2"/>
          </w:tcPr>
          <w:p>
            <w:pPr>
              <w:spacing w:after="0"/>
            </w:pPr>
            <w:r/>
            <w:r>
              <w:rPr>
                <w:b/>
              </w:rPr>
              <w:t>Validación</w:t>
            </w:r>
          </w:p>
        </w:tc>
      </w:tr>
      <w:tr>
        <w:tc>
          <w:tcPr>
            <w:tcW w:type="dxa" w:w="1814"/>
            <w:vAlign w:val="center"/>
          </w:tcPr>
          <w:p>
            <w:pPr>
              <w:spacing w:after="0"/>
            </w:pPr>
            <w:r/>
            <w:r>
              <w:rPr>
                <w:b w:val="0"/>
              </w:rPr>
              <w:t>Estación</w:t>
            </w:r>
          </w:p>
        </w:tc>
        <w:tc>
          <w:tcPr>
            <w:tcW w:type="dxa" w:w="1928"/>
            <w:vAlign w:val="center"/>
          </w:tcPr>
          <w:p>
            <w:pPr>
              <w:spacing w:after="0"/>
            </w:pPr>
            <w:r/>
            <w:r>
              <w:rPr>
                <w:b w:val="0"/>
              </w:rPr>
              <w:t>station_id</w:t>
            </w:r>
          </w:p>
        </w:tc>
        <w:tc>
          <w:tcPr>
            <w:tcW w:type="dxa" w:w="3685"/>
            <w:vAlign w:val="center"/>
          </w:tcPr>
          <w:p>
            <w:pPr>
              <w:spacing w:after="0"/>
            </w:pPr>
            <w:r/>
            <w:r>
              <w:rPr>
                <w:b w:val="0"/>
              </w:rPr>
              <w:t>z, sección, orientación</w:t>
            </w:r>
          </w:p>
        </w:tc>
        <w:tc>
          <w:tcPr>
            <w:tcW w:type="dxa" w:w="2835"/>
            <w:vAlign w:val="center"/>
          </w:tcPr>
          <w:p>
            <w:pPr>
              <w:spacing w:after="0"/>
            </w:pPr>
            <w:r/>
            <w:r>
              <w:rPr>
                <w:b w:val="0"/>
              </w:rPr>
              <w:t>Orden, continuidad y rango</w:t>
            </w:r>
          </w:p>
        </w:tc>
      </w:tr>
      <w:tr>
        <w:tc>
          <w:tcPr>
            <w:tcW w:type="dxa" w:w="1814"/>
            <w:vAlign w:val="center"/>
          </w:tcPr>
          <w:p>
            <w:pPr>
              <w:spacing w:after="0"/>
            </w:pPr>
            <w:r/>
            <w:r>
              <w:rPr>
                <w:b w:val="0"/>
              </w:rPr>
              <w:t>Cara funcional</w:t>
            </w:r>
          </w:p>
        </w:tc>
        <w:tc>
          <w:tcPr>
            <w:tcW w:type="dxa" w:w="1928"/>
            <w:vAlign w:val="center"/>
          </w:tcPr>
          <w:p>
            <w:pPr>
              <w:spacing w:after="0"/>
            </w:pPr>
            <w:r/>
            <w:r>
              <w:rPr>
                <w:b w:val="0"/>
              </w:rPr>
              <w:t>face_role</w:t>
            </w:r>
          </w:p>
        </w:tc>
        <w:tc>
          <w:tcPr>
            <w:tcW w:type="dxa" w:w="3685"/>
            <w:vAlign w:val="center"/>
          </w:tcPr>
          <w:p>
            <w:pPr>
              <w:spacing w:after="0"/>
            </w:pPr>
            <w:r/>
            <w:r>
              <w:rPr>
                <w:b w:val="0"/>
              </w:rPr>
              <w:t>BASE, TOP, DOOR, SEAM, INTERFACE</w:t>
            </w:r>
          </w:p>
        </w:tc>
        <w:tc>
          <w:tcPr>
            <w:tcW w:type="dxa" w:w="2835"/>
            <w:vAlign w:val="center"/>
          </w:tcPr>
          <w:p>
            <w:pPr>
              <w:spacing w:after="0"/>
            </w:pPr>
            <w:r/>
            <w:r>
              <w:rPr>
                <w:b w:val="0"/>
              </w:rPr>
              <w:t>Existencia y normal coherente</w:t>
            </w:r>
          </w:p>
        </w:tc>
      </w:tr>
      <w:tr>
        <w:tc>
          <w:tcPr>
            <w:tcW w:type="dxa" w:w="1814"/>
            <w:vAlign w:val="center"/>
          </w:tcPr>
          <w:p>
            <w:pPr>
              <w:spacing w:after="0"/>
            </w:pPr>
            <w:r/>
            <w:r>
              <w:rPr>
                <w:b w:val="0"/>
              </w:rPr>
              <w:t>Hueco</w:t>
            </w:r>
          </w:p>
        </w:tc>
        <w:tc>
          <w:tcPr>
            <w:tcW w:type="dxa" w:w="1928"/>
            <w:vAlign w:val="center"/>
          </w:tcPr>
          <w:p>
            <w:pPr>
              <w:spacing w:after="0"/>
            </w:pPr>
            <w:r/>
            <w:r>
              <w:rPr>
                <w:b w:val="0"/>
              </w:rPr>
              <w:t>opening_id</w:t>
            </w:r>
          </w:p>
        </w:tc>
        <w:tc>
          <w:tcPr>
            <w:tcW w:type="dxa" w:w="3685"/>
            <w:vAlign w:val="center"/>
          </w:tcPr>
          <w:p>
            <w:pPr>
              <w:spacing w:after="0"/>
            </w:pPr>
            <w:r/>
            <w:r>
              <w:rPr>
                <w:b w:val="0"/>
              </w:rPr>
              <w:t>contorno, profundidad, radios</w:t>
            </w:r>
          </w:p>
        </w:tc>
        <w:tc>
          <w:tcPr>
            <w:tcW w:type="dxa" w:w="2835"/>
            <w:vAlign w:val="center"/>
          </w:tcPr>
          <w:p>
            <w:pPr>
              <w:spacing w:after="0"/>
            </w:pPr>
            <w:r/>
            <w:r>
              <w:rPr>
                <w:b w:val="0"/>
              </w:rPr>
              <w:t>No intersección, ligamentos mínimos</w:t>
            </w:r>
          </w:p>
        </w:tc>
      </w:tr>
      <w:tr>
        <w:tc>
          <w:tcPr>
            <w:tcW w:type="dxa" w:w="1814"/>
            <w:vAlign w:val="center"/>
          </w:tcPr>
          <w:p>
            <w:pPr>
              <w:spacing w:after="0"/>
            </w:pPr>
            <w:r/>
            <w:r>
              <w:rPr>
                <w:b w:val="0"/>
              </w:rPr>
              <w:t>Taladro</w:t>
            </w:r>
          </w:p>
        </w:tc>
        <w:tc>
          <w:tcPr>
            <w:tcW w:type="dxa" w:w="1928"/>
            <w:vAlign w:val="center"/>
          </w:tcPr>
          <w:p>
            <w:pPr>
              <w:spacing w:after="0"/>
            </w:pPr>
            <w:r/>
            <w:r>
              <w:rPr>
                <w:b w:val="0"/>
              </w:rPr>
              <w:t>hole_id</w:t>
            </w:r>
          </w:p>
        </w:tc>
        <w:tc>
          <w:tcPr>
            <w:tcW w:type="dxa" w:w="3685"/>
            <w:vAlign w:val="center"/>
          </w:tcPr>
          <w:p>
            <w:pPr>
              <w:spacing w:after="0"/>
            </w:pPr>
            <w:r/>
            <w:r>
              <w:rPr>
                <w:b w:val="0"/>
              </w:rPr>
              <w:t>diámetro, eje, tolerancia, rosca</w:t>
            </w:r>
          </w:p>
        </w:tc>
        <w:tc>
          <w:tcPr>
            <w:tcW w:type="dxa" w:w="2835"/>
            <w:vAlign w:val="center"/>
          </w:tcPr>
          <w:p>
            <w:pPr>
              <w:spacing w:after="0"/>
            </w:pPr>
            <w:r/>
            <w:r>
              <w:rPr>
                <w:b w:val="0"/>
              </w:rPr>
              <w:t>Patrón, borde, herramienta</w:t>
            </w:r>
          </w:p>
        </w:tc>
      </w:tr>
      <w:tr>
        <w:tc>
          <w:tcPr>
            <w:tcW w:type="dxa" w:w="1814"/>
            <w:vAlign w:val="center"/>
          </w:tcPr>
          <w:p>
            <w:pPr>
              <w:spacing w:after="0"/>
            </w:pPr>
            <w:r/>
            <w:r>
              <w:rPr>
                <w:b w:val="0"/>
              </w:rPr>
              <w:t>Pliegue</w:t>
            </w:r>
          </w:p>
        </w:tc>
        <w:tc>
          <w:tcPr>
            <w:tcW w:type="dxa" w:w="1928"/>
            <w:vAlign w:val="center"/>
          </w:tcPr>
          <w:p>
            <w:pPr>
              <w:spacing w:after="0"/>
            </w:pPr>
            <w:r/>
            <w:r>
              <w:rPr>
                <w:b w:val="0"/>
              </w:rPr>
              <w:t>bend_id</w:t>
            </w:r>
          </w:p>
        </w:tc>
        <w:tc>
          <w:tcPr>
            <w:tcW w:type="dxa" w:w="3685"/>
            <w:vAlign w:val="center"/>
          </w:tcPr>
          <w:p>
            <w:pPr>
              <w:spacing w:after="0"/>
            </w:pPr>
            <w:r/>
            <w:r>
              <w:rPr>
                <w:b w:val="0"/>
              </w:rPr>
              <w:t>línea, radio, ángulo, sentido</w:t>
            </w:r>
          </w:p>
        </w:tc>
        <w:tc>
          <w:tcPr>
            <w:tcW w:type="dxa" w:w="2835"/>
            <w:vAlign w:val="center"/>
          </w:tcPr>
          <w:p>
            <w:pPr>
              <w:spacing w:after="0"/>
            </w:pPr>
            <w:r/>
            <w:r>
              <w:rPr>
                <w:b w:val="0"/>
              </w:rPr>
              <w:t>Tabla de plegado y colisión</w:t>
            </w:r>
          </w:p>
        </w:tc>
      </w:tr>
      <w:tr>
        <w:tc>
          <w:tcPr>
            <w:tcW w:type="dxa" w:w="1814"/>
            <w:vAlign w:val="center"/>
          </w:tcPr>
          <w:p>
            <w:pPr>
              <w:spacing w:after="0"/>
            </w:pPr>
            <w:r/>
            <w:r>
              <w:rPr>
                <w:b w:val="0"/>
              </w:rPr>
              <w:t>Interfaz</w:t>
            </w:r>
          </w:p>
        </w:tc>
        <w:tc>
          <w:tcPr>
            <w:tcW w:type="dxa" w:w="1928"/>
            <w:vAlign w:val="center"/>
          </w:tcPr>
          <w:p>
            <w:pPr>
              <w:spacing w:after="0"/>
            </w:pPr>
            <w:r/>
            <w:r>
              <w:rPr>
                <w:b w:val="0"/>
              </w:rPr>
              <w:t>interface_id</w:t>
            </w:r>
          </w:p>
        </w:tc>
        <w:tc>
          <w:tcPr>
            <w:tcW w:type="dxa" w:w="3685"/>
            <w:vAlign w:val="center"/>
          </w:tcPr>
          <w:p>
            <w:pPr>
              <w:spacing w:after="0"/>
            </w:pPr>
            <w:r/>
            <w:r>
              <w:rPr>
                <w:b w:val="0"/>
              </w:rPr>
              <w:t>datums, envolvente, fijación</w:t>
            </w:r>
          </w:p>
        </w:tc>
        <w:tc>
          <w:tcPr>
            <w:tcW w:type="dxa" w:w="2835"/>
            <w:vAlign w:val="center"/>
          </w:tcPr>
          <w:p>
            <w:pPr>
              <w:spacing w:after="0"/>
            </w:pPr>
            <w:r/>
            <w:r>
              <w:rPr>
                <w:b w:val="0"/>
              </w:rPr>
              <w:t>Compatibilidad y tolerancias</w:t>
            </w:r>
          </w:p>
        </w:tc>
      </w:tr>
    </w:tbl>
    <w:p>
      <w:pPr>
        <w:pStyle w:val="Heading2"/>
      </w:pPr>
      <w:r>
        <w:t>30.2 Convenciones geométricas y unidades</w:t>
      </w:r>
    </w:p>
    <w:p>
      <w:r>
        <w:t>El modelo canónico utilizará milímetros, radianes y kilogramos en almacenamiento interno, aunque la interfaz pueda mostrar otras unidades. Las conversiones se realizarán en los límites de API y deberán conservar precisión suficiente. Los ángulos de orientación se medirán en sentido antihorario vistos desde +Z, con 0° definido por el eje X del producto.</w:t>
      </w:r>
    </w:p>
    <w:p>
      <w:pPr>
        <w:pStyle w:val="ListBullet"/>
      </w:pPr>
      <w:r>
        <w:t>El origen del producto estará en el centro geométrico de la base nominal, salvo familias con regla específica.</w:t>
      </w:r>
    </w:p>
    <w:p>
      <w:pPr>
        <w:pStyle w:val="ListBullet"/>
      </w:pPr>
      <w:r>
        <w:t>Las estaciones longitudinales se expresarán desde la base hacia la coronación.</w:t>
      </w:r>
    </w:p>
    <w:p>
      <w:pPr>
        <w:pStyle w:val="ListBullet"/>
      </w:pPr>
      <w:r>
        <w:t>Las cotas de fabricación se derivarán del modelo nominal; las tolerancias no modificarán el sólido nominal salvo en estudios de extremos de tolerancia.</w:t>
      </w:r>
    </w:p>
    <w:p>
      <w:pPr>
        <w:pStyle w:val="ListBullet"/>
      </w:pPr>
      <w:r>
        <w:t>Cada exportación indicará unidad, sistema de coordenadas, orientación, revisión y checksum.</w:t>
      </w:r>
    </w:p>
    <w:p>
      <w:pPr>
        <w:pStyle w:val="Heading1"/>
      </w:pPr>
      <w:r>
        <w:t>31. Model Based Definition, PMI y GD&amp;T</w:t>
      </w:r>
    </w:p>
    <w:p>
      <w:r>
        <w:t>La aplicación adoptará una estrategia MBD progresiva. El modelo 3D será portador de información de producto y fabricación, pero los planos 2D seguirán siendo obligatorios mientras los proveedores o procesos no estén homologados para trabajar exclusivamente con PMI 3D.</w:t>
      </w:r>
    </w:p>
    <w:p>
      <w:pPr>
        <w:pStyle w:val="Heading2"/>
      </w:pPr>
      <w:r>
        <w:t>31.1 Datums funcionales</w:t>
      </w:r>
    </w:p>
    <w:tbl>
      <w:tblPr>
        <w:tblStyle w:val="TableGrid"/>
        <w:tblW w:type="auto" w:w="0"/>
        <w:jc w:val="center"/>
        <w:tblLook w:firstColumn="1" w:firstRow="1" w:lastColumn="0" w:lastRow="0" w:noHBand="0" w:noVBand="1" w:val="04A0"/>
      </w:tblPr>
      <w:tblGrid>
        <w:gridCol w:w="3389"/>
        <w:gridCol w:w="3389"/>
        <w:gridCol w:w="3389"/>
      </w:tblGrid>
      <w:tr>
        <w:tc>
          <w:tcPr>
            <w:tcW w:type="dxa" w:w="1247"/>
            <w:vAlign w:val="center"/>
            <w:shd w:fill="D9E1F2"/>
          </w:tcPr>
          <w:p>
            <w:pPr>
              <w:spacing w:after="0"/>
            </w:pPr>
            <w:r/>
            <w:r>
              <w:rPr>
                <w:b/>
              </w:rPr>
              <w:t>Datum</w:t>
            </w:r>
          </w:p>
        </w:tc>
        <w:tc>
          <w:tcPr>
            <w:tcW w:type="dxa" w:w="4195"/>
            <w:vAlign w:val="center"/>
            <w:shd w:fill="D9E1F2"/>
          </w:tcPr>
          <w:p>
            <w:pPr>
              <w:spacing w:after="0"/>
            </w:pPr>
            <w:r/>
            <w:r>
              <w:rPr>
                <w:b/>
              </w:rPr>
              <w:t>Definición típica</w:t>
            </w:r>
          </w:p>
        </w:tc>
        <w:tc>
          <w:tcPr>
            <w:tcW w:type="dxa" w:w="4422"/>
            <w:vAlign w:val="center"/>
            <w:shd w:fill="D9E1F2"/>
          </w:tcPr>
          <w:p>
            <w:pPr>
              <w:spacing w:after="0"/>
            </w:pPr>
            <w:r/>
            <w:r>
              <w:rPr>
                <w:b/>
              </w:rPr>
              <w:t>Uso</w:t>
            </w:r>
          </w:p>
        </w:tc>
      </w:tr>
      <w:tr>
        <w:tc>
          <w:tcPr>
            <w:tcW w:type="dxa" w:w="1247"/>
            <w:vAlign w:val="center"/>
          </w:tcPr>
          <w:p>
            <w:pPr>
              <w:spacing w:after="0"/>
            </w:pPr>
            <w:r/>
            <w:r>
              <w:rPr>
                <w:b w:val="0"/>
              </w:rPr>
              <w:t>A</w:t>
            </w:r>
          </w:p>
        </w:tc>
        <w:tc>
          <w:tcPr>
            <w:tcW w:type="dxa" w:w="4195"/>
            <w:vAlign w:val="center"/>
          </w:tcPr>
          <w:p>
            <w:pPr>
              <w:spacing w:after="0"/>
            </w:pPr>
            <w:r/>
            <w:r>
              <w:rPr>
                <w:b w:val="0"/>
              </w:rPr>
              <w:t>Plano inferior de placa o sección de empotramiento</w:t>
            </w:r>
          </w:p>
        </w:tc>
        <w:tc>
          <w:tcPr>
            <w:tcW w:type="dxa" w:w="4422"/>
            <w:vAlign w:val="center"/>
          </w:tcPr>
          <w:p>
            <w:pPr>
              <w:spacing w:after="0"/>
            </w:pPr>
            <w:r/>
            <w:r>
              <w:rPr>
                <w:b w:val="0"/>
              </w:rPr>
              <w:t>Referencia axial y montaje</w:t>
            </w:r>
          </w:p>
        </w:tc>
      </w:tr>
      <w:tr>
        <w:tc>
          <w:tcPr>
            <w:tcW w:type="dxa" w:w="1247"/>
            <w:vAlign w:val="center"/>
          </w:tcPr>
          <w:p>
            <w:pPr>
              <w:spacing w:after="0"/>
            </w:pPr>
            <w:r/>
            <w:r>
              <w:rPr>
                <w:b w:val="0"/>
              </w:rPr>
              <w:t>B</w:t>
            </w:r>
          </w:p>
        </w:tc>
        <w:tc>
          <w:tcPr>
            <w:tcW w:type="dxa" w:w="4195"/>
            <w:vAlign w:val="center"/>
          </w:tcPr>
          <w:p>
            <w:pPr>
              <w:spacing w:after="0"/>
            </w:pPr>
            <w:r/>
            <w:r>
              <w:rPr>
                <w:b w:val="0"/>
              </w:rPr>
              <w:t>Eje nominal del fuste</w:t>
            </w:r>
          </w:p>
        </w:tc>
        <w:tc>
          <w:tcPr>
            <w:tcW w:type="dxa" w:w="4422"/>
            <w:vAlign w:val="center"/>
          </w:tcPr>
          <w:p>
            <w:pPr>
              <w:spacing w:after="0"/>
            </w:pPr>
            <w:r/>
            <w:r>
              <w:rPr>
                <w:b w:val="0"/>
              </w:rPr>
              <w:t>Coaxialidad, rectitud y concentricidad</w:t>
            </w:r>
          </w:p>
        </w:tc>
      </w:tr>
      <w:tr>
        <w:tc>
          <w:tcPr>
            <w:tcW w:type="dxa" w:w="1247"/>
            <w:vAlign w:val="center"/>
          </w:tcPr>
          <w:p>
            <w:pPr>
              <w:spacing w:after="0"/>
            </w:pPr>
            <w:r/>
            <w:r>
              <w:rPr>
                <w:b w:val="0"/>
              </w:rPr>
              <w:t>C</w:t>
            </w:r>
          </w:p>
        </w:tc>
        <w:tc>
          <w:tcPr>
            <w:tcW w:type="dxa" w:w="4195"/>
            <w:vAlign w:val="center"/>
          </w:tcPr>
          <w:p>
            <w:pPr>
              <w:spacing w:after="0"/>
            </w:pPr>
            <w:r/>
            <w:r>
              <w:rPr>
                <w:b w:val="0"/>
              </w:rPr>
              <w:t>Dirección angular de puerta o costura</w:t>
            </w:r>
          </w:p>
        </w:tc>
        <w:tc>
          <w:tcPr>
            <w:tcW w:type="dxa" w:w="4422"/>
            <w:vAlign w:val="center"/>
          </w:tcPr>
          <w:p>
            <w:pPr>
              <w:spacing w:after="0"/>
            </w:pPr>
            <w:r/>
            <w:r>
              <w:rPr>
                <w:b w:val="0"/>
              </w:rPr>
              <w:t>Orientación de brazos, huecos y pernos</w:t>
            </w:r>
          </w:p>
        </w:tc>
      </w:tr>
      <w:tr>
        <w:tc>
          <w:tcPr>
            <w:tcW w:type="dxa" w:w="1247"/>
            <w:vAlign w:val="center"/>
          </w:tcPr>
          <w:p>
            <w:pPr>
              <w:spacing w:after="0"/>
            </w:pPr>
            <w:r/>
            <w:r>
              <w:rPr>
                <w:b w:val="0"/>
              </w:rPr>
              <w:t>D</w:t>
            </w:r>
          </w:p>
        </w:tc>
        <w:tc>
          <w:tcPr>
            <w:tcW w:type="dxa" w:w="4195"/>
            <w:vAlign w:val="center"/>
          </w:tcPr>
          <w:p>
            <w:pPr>
              <w:spacing w:after="0"/>
            </w:pPr>
            <w:r/>
            <w:r>
              <w:rPr>
                <w:b w:val="0"/>
              </w:rPr>
              <w:t>Plano superior/interfaz de luminaria</w:t>
            </w:r>
          </w:p>
        </w:tc>
        <w:tc>
          <w:tcPr>
            <w:tcW w:type="dxa" w:w="4422"/>
            <w:vAlign w:val="center"/>
          </w:tcPr>
          <w:p>
            <w:pPr>
              <w:spacing w:after="0"/>
            </w:pPr>
            <w:r/>
            <w:r>
              <w:rPr>
                <w:b w:val="0"/>
              </w:rPr>
              <w:t>Altura y perpendicularidad</w:t>
            </w:r>
          </w:p>
        </w:tc>
      </w:tr>
      <w:tr>
        <w:tc>
          <w:tcPr>
            <w:tcW w:type="dxa" w:w="1247"/>
            <w:vAlign w:val="center"/>
          </w:tcPr>
          <w:p>
            <w:pPr>
              <w:spacing w:after="0"/>
            </w:pPr>
            <w:r/>
            <w:r>
              <w:rPr>
                <w:b w:val="0"/>
              </w:rPr>
              <w:t>E</w:t>
            </w:r>
          </w:p>
        </w:tc>
        <w:tc>
          <w:tcPr>
            <w:tcW w:type="dxa" w:w="4195"/>
            <w:vAlign w:val="center"/>
          </w:tcPr>
          <w:p>
            <w:pPr>
              <w:spacing w:after="0"/>
            </w:pPr>
            <w:r/>
            <w:r>
              <w:rPr>
                <w:b w:val="0"/>
              </w:rPr>
              <w:t>Patrón de pernos</w:t>
            </w:r>
          </w:p>
        </w:tc>
        <w:tc>
          <w:tcPr>
            <w:tcW w:type="dxa" w:w="4422"/>
            <w:vAlign w:val="center"/>
          </w:tcPr>
          <w:p>
            <w:pPr>
              <w:spacing w:after="0"/>
            </w:pPr>
            <w:r/>
            <w:r>
              <w:rPr>
                <w:b w:val="0"/>
              </w:rPr>
              <w:t>Posicionamiento respecto a base</w:t>
            </w:r>
          </w:p>
        </w:tc>
      </w:tr>
    </w:tbl>
    <w:p>
      <w:r>
        <w:t>Las referencias deberán definirse por familia y no podrán cambiar entre revisiones sin un cambio mayor. Cada tolerancia geométrica deberá indicar datum reference frame, zona de tolerancia, condición de material cuando proceda, alcance y característica inspeccionable.</w:t>
      </w:r>
    </w:p>
    <w:p>
      <w:pPr>
        <w:pStyle w:val="Heading2"/>
      </w:pPr>
      <w:r>
        <w:t>31.2 Reglas de acotación</w:t>
      </w:r>
    </w:p>
    <w:p>
      <w:pPr>
        <w:pStyle w:val="ListBullet"/>
      </w:pPr>
      <w:r>
        <w:t>No duplicar cotas de definición entre vistas ni entre 2D y PMI. La cota maestra será única.</w:t>
      </w:r>
    </w:p>
    <w:p>
      <w:pPr>
        <w:pStyle w:val="ListBullet"/>
      </w:pPr>
      <w:r>
        <w:t>Las cotas críticas se clasificarán CTQ-1, CTQ-2 o CTQ-3 y estarán ligadas al plan de inspección.</w:t>
      </w:r>
    </w:p>
    <w:p>
      <w:pPr>
        <w:pStyle w:val="ListBullet"/>
      </w:pPr>
      <w:r>
        <w:t>Las cadenas de cotas deberán analizar acumulación; las interfaces se acotarán desde datums funcionales y no por cadenas largas.</w:t>
      </w:r>
    </w:p>
    <w:p>
      <w:pPr>
        <w:pStyle w:val="ListBullet"/>
      </w:pPr>
      <w:r>
        <w:t>Las dimensiones de referencia se identificarán como REF y no gobernarán fabricación.</w:t>
      </w:r>
    </w:p>
    <w:p>
      <w:pPr>
        <w:pStyle w:val="ListBullet"/>
      </w:pPr>
      <w:r>
        <w:t>Los desarrollos de chapa se acotarán con dimensiones de corte y plegado diferenciadas de las dimensiones finales.</w:t>
      </w:r>
    </w:p>
    <w:p>
      <w:pPr>
        <w:pStyle w:val="Heading1"/>
      </w:pPr>
      <w:r>
        <w:t>32. Motor de planos 2D: especificación de generación</w:t>
      </w:r>
    </w:p>
    <w:p>
      <w:r>
        <w:t>El motor de planos no será un simple generador de vistas. Aplicará perfiles documentales por familia y detectará automáticamente las vistas, secciones, detalles y tablas necesarias para describir el producto sin ambigüedad.</w:t>
      </w:r>
    </w:p>
    <w:p>
      <w:pPr>
        <w:pStyle w:val="Heading2"/>
      </w:pPr>
      <w:r>
        <w:t>32.1 Algoritmo de selección de vistas</w:t>
      </w:r>
    </w:p>
    <w:tbl>
      <w:tblPr>
        <w:tblStyle w:val="TableGrid"/>
        <w:tblW w:type="auto" w:w="0"/>
        <w:jc w:val="center"/>
        <w:tblLook w:firstColumn="1" w:firstRow="1" w:lastColumn="0" w:lastRow="0" w:noHBand="0" w:noVBand="1" w:val="04A0"/>
      </w:tblPr>
      <w:tblGrid>
        <w:gridCol w:w="5083"/>
        <w:gridCol w:w="5083"/>
      </w:tblGrid>
      <w:tr>
        <w:tc>
          <w:tcPr>
            <w:tcW w:type="dxa" w:w="2835"/>
            <w:vAlign w:val="center"/>
            <w:shd w:fill="D9E1F2"/>
          </w:tcPr>
          <w:p>
            <w:pPr>
              <w:spacing w:after="0"/>
            </w:pPr>
            <w:r/>
            <w:r>
              <w:rPr>
                <w:b/>
              </w:rPr>
              <w:t>Condición detectada</w:t>
            </w:r>
          </w:p>
        </w:tc>
        <w:tc>
          <w:tcPr>
            <w:tcW w:type="dxa" w:w="6520"/>
            <w:vAlign w:val="center"/>
            <w:shd w:fill="D9E1F2"/>
          </w:tcPr>
          <w:p>
            <w:pPr>
              <w:spacing w:after="0"/>
            </w:pPr>
            <w:r/>
            <w:r>
              <w:rPr>
                <w:b/>
              </w:rPr>
              <w:t>Vista o detalle obligatorio</w:t>
            </w:r>
          </w:p>
        </w:tc>
      </w:tr>
      <w:tr>
        <w:tc>
          <w:tcPr>
            <w:tcW w:type="dxa" w:w="2835"/>
            <w:vAlign w:val="center"/>
          </w:tcPr>
          <w:p>
            <w:pPr>
              <w:spacing w:after="0"/>
            </w:pPr>
            <w:r/>
            <w:r>
              <w:rPr>
                <w:b w:val="0"/>
              </w:rPr>
              <w:t>Puerta o hueco estructural</w:t>
            </w:r>
          </w:p>
        </w:tc>
        <w:tc>
          <w:tcPr>
            <w:tcW w:type="dxa" w:w="6520"/>
            <w:vAlign w:val="center"/>
          </w:tcPr>
          <w:p>
            <w:pPr>
              <w:spacing w:after="0"/>
            </w:pPr>
            <w:r/>
            <w:r>
              <w:rPr>
                <w:b w:val="0"/>
              </w:rPr>
              <w:t>Alzado orientado, sección transversal y detalle de refuerzo</w:t>
            </w:r>
          </w:p>
        </w:tc>
      </w:tr>
      <w:tr>
        <w:tc>
          <w:tcPr>
            <w:tcW w:type="dxa" w:w="2835"/>
            <w:vAlign w:val="center"/>
          </w:tcPr>
          <w:p>
            <w:pPr>
              <w:spacing w:after="0"/>
            </w:pPr>
            <w:r/>
            <w:r>
              <w:rPr>
                <w:b w:val="0"/>
              </w:rPr>
              <w:t>Placa base</w:t>
            </w:r>
          </w:p>
        </w:tc>
        <w:tc>
          <w:tcPr>
            <w:tcW w:type="dxa" w:w="6520"/>
            <w:vAlign w:val="center"/>
          </w:tcPr>
          <w:p>
            <w:pPr>
              <w:spacing w:after="0"/>
            </w:pPr>
            <w:r/>
            <w:r>
              <w:rPr>
                <w:b w:val="0"/>
              </w:rPr>
              <w:t>Planta, sección por pernos, detalle de soldadura y tabla de anclajes</w:t>
            </w:r>
          </w:p>
        </w:tc>
      </w:tr>
      <w:tr>
        <w:tc>
          <w:tcPr>
            <w:tcW w:type="dxa" w:w="2835"/>
            <w:vAlign w:val="center"/>
          </w:tcPr>
          <w:p>
            <w:pPr>
              <w:spacing w:after="0"/>
            </w:pPr>
            <w:r/>
            <w:r>
              <w:rPr>
                <w:b w:val="0"/>
              </w:rPr>
              <w:t>Unión segmentada</w:t>
            </w:r>
          </w:p>
        </w:tc>
        <w:tc>
          <w:tcPr>
            <w:tcW w:type="dxa" w:w="6520"/>
            <w:vAlign w:val="center"/>
          </w:tcPr>
          <w:p>
            <w:pPr>
              <w:spacing w:after="0"/>
            </w:pPr>
            <w:r/>
            <w:r>
              <w:rPr>
                <w:b w:val="0"/>
              </w:rPr>
              <w:t>Sección longitudinal, detalle de montaje y tabla de pares/solapes</w:t>
            </w:r>
          </w:p>
        </w:tc>
      </w:tr>
      <w:tr>
        <w:tc>
          <w:tcPr>
            <w:tcW w:type="dxa" w:w="2835"/>
            <w:vAlign w:val="center"/>
          </w:tcPr>
          <w:p>
            <w:pPr>
              <w:spacing w:after="0"/>
            </w:pPr>
            <w:r/>
            <w:r>
              <w:rPr>
                <w:b w:val="0"/>
              </w:rPr>
              <w:t>Báculo o brazo curvo</w:t>
            </w:r>
          </w:p>
        </w:tc>
        <w:tc>
          <w:tcPr>
            <w:tcW w:type="dxa" w:w="6520"/>
            <w:vAlign w:val="center"/>
          </w:tcPr>
          <w:p>
            <w:pPr>
              <w:spacing w:after="0"/>
            </w:pPr>
            <w:r/>
            <w:r>
              <w:rPr>
                <w:b w:val="0"/>
              </w:rPr>
              <w:t>Alzado en plano de curvatura y sección de interfaz</w:t>
            </w:r>
          </w:p>
        </w:tc>
      </w:tr>
      <w:tr>
        <w:tc>
          <w:tcPr>
            <w:tcW w:type="dxa" w:w="2835"/>
            <w:vAlign w:val="center"/>
          </w:tcPr>
          <w:p>
            <w:pPr>
              <w:spacing w:after="0"/>
            </w:pPr>
            <w:r/>
            <w:r>
              <w:rPr>
                <w:b w:val="0"/>
              </w:rPr>
              <w:t>Fuste poligonal</w:t>
            </w:r>
          </w:p>
        </w:tc>
        <w:tc>
          <w:tcPr>
            <w:tcW w:type="dxa" w:w="6520"/>
            <w:vAlign w:val="center"/>
          </w:tcPr>
          <w:p>
            <w:pPr>
              <w:spacing w:after="0"/>
            </w:pPr>
            <w:r/>
            <w:r>
              <w:rPr>
                <w:b w:val="0"/>
              </w:rPr>
              <w:t>Sección con número de caras, orientación de costura y puerta</w:t>
            </w:r>
          </w:p>
        </w:tc>
      </w:tr>
      <w:tr>
        <w:tc>
          <w:tcPr>
            <w:tcW w:type="dxa" w:w="2835"/>
            <w:vAlign w:val="center"/>
          </w:tcPr>
          <w:p>
            <w:pPr>
              <w:spacing w:after="0"/>
            </w:pPr>
            <w:r/>
            <w:r>
              <w:rPr>
                <w:b w:val="0"/>
              </w:rPr>
              <w:t>Pieza plegada</w:t>
            </w:r>
          </w:p>
        </w:tc>
        <w:tc>
          <w:tcPr>
            <w:tcW w:type="dxa" w:w="6520"/>
            <w:vAlign w:val="center"/>
          </w:tcPr>
          <w:p>
            <w:pPr>
              <w:spacing w:after="0"/>
            </w:pPr>
            <w:r/>
            <w:r>
              <w:rPr>
                <w:b w:val="0"/>
              </w:rPr>
              <w:t>Desarrollo, secuencia de plegado y tabla de radios</w:t>
            </w:r>
          </w:p>
        </w:tc>
      </w:tr>
      <w:tr>
        <w:tc>
          <w:tcPr>
            <w:tcW w:type="dxa" w:w="2835"/>
            <w:vAlign w:val="center"/>
          </w:tcPr>
          <w:p>
            <w:pPr>
              <w:spacing w:after="0"/>
            </w:pPr>
            <w:r/>
            <w:r>
              <w:rPr>
                <w:b w:val="0"/>
              </w:rPr>
              <w:t>Pretensado</w:t>
            </w:r>
          </w:p>
        </w:tc>
        <w:tc>
          <w:tcPr>
            <w:tcW w:type="dxa" w:w="6520"/>
            <w:vAlign w:val="center"/>
          </w:tcPr>
          <w:p>
            <w:pPr>
              <w:spacing w:after="0"/>
            </w:pPr>
            <w:r/>
            <w:r>
              <w:rPr>
                <w:b w:val="0"/>
              </w:rPr>
              <w:t>Sección de distribución, tabla de elementos activos y secuencia</w:t>
            </w:r>
          </w:p>
        </w:tc>
      </w:tr>
      <w:tr>
        <w:tc>
          <w:tcPr>
            <w:tcW w:type="dxa" w:w="2835"/>
            <w:vAlign w:val="center"/>
          </w:tcPr>
          <w:p>
            <w:pPr>
              <w:spacing w:after="0"/>
            </w:pPr>
            <w:r/>
            <w:r>
              <w:rPr>
                <w:b w:val="0"/>
              </w:rPr>
              <w:t>Puntos de izado</w:t>
            </w:r>
          </w:p>
        </w:tc>
        <w:tc>
          <w:tcPr>
            <w:tcW w:type="dxa" w:w="6520"/>
            <w:vAlign w:val="center"/>
          </w:tcPr>
          <w:p>
            <w:pPr>
              <w:spacing w:after="0"/>
            </w:pPr>
            <w:r/>
            <w:r>
              <w:rPr>
                <w:b w:val="0"/>
              </w:rPr>
              <w:t>Vista con centro de gravedad y ángulos admisibles</w:t>
            </w:r>
          </w:p>
        </w:tc>
      </w:tr>
    </w:tbl>
    <w:p>
      <w:pPr>
        <w:pStyle w:val="Heading2"/>
      </w:pPr>
      <w:r>
        <w:t>32.2 Contenido mínimo de cajetín y notas</w:t>
      </w:r>
    </w:p>
    <w:p>
      <w:pPr>
        <w:pStyle w:val="ListBullet"/>
      </w:pPr>
      <w:r>
        <w:t>Código, denominación, revisión, estado de madurez, escala, unidades, masa, material, acabado, autor, revisor y fecha.</w:t>
      </w:r>
    </w:p>
    <w:p>
      <w:pPr>
        <w:pStyle w:val="ListBullet"/>
      </w:pPr>
      <w:r>
        <w:t>Hash corto del ProductSnapshot y del artefacto CAD.</w:t>
      </w:r>
    </w:p>
    <w:p>
      <w:pPr>
        <w:pStyle w:val="ListBullet"/>
      </w:pPr>
      <w:r>
        <w:t>Normas y especificaciones aplicables mediante referencias versionadas.</w:t>
      </w:r>
    </w:p>
    <w:p>
      <w:pPr>
        <w:pStyle w:val="ListBullet"/>
      </w:pPr>
      <w:r>
        <w:t>Marca visible PRELIMINAR / NO APTO PARA FABRICACIÓN cuando corresponda.</w:t>
      </w:r>
    </w:p>
    <w:p>
      <w:pPr>
        <w:pStyle w:val="ListBullet"/>
      </w:pPr>
      <w:r>
        <w:t>Prohibición de escalar el plano y regla de prevalencia entre modelo 3D, cotas y notas.</w:t>
      </w:r>
    </w:p>
    <w:p>
      <w:pPr>
        <w:pStyle w:val="ListBullet"/>
      </w:pPr>
      <w:r>
        <w:t>Idioma del plano y perfil de mercado.</w:t>
      </w:r>
    </w:p>
    <w:p>
      <w:r>
        <w:t>El motor ejecutará una revisión automática de densidad de cotas, colisiones de anotaciones, escalas ilegibles, vistas vacías, cotas fuera de hoja, símbolos no resueltos y referencias cruzadas rotas. Un plano con defectos de composición no podrá liberarse.</w:t>
      </w:r>
    </w:p>
    <w:p>
      <w:pPr>
        <w:pStyle w:val="Heading1"/>
      </w:pPr>
      <w:r>
        <w:t>33. BOM multinivel: reglas industriales completas</w:t>
      </w:r>
    </w:p>
    <w:p>
      <w:r>
        <w:t>La BOM deberá reflejar simultáneamente la definición técnica, la realidad de fabricación y la compra. No se permitirá transformar la EBOM en MBOM mediante edición manual sin regla trazable.</w:t>
      </w:r>
    </w:p>
    <w:p>
      <w:pPr>
        <w:pStyle w:val="Heading2"/>
      </w:pPr>
      <w:r>
        <w:t>33.1 Tipos de línea y cantidades</w:t>
      </w:r>
    </w:p>
    <w:tbl>
      <w:tblPr>
        <w:tblStyle w:val="TableGrid"/>
        <w:tblW w:type="auto" w:w="0"/>
        <w:jc w:val="center"/>
        <w:tblLook w:firstColumn="1" w:firstRow="1" w:lastColumn="0" w:lastRow="0" w:noHBand="0" w:noVBand="1" w:val="04A0"/>
      </w:tblPr>
      <w:tblGrid>
        <w:gridCol w:w="3389"/>
        <w:gridCol w:w="3389"/>
        <w:gridCol w:w="3389"/>
      </w:tblGrid>
      <w:tr>
        <w:tc>
          <w:tcPr>
            <w:tcW w:type="dxa" w:w="1984"/>
            <w:vAlign w:val="center"/>
            <w:shd w:fill="D9E1F2"/>
          </w:tcPr>
          <w:p>
            <w:pPr>
              <w:spacing w:after="0"/>
            </w:pPr>
            <w:r/>
            <w:r>
              <w:rPr>
                <w:b/>
              </w:rPr>
              <w:t>Tipo de línea</w:t>
            </w:r>
          </w:p>
        </w:tc>
        <w:tc>
          <w:tcPr>
            <w:tcW w:type="dxa" w:w="2835"/>
            <w:vAlign w:val="center"/>
            <w:shd w:fill="D9E1F2"/>
          </w:tcPr>
          <w:p>
            <w:pPr>
              <w:spacing w:after="0"/>
            </w:pPr>
            <w:r/>
            <w:r>
              <w:rPr>
                <w:b/>
              </w:rPr>
              <w:t>Ejemplo</w:t>
            </w:r>
          </w:p>
        </w:tc>
        <w:tc>
          <w:tcPr>
            <w:tcW w:type="dxa" w:w="4535"/>
            <w:vAlign w:val="center"/>
            <w:shd w:fill="D9E1F2"/>
          </w:tcPr>
          <w:p>
            <w:pPr>
              <w:spacing w:after="0"/>
            </w:pPr>
            <w:r/>
            <w:r>
              <w:rPr>
                <w:b/>
              </w:rPr>
              <w:t>Regla de cantidad</w:t>
            </w:r>
          </w:p>
        </w:tc>
      </w:tr>
      <w:tr>
        <w:tc>
          <w:tcPr>
            <w:tcW w:type="dxa" w:w="1984"/>
            <w:vAlign w:val="center"/>
          </w:tcPr>
          <w:p>
            <w:pPr>
              <w:spacing w:after="0"/>
            </w:pPr>
            <w:r/>
            <w:r>
              <w:rPr>
                <w:b w:val="0"/>
              </w:rPr>
              <w:t>Pieza fabricada</w:t>
            </w:r>
          </w:p>
        </w:tc>
        <w:tc>
          <w:tcPr>
            <w:tcW w:type="dxa" w:w="2835"/>
            <w:vAlign w:val="center"/>
          </w:tcPr>
          <w:p>
            <w:pPr>
              <w:spacing w:after="0"/>
            </w:pPr>
            <w:r/>
            <w:r>
              <w:rPr>
                <w:b w:val="0"/>
              </w:rPr>
              <w:t>Fuste, placa, refuerzo</w:t>
            </w:r>
          </w:p>
        </w:tc>
        <w:tc>
          <w:tcPr>
            <w:tcW w:type="dxa" w:w="4535"/>
            <w:vAlign w:val="center"/>
          </w:tcPr>
          <w:p>
            <w:pPr>
              <w:spacing w:after="0"/>
            </w:pPr>
            <w:r/>
            <w:r>
              <w:rPr>
                <w:b w:val="0"/>
              </w:rPr>
              <w:t>Unidades exactas</w:t>
            </w:r>
          </w:p>
        </w:tc>
      </w:tr>
      <w:tr>
        <w:tc>
          <w:tcPr>
            <w:tcW w:type="dxa" w:w="1984"/>
            <w:vAlign w:val="center"/>
          </w:tcPr>
          <w:p>
            <w:pPr>
              <w:spacing w:after="0"/>
            </w:pPr>
            <w:r/>
            <w:r>
              <w:rPr>
                <w:b w:val="0"/>
              </w:rPr>
              <w:t>Materia prima</w:t>
            </w:r>
          </w:p>
        </w:tc>
        <w:tc>
          <w:tcPr>
            <w:tcW w:type="dxa" w:w="2835"/>
            <w:vAlign w:val="center"/>
          </w:tcPr>
          <w:p>
            <w:pPr>
              <w:spacing w:after="0"/>
            </w:pPr>
            <w:r/>
            <w:r>
              <w:rPr>
                <w:b w:val="0"/>
              </w:rPr>
              <w:t>Chapa, tubo, perfil</w:t>
            </w:r>
          </w:p>
        </w:tc>
        <w:tc>
          <w:tcPr>
            <w:tcW w:type="dxa" w:w="4535"/>
            <w:vAlign w:val="center"/>
          </w:tcPr>
          <w:p>
            <w:pPr>
              <w:spacing w:after="0"/>
            </w:pPr>
            <w:r/>
            <w:r>
              <w:rPr>
                <w:b w:val="0"/>
              </w:rPr>
              <w:t>Cantidad de compra + merma</w:t>
            </w:r>
          </w:p>
        </w:tc>
      </w:tr>
      <w:tr>
        <w:tc>
          <w:tcPr>
            <w:tcW w:type="dxa" w:w="1984"/>
            <w:vAlign w:val="center"/>
          </w:tcPr>
          <w:p>
            <w:pPr>
              <w:spacing w:after="0"/>
            </w:pPr>
            <w:r/>
            <w:r>
              <w:rPr>
                <w:b w:val="0"/>
              </w:rPr>
              <w:t>Consumible</w:t>
            </w:r>
          </w:p>
        </w:tc>
        <w:tc>
          <w:tcPr>
            <w:tcW w:type="dxa" w:w="2835"/>
            <w:vAlign w:val="center"/>
          </w:tcPr>
          <w:p>
            <w:pPr>
              <w:spacing w:after="0"/>
            </w:pPr>
            <w:r/>
            <w:r>
              <w:rPr>
                <w:b w:val="0"/>
              </w:rPr>
              <w:t>Hilo, gas, pintura</w:t>
            </w:r>
          </w:p>
        </w:tc>
        <w:tc>
          <w:tcPr>
            <w:tcW w:type="dxa" w:w="4535"/>
            <w:vAlign w:val="center"/>
          </w:tcPr>
          <w:p>
            <w:pPr>
              <w:spacing w:after="0"/>
            </w:pPr>
            <w:r/>
            <w:r>
              <w:rPr>
                <w:b w:val="0"/>
              </w:rPr>
              <w:t>Fórmula por longitud/área/proceso</w:t>
            </w:r>
          </w:p>
        </w:tc>
      </w:tr>
      <w:tr>
        <w:tc>
          <w:tcPr>
            <w:tcW w:type="dxa" w:w="1984"/>
            <w:vAlign w:val="center"/>
          </w:tcPr>
          <w:p>
            <w:pPr>
              <w:spacing w:after="0"/>
            </w:pPr>
            <w:r/>
            <w:r>
              <w:rPr>
                <w:b w:val="0"/>
              </w:rPr>
              <w:t>Componente comprado</w:t>
            </w:r>
          </w:p>
        </w:tc>
        <w:tc>
          <w:tcPr>
            <w:tcW w:type="dxa" w:w="2835"/>
            <w:vAlign w:val="center"/>
          </w:tcPr>
          <w:p>
            <w:pPr>
              <w:spacing w:after="0"/>
            </w:pPr>
            <w:r/>
            <w:r>
              <w:rPr>
                <w:b w:val="0"/>
              </w:rPr>
              <w:t>Perno, puerta, luminaria</w:t>
            </w:r>
          </w:p>
        </w:tc>
        <w:tc>
          <w:tcPr>
            <w:tcW w:type="dxa" w:w="4535"/>
            <w:vAlign w:val="center"/>
          </w:tcPr>
          <w:p>
            <w:pPr>
              <w:spacing w:after="0"/>
            </w:pPr>
            <w:r/>
            <w:r>
              <w:rPr>
                <w:b w:val="0"/>
              </w:rPr>
              <w:t>Cantidad exacta y sustitución aprobada</w:t>
            </w:r>
          </w:p>
        </w:tc>
      </w:tr>
      <w:tr>
        <w:tc>
          <w:tcPr>
            <w:tcW w:type="dxa" w:w="1984"/>
            <w:vAlign w:val="center"/>
          </w:tcPr>
          <w:p>
            <w:pPr>
              <w:spacing w:after="0"/>
            </w:pPr>
            <w:r/>
            <w:r>
              <w:rPr>
                <w:b w:val="0"/>
              </w:rPr>
              <w:t>Servicio externo</w:t>
            </w:r>
          </w:p>
        </w:tc>
        <w:tc>
          <w:tcPr>
            <w:tcW w:type="dxa" w:w="2835"/>
            <w:vAlign w:val="center"/>
          </w:tcPr>
          <w:p>
            <w:pPr>
              <w:spacing w:after="0"/>
            </w:pPr>
            <w:r/>
            <w:r>
              <w:rPr>
                <w:b w:val="0"/>
              </w:rPr>
              <w:t>Galvanizado, pintura, END</w:t>
            </w:r>
          </w:p>
        </w:tc>
        <w:tc>
          <w:tcPr>
            <w:tcW w:type="dxa" w:w="4535"/>
            <w:vAlign w:val="center"/>
          </w:tcPr>
          <w:p>
            <w:pPr>
              <w:spacing w:after="0"/>
            </w:pPr>
            <w:r/>
            <w:r>
              <w:rPr>
                <w:b w:val="0"/>
              </w:rPr>
              <w:t>Unidad de compra por kg, m², lote o pieza</w:t>
            </w:r>
          </w:p>
        </w:tc>
      </w:tr>
      <w:tr>
        <w:tc>
          <w:tcPr>
            <w:tcW w:type="dxa" w:w="1984"/>
            <w:vAlign w:val="center"/>
          </w:tcPr>
          <w:p>
            <w:pPr>
              <w:spacing w:after="0"/>
            </w:pPr>
            <w:r/>
            <w:r>
              <w:rPr>
                <w:b w:val="0"/>
              </w:rPr>
              <w:t>Embalaje</w:t>
            </w:r>
          </w:p>
        </w:tc>
        <w:tc>
          <w:tcPr>
            <w:tcW w:type="dxa" w:w="2835"/>
            <w:vAlign w:val="center"/>
          </w:tcPr>
          <w:p>
            <w:pPr>
              <w:spacing w:after="0"/>
            </w:pPr>
            <w:r/>
            <w:r>
              <w:rPr>
                <w:b w:val="0"/>
              </w:rPr>
              <w:t>Cuna, film, tornillería de transporte</w:t>
            </w:r>
          </w:p>
        </w:tc>
        <w:tc>
          <w:tcPr>
            <w:tcW w:type="dxa" w:w="4535"/>
            <w:vAlign w:val="center"/>
          </w:tcPr>
          <w:p>
            <w:pPr>
              <w:spacing w:after="0"/>
            </w:pPr>
            <w:r/>
            <w:r>
              <w:rPr>
                <w:b w:val="0"/>
              </w:rPr>
              <w:t>Regla por conjunto/logística</w:t>
            </w:r>
          </w:p>
        </w:tc>
      </w:tr>
      <w:tr>
        <w:tc>
          <w:tcPr>
            <w:tcW w:type="dxa" w:w="1984"/>
            <w:vAlign w:val="center"/>
          </w:tcPr>
          <w:p>
            <w:pPr>
              <w:spacing w:after="0"/>
            </w:pPr>
            <w:r/>
            <w:r>
              <w:rPr>
                <w:b w:val="0"/>
              </w:rPr>
              <w:t>Documento</w:t>
            </w:r>
          </w:p>
        </w:tc>
        <w:tc>
          <w:tcPr>
            <w:tcW w:type="dxa" w:w="2835"/>
            <w:vAlign w:val="center"/>
          </w:tcPr>
          <w:p>
            <w:pPr>
              <w:spacing w:after="0"/>
            </w:pPr>
            <w:r/>
            <w:r>
              <w:rPr>
                <w:b w:val="0"/>
              </w:rPr>
              <w:t>Certificado, plano, instrucción</w:t>
            </w:r>
          </w:p>
        </w:tc>
        <w:tc>
          <w:tcPr>
            <w:tcW w:type="dxa" w:w="4535"/>
            <w:vAlign w:val="center"/>
          </w:tcPr>
          <w:p>
            <w:pPr>
              <w:spacing w:after="0"/>
            </w:pPr>
            <w:r/>
            <w:r>
              <w:rPr>
                <w:b w:val="0"/>
              </w:rPr>
              <w:t>Presencia obligatoria, sin coste material</w:t>
            </w:r>
          </w:p>
        </w:tc>
      </w:tr>
    </w:tbl>
    <w:p>
      <w:pPr>
        <w:pStyle w:val="Heading2"/>
      </w:pPr>
      <w:r>
        <w:t>33.2 Efectividad, sustitución y alternativos</w:t>
      </w:r>
    </w:p>
    <w:p>
      <w:pPr>
        <w:pStyle w:val="ListBullet"/>
      </w:pPr>
      <w:r>
        <w:t>Cada línea tendrá vigencia por fecha, planta, mercado, número de serie o rango de proyecto.</w:t>
      </w:r>
    </w:p>
    <w:p>
      <w:pPr>
        <w:pStyle w:val="ListBullet"/>
      </w:pPr>
      <w:r>
        <w:t>Los alternativos se clasificarán como equivalentes, condicionados o no intercambiables.</w:t>
      </w:r>
    </w:p>
    <w:p>
      <w:pPr>
        <w:pStyle w:val="ListBullet"/>
      </w:pPr>
      <w:r>
        <w:t>Una sustitución estructural requerirá recálculo; una sustitución comercial solo podrá aplicarse si la equivalencia técnica ya está homologada.</w:t>
      </w:r>
    </w:p>
    <w:p>
      <w:pPr>
        <w:pStyle w:val="ListBullet"/>
      </w:pPr>
      <w:r>
        <w:t>La BOM liberada conservará la referencia histórica aunque el catálogo cambie posteriormente.</w:t>
      </w:r>
    </w:p>
    <w:p>
      <w:pPr>
        <w:pStyle w:val="ListBullet"/>
      </w:pPr>
      <w:r>
        <w:t>Las cantidades reales de as-built se compararán con MBOM y desviaciones relevantes abrirán no conformidad.</w:t>
      </w:r>
    </w:p>
    <w:p>
      <w:pPr>
        <w:pStyle w:val="Heading2"/>
      </w:pPr>
      <w:r>
        <w:t>33.3 Reconciliaciones obligatorias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324"/>
            <w:vAlign w:val="center"/>
            <w:shd w:fill="D9E1F2"/>
          </w:tcPr>
          <w:p>
            <w:pPr>
              <w:spacing w:after="0"/>
            </w:pPr>
            <w:r/>
            <w:r>
              <w:rPr>
                <w:b/>
              </w:rPr>
              <w:t>Control</w:t>
            </w:r>
          </w:p>
        </w:tc>
        <w:tc>
          <w:tcPr>
            <w:tcW w:type="dxa" w:w="2438"/>
            <w:vAlign w:val="center"/>
            <w:shd w:fill="D9E1F2"/>
          </w:tcPr>
          <w:p>
            <w:pPr>
              <w:spacing w:after="0"/>
            </w:pPr>
            <w:r/>
            <w:r>
              <w:rPr>
                <w:b/>
              </w:rPr>
              <w:t>Fuente A</w:t>
            </w:r>
          </w:p>
        </w:tc>
        <w:tc>
          <w:tcPr>
            <w:tcW w:type="dxa" w:w="2551"/>
            <w:vAlign w:val="center"/>
            <w:shd w:fill="D9E1F2"/>
          </w:tcPr>
          <w:p>
            <w:pPr>
              <w:spacing w:after="0"/>
            </w:pPr>
            <w:r/>
            <w:r>
              <w:rPr>
                <w:b/>
              </w:rPr>
              <w:t>Fuente B</w:t>
            </w:r>
          </w:p>
        </w:tc>
        <w:tc>
          <w:tcPr>
            <w:tcW w:type="dxa" w:w="3061"/>
            <w:vAlign w:val="center"/>
            <w:shd w:fill="D9E1F2"/>
          </w:tcPr>
          <w:p>
            <w:pPr>
              <w:spacing w:after="0"/>
            </w:pPr>
            <w:r/>
            <w:r>
              <w:rPr>
                <w:b/>
              </w:rPr>
              <w:t>Tolerancia / regla</w:t>
            </w:r>
          </w:p>
        </w:tc>
      </w:tr>
      <w:tr>
        <w:tc>
          <w:tcPr>
            <w:tcW w:type="dxa" w:w="2324"/>
            <w:vAlign w:val="center"/>
          </w:tcPr>
          <w:p>
            <w:pPr>
              <w:spacing w:after="0"/>
            </w:pPr>
            <w:r/>
            <w:r>
              <w:rPr>
                <w:b w:val="0"/>
              </w:rPr>
              <w:t>Masa estructural</w:t>
            </w:r>
          </w:p>
        </w:tc>
        <w:tc>
          <w:tcPr>
            <w:tcW w:type="dxa" w:w="2438"/>
            <w:vAlign w:val="center"/>
          </w:tcPr>
          <w:p>
            <w:pPr>
              <w:spacing w:after="0"/>
            </w:pPr>
            <w:r/>
            <w:r>
              <w:rPr>
                <w:b w:val="0"/>
              </w:rPr>
              <w:t>CAD</w:t>
            </w:r>
          </w:p>
        </w:tc>
        <w:tc>
          <w:tcPr>
            <w:tcW w:type="dxa" w:w="2551"/>
            <w:vAlign w:val="center"/>
          </w:tcPr>
          <w:p>
            <w:pPr>
              <w:spacing w:after="0"/>
            </w:pPr>
            <w:r/>
            <w:r>
              <w:rPr>
                <w:b w:val="0"/>
              </w:rPr>
              <w:t>EBOM geométrica</w:t>
            </w:r>
          </w:p>
        </w:tc>
        <w:tc>
          <w:tcPr>
            <w:tcW w:type="dxa" w:w="3061"/>
            <w:vAlign w:val="center"/>
          </w:tcPr>
          <w:p>
            <w:pPr>
              <w:spacing w:after="0"/>
            </w:pPr>
            <w:r/>
            <w:r>
              <w:rPr>
                <w:b w:val="0"/>
              </w:rPr>
              <w:t>≤ 0,5 %</w:t>
            </w:r>
          </w:p>
        </w:tc>
      </w:tr>
      <w:tr>
        <w:tc>
          <w:tcPr>
            <w:tcW w:type="dxa" w:w="2324"/>
            <w:vAlign w:val="center"/>
          </w:tcPr>
          <w:p>
            <w:pPr>
              <w:spacing w:after="0"/>
            </w:pPr>
            <w:r/>
            <w:r>
              <w:rPr>
                <w:b w:val="0"/>
              </w:rPr>
              <w:t>Longitud de soldadura</w:t>
            </w:r>
          </w:p>
        </w:tc>
        <w:tc>
          <w:tcPr>
            <w:tcW w:type="dxa" w:w="2438"/>
            <w:vAlign w:val="center"/>
          </w:tcPr>
          <w:p>
            <w:pPr>
              <w:spacing w:after="0"/>
            </w:pPr>
            <w:r/>
            <w:r>
              <w:rPr>
                <w:b w:val="0"/>
              </w:rPr>
              <w:t>Features CAD</w:t>
            </w:r>
          </w:p>
        </w:tc>
        <w:tc>
          <w:tcPr>
            <w:tcW w:type="dxa" w:w="2551"/>
            <w:vAlign w:val="center"/>
          </w:tcPr>
          <w:p>
            <w:pPr>
              <w:spacing w:after="0"/>
            </w:pPr>
            <w:r/>
            <w:r>
              <w:rPr>
                <w:b w:val="0"/>
              </w:rPr>
              <w:t>Ruta/consumibles</w:t>
            </w:r>
          </w:p>
        </w:tc>
        <w:tc>
          <w:tcPr>
            <w:tcW w:type="dxa" w:w="3061"/>
            <w:vAlign w:val="center"/>
          </w:tcPr>
          <w:p>
            <w:pPr>
              <w:spacing w:after="0"/>
            </w:pPr>
            <w:r/>
            <w:r>
              <w:rPr>
                <w:b w:val="0"/>
              </w:rPr>
              <w:t>Coincidencia por weld_id</w:t>
            </w:r>
          </w:p>
        </w:tc>
      </w:tr>
      <w:tr>
        <w:tc>
          <w:tcPr>
            <w:tcW w:type="dxa" w:w="2324"/>
            <w:vAlign w:val="center"/>
          </w:tcPr>
          <w:p>
            <w:pPr>
              <w:spacing w:after="0"/>
            </w:pPr>
            <w:r/>
            <w:r>
              <w:rPr>
                <w:b w:val="0"/>
              </w:rPr>
              <w:t>Área de acabado</w:t>
            </w:r>
          </w:p>
        </w:tc>
        <w:tc>
          <w:tcPr>
            <w:tcW w:type="dxa" w:w="2438"/>
            <w:vAlign w:val="center"/>
          </w:tcPr>
          <w:p>
            <w:pPr>
              <w:spacing w:after="0"/>
            </w:pPr>
            <w:r/>
            <w:r>
              <w:rPr>
                <w:b w:val="0"/>
              </w:rPr>
              <w:t>CAD</w:t>
            </w:r>
          </w:p>
        </w:tc>
        <w:tc>
          <w:tcPr>
            <w:tcW w:type="dxa" w:w="2551"/>
            <w:vAlign w:val="center"/>
          </w:tcPr>
          <w:p>
            <w:pPr>
              <w:spacing w:after="0"/>
            </w:pPr>
            <w:r/>
            <w:r>
              <w:rPr>
                <w:b w:val="0"/>
              </w:rPr>
              <w:t>Servicio de pintura/galvanizado</w:t>
            </w:r>
          </w:p>
        </w:tc>
        <w:tc>
          <w:tcPr>
            <w:tcW w:type="dxa" w:w="3061"/>
            <w:vAlign w:val="center"/>
          </w:tcPr>
          <w:p>
            <w:pPr>
              <w:spacing w:after="0"/>
            </w:pPr>
            <w:r/>
            <w:r>
              <w:rPr>
                <w:b w:val="0"/>
              </w:rPr>
              <w:t>≤ 1 % o regla aprobada</w:t>
            </w:r>
          </w:p>
        </w:tc>
      </w:tr>
      <w:tr>
        <w:tc>
          <w:tcPr>
            <w:tcW w:type="dxa" w:w="2324"/>
            <w:vAlign w:val="center"/>
          </w:tcPr>
          <w:p>
            <w:pPr>
              <w:spacing w:after="0"/>
            </w:pPr>
            <w:r/>
            <w:r>
              <w:rPr>
                <w:b w:val="0"/>
              </w:rPr>
              <w:t>Taladros</w:t>
            </w:r>
          </w:p>
        </w:tc>
        <w:tc>
          <w:tcPr>
            <w:tcW w:type="dxa" w:w="2438"/>
            <w:vAlign w:val="center"/>
          </w:tcPr>
          <w:p>
            <w:pPr>
              <w:spacing w:after="0"/>
            </w:pPr>
            <w:r/>
            <w:r>
              <w:rPr>
                <w:b w:val="0"/>
              </w:rPr>
              <w:t>CAD</w:t>
            </w:r>
          </w:p>
        </w:tc>
        <w:tc>
          <w:tcPr>
            <w:tcW w:type="dxa" w:w="2551"/>
            <w:vAlign w:val="center"/>
          </w:tcPr>
          <w:p>
            <w:pPr>
              <w:spacing w:after="0"/>
            </w:pPr>
            <w:r/>
            <w:r>
              <w:rPr>
                <w:b w:val="0"/>
              </w:rPr>
              <w:t>Plano/operación CNC</w:t>
            </w:r>
          </w:p>
        </w:tc>
        <w:tc>
          <w:tcPr>
            <w:tcW w:type="dxa" w:w="3061"/>
            <w:vAlign w:val="center"/>
          </w:tcPr>
          <w:p>
            <w:pPr>
              <w:spacing w:after="0"/>
            </w:pPr>
            <w:r/>
            <w:r>
              <w:rPr>
                <w:b w:val="0"/>
              </w:rPr>
              <w:t>Coincidencia exacta</w:t>
            </w:r>
          </w:p>
        </w:tc>
      </w:tr>
      <w:tr>
        <w:tc>
          <w:tcPr>
            <w:tcW w:type="dxa" w:w="2324"/>
            <w:vAlign w:val="center"/>
          </w:tcPr>
          <w:p>
            <w:pPr>
              <w:spacing w:after="0"/>
            </w:pPr>
            <w:r/>
            <w:r>
              <w:rPr>
                <w:b w:val="0"/>
              </w:rPr>
              <w:t>Cantidad de piezas</w:t>
            </w:r>
          </w:p>
        </w:tc>
        <w:tc>
          <w:tcPr>
            <w:tcW w:type="dxa" w:w="2438"/>
            <w:vAlign w:val="center"/>
          </w:tcPr>
          <w:p>
            <w:pPr>
              <w:spacing w:after="0"/>
            </w:pPr>
            <w:r/>
            <w:r>
              <w:rPr>
                <w:b w:val="0"/>
              </w:rPr>
              <w:t>Ensamblaje</w:t>
            </w:r>
          </w:p>
        </w:tc>
        <w:tc>
          <w:tcPr>
            <w:tcW w:type="dxa" w:w="2551"/>
            <w:vAlign w:val="center"/>
          </w:tcPr>
          <w:p>
            <w:pPr>
              <w:spacing w:after="0"/>
            </w:pPr>
            <w:r/>
            <w:r>
              <w:rPr>
                <w:b w:val="0"/>
              </w:rPr>
              <w:t>EBOM/MBOM</w:t>
            </w:r>
          </w:p>
        </w:tc>
        <w:tc>
          <w:tcPr>
            <w:tcW w:type="dxa" w:w="3061"/>
            <w:vAlign w:val="center"/>
          </w:tcPr>
          <w:p>
            <w:pPr>
              <w:spacing w:after="0"/>
            </w:pPr>
            <w:r/>
            <w:r>
              <w:rPr>
                <w:b w:val="0"/>
              </w:rPr>
              <w:t>Coincidencia exacta</w:t>
            </w:r>
          </w:p>
        </w:tc>
      </w:tr>
      <w:tr>
        <w:tc>
          <w:tcPr>
            <w:tcW w:type="dxa" w:w="2324"/>
            <w:vAlign w:val="center"/>
          </w:tcPr>
          <w:p>
            <w:pPr>
              <w:spacing w:after="0"/>
            </w:pPr>
            <w:r/>
            <w:r>
              <w:rPr>
                <w:b w:val="0"/>
              </w:rPr>
              <w:t>Material y espesor</w:t>
            </w:r>
          </w:p>
        </w:tc>
        <w:tc>
          <w:tcPr>
            <w:tcW w:type="dxa" w:w="2438"/>
            <w:vAlign w:val="center"/>
          </w:tcPr>
          <w:p>
            <w:pPr>
              <w:spacing w:after="0"/>
            </w:pPr>
            <w:r/>
            <w:r>
              <w:rPr>
                <w:b w:val="0"/>
              </w:rPr>
              <w:t>PartDefinition</w:t>
            </w:r>
          </w:p>
        </w:tc>
        <w:tc>
          <w:tcPr>
            <w:tcW w:type="dxa" w:w="2551"/>
            <w:vAlign w:val="center"/>
          </w:tcPr>
          <w:p>
            <w:pPr>
              <w:spacing w:after="0"/>
            </w:pPr>
            <w:r/>
            <w:r>
              <w:rPr>
                <w:b w:val="0"/>
              </w:rPr>
              <w:t>BOM y plano</w:t>
            </w:r>
          </w:p>
        </w:tc>
        <w:tc>
          <w:tcPr>
            <w:tcW w:type="dxa" w:w="3061"/>
            <w:vAlign w:val="center"/>
          </w:tcPr>
          <w:p>
            <w:pPr>
              <w:spacing w:after="0"/>
            </w:pPr>
            <w:r/>
            <w:r>
              <w:rPr>
                <w:b w:val="0"/>
              </w:rPr>
              <w:t>Coincidencia exacta</w:t>
            </w:r>
          </w:p>
        </w:tc>
      </w:tr>
      <w:tr>
        <w:tc>
          <w:tcPr>
            <w:tcW w:type="dxa" w:w="2324"/>
            <w:vAlign w:val="center"/>
          </w:tcPr>
          <w:p>
            <w:pPr>
              <w:spacing w:after="0"/>
            </w:pPr>
            <w:r/>
            <w:r>
              <w:rPr>
                <w:b w:val="0"/>
              </w:rPr>
              <w:t>Revisión</w:t>
            </w:r>
          </w:p>
        </w:tc>
        <w:tc>
          <w:tcPr>
            <w:tcW w:type="dxa" w:w="2438"/>
            <w:vAlign w:val="center"/>
          </w:tcPr>
          <w:p>
            <w:pPr>
              <w:spacing w:after="0"/>
            </w:pPr>
            <w:r/>
            <w:r>
              <w:rPr>
                <w:b w:val="0"/>
              </w:rPr>
              <w:t>Snapshot</w:t>
            </w:r>
          </w:p>
        </w:tc>
        <w:tc>
          <w:tcPr>
            <w:tcW w:type="dxa" w:w="2551"/>
            <w:vAlign w:val="center"/>
          </w:tcPr>
          <w:p>
            <w:pPr>
              <w:spacing w:after="0"/>
            </w:pPr>
            <w:r/>
            <w:r>
              <w:rPr>
                <w:b w:val="0"/>
              </w:rPr>
              <w:t>Todos los artefactos</w:t>
            </w:r>
          </w:p>
        </w:tc>
        <w:tc>
          <w:tcPr>
            <w:tcW w:type="dxa" w:w="3061"/>
            <w:vAlign w:val="center"/>
          </w:tcPr>
          <w:p>
            <w:pPr>
              <w:spacing w:after="0"/>
            </w:pPr>
            <w:r/>
            <w:r>
              <w:rPr>
                <w:b w:val="0"/>
              </w:rPr>
              <w:t>Coincidencia exacta</w:t>
            </w:r>
          </w:p>
        </w:tc>
      </w:tr>
    </w:tbl>
    <w:p>
      <w:pPr>
        <w:pStyle w:val="Heading1"/>
      </w:pPr>
      <w:r>
        <w:t>34. Rutas de fabricación, instrucciones y capacidad</w:t>
      </w:r>
    </w:p>
    <w:p>
      <w:r>
        <w:t>La ruta se generará desde el tipo de pieza, material, geometría, acabado, tolerancias y planta. Cada operación tendrá precondiciones, entradas, salidas, recurso, tiempo, control, documento y criterio de aceptación.</w:t>
      </w:r>
    </w:p>
    <w:p>
      <w:pPr>
        <w:pStyle w:val="Heading2"/>
      </w:pPr>
      <w:r>
        <w:t>34.1 Modelo de operación</w:t>
      </w:r>
    </w:p>
    <w:tbl>
      <w:tblPr>
        <w:tblStyle w:val="TableGrid"/>
        <w:tblW w:type="auto" w:w="0"/>
        <w:jc w:val="center"/>
        <w:tblLook w:firstColumn="1" w:firstRow="1" w:lastColumn="0" w:lastRow="0" w:noHBand="0" w:noVBand="1" w:val="04A0"/>
      </w:tblPr>
      <w:tblGrid>
        <w:gridCol w:w="5083"/>
        <w:gridCol w:w="5083"/>
      </w:tblGrid>
      <w:tr>
        <w:tc>
          <w:tcPr>
            <w:tcW w:type="dxa" w:w="2381"/>
            <w:vAlign w:val="center"/>
            <w:shd w:fill="D9E1F2"/>
          </w:tcPr>
          <w:p>
            <w:pPr>
              <w:spacing w:after="0"/>
            </w:pPr>
            <w:r/>
            <w:r>
              <w:rPr>
                <w:b/>
              </w:rPr>
              <w:t>Campo</w:t>
            </w:r>
          </w:p>
        </w:tc>
        <w:tc>
          <w:tcPr>
            <w:tcW w:type="dxa" w:w="6860"/>
            <w:vAlign w:val="center"/>
            <w:shd w:fill="D9E1F2"/>
          </w:tcPr>
          <w:p>
            <w:pPr>
              <w:spacing w:after="0"/>
            </w:pPr>
            <w:r/>
            <w:r>
              <w:rPr>
                <w:b/>
              </w:rPr>
              <w:t>Descripción</w:t>
            </w:r>
          </w:p>
        </w:tc>
      </w:tr>
      <w:tr>
        <w:tc>
          <w:tcPr>
            <w:tcW w:type="dxa" w:w="2381"/>
            <w:vAlign w:val="center"/>
          </w:tcPr>
          <w:p>
            <w:pPr>
              <w:spacing w:after="0"/>
            </w:pPr>
            <w:r/>
            <w:r>
              <w:rPr>
                <w:b w:val="0"/>
              </w:rPr>
              <w:t>operation_code</w:t>
            </w:r>
          </w:p>
        </w:tc>
        <w:tc>
          <w:tcPr>
            <w:tcW w:type="dxa" w:w="6860"/>
            <w:vAlign w:val="center"/>
          </w:tcPr>
          <w:p>
            <w:pPr>
              <w:spacing w:after="0"/>
            </w:pPr>
            <w:r/>
            <w:r>
              <w:rPr>
                <w:b w:val="0"/>
              </w:rPr>
              <w:t>Código estable de corte, plegado, soldadura, mecanizado, acabado, montaje, inspección o embalaje</w:t>
            </w:r>
          </w:p>
        </w:tc>
      </w:tr>
      <w:tr>
        <w:tc>
          <w:tcPr>
            <w:tcW w:type="dxa" w:w="2381"/>
            <w:vAlign w:val="center"/>
          </w:tcPr>
          <w:p>
            <w:pPr>
              <w:spacing w:after="0"/>
            </w:pPr>
            <w:r/>
            <w:r>
              <w:rPr>
                <w:b w:val="0"/>
              </w:rPr>
              <w:t>work_center</w:t>
            </w:r>
          </w:p>
        </w:tc>
        <w:tc>
          <w:tcPr>
            <w:tcW w:type="dxa" w:w="6860"/>
            <w:vAlign w:val="center"/>
          </w:tcPr>
          <w:p>
            <w:pPr>
              <w:spacing w:after="0"/>
            </w:pPr>
            <w:r/>
            <w:r>
              <w:rPr>
                <w:b w:val="0"/>
              </w:rPr>
              <w:t>Centro de trabajo interno o proveedor homologado</w:t>
            </w:r>
          </w:p>
        </w:tc>
      </w:tr>
      <w:tr>
        <w:tc>
          <w:tcPr>
            <w:tcW w:type="dxa" w:w="2381"/>
            <w:vAlign w:val="center"/>
          </w:tcPr>
          <w:p>
            <w:pPr>
              <w:spacing w:after="0"/>
            </w:pPr>
            <w:r/>
            <w:r>
              <w:rPr>
                <w:b w:val="0"/>
              </w:rPr>
              <w:t>setup/run time</w:t>
            </w:r>
          </w:p>
        </w:tc>
        <w:tc>
          <w:tcPr>
            <w:tcW w:type="dxa" w:w="6860"/>
            <w:vAlign w:val="center"/>
          </w:tcPr>
          <w:p>
            <w:pPr>
              <w:spacing w:after="0"/>
            </w:pPr>
            <w:r/>
            <w:r>
              <w:rPr>
                <w:b w:val="0"/>
              </w:rPr>
              <w:t>Tiempo de preparación y tiempo por unidad</w:t>
            </w:r>
          </w:p>
        </w:tc>
      </w:tr>
      <w:tr>
        <w:tc>
          <w:tcPr>
            <w:tcW w:type="dxa" w:w="2381"/>
            <w:vAlign w:val="center"/>
          </w:tcPr>
          <w:p>
            <w:pPr>
              <w:spacing w:after="0"/>
            </w:pPr>
            <w:r/>
            <w:r>
              <w:rPr>
                <w:b w:val="0"/>
              </w:rPr>
              <w:t>input/output state</w:t>
            </w:r>
          </w:p>
        </w:tc>
        <w:tc>
          <w:tcPr>
            <w:tcW w:type="dxa" w:w="6860"/>
            <w:vAlign w:val="center"/>
          </w:tcPr>
          <w:p>
            <w:pPr>
              <w:spacing w:after="0"/>
            </w:pPr>
            <w:r/>
            <w:r>
              <w:rPr>
                <w:b w:val="0"/>
              </w:rPr>
              <w:t>Estado geométrico y documental antes/después</w:t>
            </w:r>
          </w:p>
        </w:tc>
      </w:tr>
      <w:tr>
        <w:tc>
          <w:tcPr>
            <w:tcW w:type="dxa" w:w="2381"/>
            <w:vAlign w:val="center"/>
          </w:tcPr>
          <w:p>
            <w:pPr>
              <w:spacing w:after="0"/>
            </w:pPr>
            <w:r/>
            <w:r>
              <w:rPr>
                <w:b w:val="0"/>
              </w:rPr>
              <w:t>parameters</w:t>
            </w:r>
          </w:p>
        </w:tc>
        <w:tc>
          <w:tcPr>
            <w:tcW w:type="dxa" w:w="6860"/>
            <w:vAlign w:val="center"/>
          </w:tcPr>
          <w:p>
            <w:pPr>
              <w:spacing w:after="0"/>
            </w:pPr>
            <w:r/>
            <w:r>
              <w:rPr>
                <w:b w:val="0"/>
              </w:rPr>
              <w:t>Programa, herramienta, temperatura, secuencia, consumible</w:t>
            </w:r>
          </w:p>
        </w:tc>
      </w:tr>
      <w:tr>
        <w:tc>
          <w:tcPr>
            <w:tcW w:type="dxa" w:w="2381"/>
            <w:vAlign w:val="center"/>
          </w:tcPr>
          <w:p>
            <w:pPr>
              <w:spacing w:after="0"/>
            </w:pPr>
            <w:r/>
            <w:r>
              <w:rPr>
                <w:b w:val="0"/>
              </w:rPr>
              <w:t>inspection gate</w:t>
            </w:r>
          </w:p>
        </w:tc>
        <w:tc>
          <w:tcPr>
            <w:tcW w:type="dxa" w:w="6860"/>
            <w:vAlign w:val="center"/>
          </w:tcPr>
          <w:p>
            <w:pPr>
              <w:spacing w:after="0"/>
            </w:pPr>
            <w:r/>
            <w:r>
              <w:rPr>
                <w:b w:val="0"/>
              </w:rPr>
              <w:t>Característica y método de control</w:t>
            </w:r>
          </w:p>
        </w:tc>
      </w:tr>
      <w:tr>
        <w:tc>
          <w:tcPr>
            <w:tcW w:type="dxa" w:w="2381"/>
            <w:vAlign w:val="center"/>
          </w:tcPr>
          <w:p>
            <w:pPr>
              <w:spacing w:after="0"/>
            </w:pPr>
            <w:r/>
            <w:r>
              <w:rPr>
                <w:b w:val="0"/>
              </w:rPr>
              <w:t>hold point</w:t>
            </w:r>
          </w:p>
        </w:tc>
        <w:tc>
          <w:tcPr>
            <w:tcW w:type="dxa" w:w="6860"/>
            <w:vAlign w:val="center"/>
          </w:tcPr>
          <w:p>
            <w:pPr>
              <w:spacing w:after="0"/>
            </w:pPr>
            <w:r/>
            <w:r>
              <w:rPr>
                <w:b w:val="0"/>
              </w:rPr>
              <w:t>Punto que requiere aceptación antes de continuar</w:t>
            </w:r>
          </w:p>
        </w:tc>
      </w:tr>
      <w:tr>
        <w:tc>
          <w:tcPr>
            <w:tcW w:type="dxa" w:w="2381"/>
            <w:vAlign w:val="center"/>
          </w:tcPr>
          <w:p>
            <w:pPr>
              <w:spacing w:after="0"/>
            </w:pPr>
            <w:r/>
            <w:r>
              <w:rPr>
                <w:b w:val="0"/>
              </w:rPr>
              <w:t>evidence</w:t>
            </w:r>
          </w:p>
        </w:tc>
        <w:tc>
          <w:tcPr>
            <w:tcW w:type="dxa" w:w="6860"/>
            <w:vAlign w:val="center"/>
          </w:tcPr>
          <w:p>
            <w:pPr>
              <w:spacing w:after="0"/>
            </w:pPr>
            <w:r/>
            <w:r>
              <w:rPr>
                <w:b w:val="0"/>
              </w:rPr>
              <w:t>Registro, certificado, fotografía, medición o firma</w:t>
            </w:r>
          </w:p>
        </w:tc>
      </w:tr>
    </w:tbl>
    <w:p>
      <w:pPr>
        <w:pStyle w:val="Heading2"/>
      </w:pPr>
      <w:r>
        <w:t>34.2 Capacidad y fabricabilidad</w:t>
      </w:r>
    </w:p>
    <w:p>
      <w:pPr>
        <w:pStyle w:val="ListBullet"/>
      </w:pPr>
      <w:r>
        <w:t>Las capacidades de planta y proveedor serán bibliotecas versionadas: longitud, diámetro, espesor, tonelaje, mesa, horno, cuba, grúa, utillajes y certificaciones.</w:t>
      </w:r>
    </w:p>
    <w:p>
      <w:pPr>
        <w:pStyle w:val="ListBullet"/>
      </w:pPr>
      <w:r>
        <w:t>El sistema comprobará cada operación contra capacidad disponible y propondrá alternativas homologadas.</w:t>
      </w:r>
    </w:p>
    <w:p>
      <w:pPr>
        <w:pStyle w:val="ListBullet"/>
      </w:pPr>
      <w:r>
        <w:t>No se permitirá asignar una pieza a un proveedor que no tenga capacidad, proceso o cualificación vigente.</w:t>
      </w:r>
    </w:p>
    <w:p>
      <w:pPr>
        <w:pStyle w:val="ListBullet"/>
      </w:pPr>
      <w:r>
        <w:t>Para piezas &gt;12 m, la ruta deberá incluir segmentación, transporte, montaje de prueba y verificación de interfaces.</w:t>
      </w:r>
    </w:p>
    <w:p>
      <w:pPr>
        <w:pStyle w:val="ListBullet"/>
      </w:pPr>
      <w:r>
        <w:t>La estimación de tiempo deberá separar tiempo estándar, contingencia y aprendizaje de primera unidad.</w:t>
      </w:r>
    </w:p>
    <w:p>
      <w:pPr>
        <w:pStyle w:val="Heading1"/>
      </w:pPr>
      <w:r>
        <w:t>35. Soldaduras, WPS, END y mapa de uniones</w:t>
      </w:r>
    </w:p>
    <w:p>
      <w:r>
        <w:t>Cada soldadura será un objeto trazable, no una nota gráfica. El weld_id enlazará cálculo, geometría, símbolo, WPS, cualificación, longitud, consumible, proceso, inspección y aceptación.</w:t>
      </w:r>
    </w:p>
    <w:tbl>
      <w:tblPr>
        <w:tblStyle w:val="TableGrid"/>
        <w:tblW w:type="auto" w:w="0"/>
        <w:jc w:val="center"/>
        <w:tblLook w:firstColumn="1" w:firstRow="1" w:lastColumn="0" w:lastRow="0" w:noHBand="0" w:noVBand="1" w:val="04A0"/>
      </w:tblPr>
      <w:tblGrid>
        <w:gridCol w:w="5083"/>
        <w:gridCol w:w="5083"/>
      </w:tblGrid>
      <w:tr>
        <w:tc>
          <w:tcPr>
            <w:tcW w:type="dxa" w:w="1984"/>
            <w:vAlign w:val="center"/>
            <w:shd w:fill="D9E1F2"/>
          </w:tcPr>
          <w:p>
            <w:pPr>
              <w:spacing w:after="0"/>
            </w:pPr>
            <w:r/>
            <w:r>
              <w:rPr>
                <w:b/>
              </w:rPr>
              <w:t>Dato</w:t>
            </w:r>
          </w:p>
        </w:tc>
        <w:tc>
          <w:tcPr>
            <w:tcW w:type="dxa" w:w="7257"/>
            <w:vAlign w:val="center"/>
            <w:shd w:fill="D9E1F2"/>
          </w:tcPr>
          <w:p>
            <w:pPr>
              <w:spacing w:after="0"/>
            </w:pPr>
            <w:r/>
            <w:r>
              <w:rPr>
                <w:b/>
              </w:rPr>
              <w:t>Contenido mínimo</w:t>
            </w:r>
          </w:p>
        </w:tc>
      </w:tr>
      <w:tr>
        <w:tc>
          <w:tcPr>
            <w:tcW w:type="dxa" w:w="1984"/>
            <w:vAlign w:val="center"/>
          </w:tcPr>
          <w:p>
            <w:pPr>
              <w:spacing w:after="0"/>
            </w:pPr>
            <w:r/>
            <w:r>
              <w:rPr>
                <w:b w:val="0"/>
              </w:rPr>
              <w:t>Geometría</w:t>
            </w:r>
          </w:p>
        </w:tc>
        <w:tc>
          <w:tcPr>
            <w:tcW w:type="dxa" w:w="7257"/>
            <w:vAlign w:val="center"/>
          </w:tcPr>
          <w:p>
            <w:pPr>
              <w:spacing w:after="0"/>
            </w:pPr>
            <w:r/>
            <w:r>
              <w:rPr>
                <w:b w:val="0"/>
              </w:rPr>
              <w:t>Tipo de junta, preparación, garganta, penetración, longitud, retorno</w:t>
            </w:r>
          </w:p>
        </w:tc>
      </w:tr>
      <w:tr>
        <w:tc>
          <w:tcPr>
            <w:tcW w:type="dxa" w:w="1984"/>
            <w:vAlign w:val="center"/>
          </w:tcPr>
          <w:p>
            <w:pPr>
              <w:spacing w:after="0"/>
            </w:pPr>
            <w:r/>
            <w:r>
              <w:rPr>
                <w:b w:val="0"/>
              </w:rPr>
              <w:t>Materiales</w:t>
            </w:r>
          </w:p>
        </w:tc>
        <w:tc>
          <w:tcPr>
            <w:tcW w:type="dxa" w:w="7257"/>
            <w:vAlign w:val="center"/>
          </w:tcPr>
          <w:p>
            <w:pPr>
              <w:spacing w:after="0"/>
            </w:pPr>
            <w:r/>
            <w:r>
              <w:rPr>
                <w:b w:val="0"/>
              </w:rPr>
              <w:t>Metal base, espesor, material de aportación</w:t>
            </w:r>
          </w:p>
        </w:tc>
      </w:tr>
      <w:tr>
        <w:tc>
          <w:tcPr>
            <w:tcW w:type="dxa" w:w="1984"/>
            <w:vAlign w:val="center"/>
          </w:tcPr>
          <w:p>
            <w:pPr>
              <w:spacing w:after="0"/>
            </w:pPr>
            <w:r/>
            <w:r>
              <w:rPr>
                <w:b w:val="0"/>
              </w:rPr>
              <w:t>Proceso</w:t>
            </w:r>
          </w:p>
        </w:tc>
        <w:tc>
          <w:tcPr>
            <w:tcW w:type="dxa" w:w="7257"/>
            <w:vAlign w:val="center"/>
          </w:tcPr>
          <w:p>
            <w:pPr>
              <w:spacing w:after="0"/>
            </w:pPr>
            <w:r/>
            <w:r>
              <w:rPr>
                <w:b w:val="0"/>
              </w:rPr>
              <w:t>MIG/MAG/TIG/SAW/FSW u otro homologado</w:t>
            </w:r>
          </w:p>
        </w:tc>
      </w:tr>
      <w:tr>
        <w:tc>
          <w:tcPr>
            <w:tcW w:type="dxa" w:w="1984"/>
            <w:vAlign w:val="center"/>
          </w:tcPr>
          <w:p>
            <w:pPr>
              <w:spacing w:after="0"/>
            </w:pPr>
            <w:r/>
            <w:r>
              <w:rPr>
                <w:b w:val="0"/>
              </w:rPr>
              <w:t>Ejecución</w:t>
            </w:r>
          </w:p>
        </w:tc>
        <w:tc>
          <w:tcPr>
            <w:tcW w:type="dxa" w:w="7257"/>
            <w:vAlign w:val="center"/>
          </w:tcPr>
          <w:p>
            <w:pPr>
              <w:spacing w:after="0"/>
            </w:pPr>
            <w:r/>
            <w:r>
              <w:rPr>
                <w:b w:val="0"/>
              </w:rPr>
              <w:t>Posición, secuencia, precalentamiento, temperatura entre pasadas</w:t>
            </w:r>
          </w:p>
        </w:tc>
      </w:tr>
      <w:tr>
        <w:tc>
          <w:tcPr>
            <w:tcW w:type="dxa" w:w="1984"/>
            <w:vAlign w:val="center"/>
          </w:tcPr>
          <w:p>
            <w:pPr>
              <w:spacing w:after="0"/>
            </w:pPr>
            <w:r/>
            <w:r>
              <w:rPr>
                <w:b w:val="0"/>
              </w:rPr>
              <w:t>Calidad</w:t>
            </w:r>
          </w:p>
        </w:tc>
        <w:tc>
          <w:tcPr>
            <w:tcW w:type="dxa" w:w="7257"/>
            <w:vAlign w:val="center"/>
          </w:tcPr>
          <w:p>
            <w:pPr>
              <w:spacing w:after="0"/>
            </w:pPr>
            <w:r/>
            <w:r>
              <w:rPr>
                <w:b w:val="0"/>
              </w:rPr>
              <w:t>Nivel de aceptación, VT/PT/MT/UT/RT según riesgo</w:t>
            </w:r>
          </w:p>
        </w:tc>
      </w:tr>
      <w:tr>
        <w:tc>
          <w:tcPr>
            <w:tcW w:type="dxa" w:w="1984"/>
            <w:vAlign w:val="center"/>
          </w:tcPr>
          <w:p>
            <w:pPr>
              <w:spacing w:after="0"/>
            </w:pPr>
            <w:r/>
            <w:r>
              <w:rPr>
                <w:b w:val="0"/>
              </w:rPr>
              <w:t>Fatiga</w:t>
            </w:r>
          </w:p>
        </w:tc>
        <w:tc>
          <w:tcPr>
            <w:tcW w:type="dxa" w:w="7257"/>
            <w:vAlign w:val="center"/>
          </w:tcPr>
          <w:p>
            <w:pPr>
              <w:spacing w:after="0"/>
            </w:pPr>
            <w:r/>
            <w:r>
              <w:rPr>
                <w:b w:val="0"/>
              </w:rPr>
              <w:t>Categoría y acabado del detalle cuando aplique</w:t>
            </w:r>
          </w:p>
        </w:tc>
      </w:tr>
      <w:tr>
        <w:tc>
          <w:tcPr>
            <w:tcW w:type="dxa" w:w="1984"/>
            <w:vAlign w:val="center"/>
          </w:tcPr>
          <w:p>
            <w:pPr>
              <w:spacing w:after="0"/>
            </w:pPr>
            <w:r/>
            <w:r>
              <w:rPr>
                <w:b w:val="0"/>
              </w:rPr>
              <w:t>Reparación</w:t>
            </w:r>
          </w:p>
        </w:tc>
        <w:tc>
          <w:tcPr>
            <w:tcW w:type="dxa" w:w="7257"/>
            <w:vAlign w:val="center"/>
          </w:tcPr>
          <w:p>
            <w:pPr>
              <w:spacing w:after="0"/>
            </w:pPr>
            <w:r/>
            <w:r>
              <w:rPr>
                <w:b w:val="0"/>
              </w:rPr>
              <w:t>Procedimiento permitido y reinspección</w:t>
            </w:r>
          </w:p>
        </w:tc>
      </w:tr>
      <w:tr>
        <w:tc>
          <w:tcPr>
            <w:tcW w:type="dxa" w:w="1984"/>
            <w:vAlign w:val="center"/>
          </w:tcPr>
          <w:p>
            <w:pPr>
              <w:spacing w:after="0"/>
            </w:pPr>
            <w:r/>
            <w:r>
              <w:rPr>
                <w:b w:val="0"/>
              </w:rPr>
              <w:t>Trazabilidad</w:t>
            </w:r>
          </w:p>
        </w:tc>
        <w:tc>
          <w:tcPr>
            <w:tcW w:type="dxa" w:w="7257"/>
            <w:vAlign w:val="center"/>
          </w:tcPr>
          <w:p>
            <w:pPr>
              <w:spacing w:after="0"/>
            </w:pPr>
            <w:r/>
            <w:r>
              <w:rPr>
                <w:b w:val="0"/>
              </w:rPr>
              <w:t>Soldador, WPS, lote de consumible y registro</w:t>
            </w:r>
          </w:p>
        </w:tc>
      </w:tr>
    </w:tbl>
    <w:p>
      <w:r>
        <w:t>El mapa de soldaduras aparecerá en plano y en una tabla estructurada. Las discrepancias entre símbolo, WPS y geometría serán bloqueantes. En aluminio, el objeto conservará HAZ, orientación de laminación/extrusión y proceso; en FSW incluirá cara de avance, retirada de herramienta y parámetros cualificados.</w:t>
      </w:r>
    </w:p>
    <w:p>
      <w:pPr>
        <w:pStyle w:val="Heading1"/>
      </w:pPr>
      <w:r>
        <w:t>36. Calidad, inspección y as-built digital</w:t>
      </w:r>
    </w:p>
    <w:p>
      <w:r>
        <w:t>El plan de control se generará desde CTQ, proceso, material, normativa, riesgo y evidencia histórica. Cada característica deberá ser medible y asociarse a un método, instrumento, frecuencia, muestra y criterio de aceptación.</w:t>
      </w:r>
    </w:p>
    <w:p>
      <w:pPr>
        <w:pStyle w:val="Heading2"/>
      </w:pPr>
      <w:r>
        <w:t>36.1 Clasificación de características</w:t>
      </w:r>
    </w:p>
    <w:tbl>
      <w:tblPr>
        <w:tblStyle w:val="TableGrid"/>
        <w:tblW w:type="auto" w:w="0"/>
        <w:jc w:val="center"/>
        <w:tblLook w:firstColumn="1" w:firstRow="1" w:lastColumn="0" w:lastRow="0" w:noHBand="0" w:noVBand="1" w:val="04A0"/>
      </w:tblPr>
      <w:tblGrid>
        <w:gridCol w:w="3389"/>
        <w:gridCol w:w="3389"/>
        <w:gridCol w:w="3389"/>
      </w:tblGrid>
      <w:tr>
        <w:tc>
          <w:tcPr>
            <w:tcW w:type="dxa" w:w="1814"/>
            <w:vAlign w:val="center"/>
            <w:shd w:fill="D9E1F2"/>
          </w:tcPr>
          <w:p>
            <w:pPr>
              <w:spacing w:after="0"/>
            </w:pPr>
            <w:r/>
            <w:r>
              <w:rPr>
                <w:b/>
              </w:rPr>
              <w:t>Clase</w:t>
            </w:r>
          </w:p>
        </w:tc>
        <w:tc>
          <w:tcPr>
            <w:tcW w:type="dxa" w:w="3402"/>
            <w:vAlign w:val="center"/>
            <w:shd w:fill="D9E1F2"/>
          </w:tcPr>
          <w:p>
            <w:pPr>
              <w:spacing w:after="0"/>
            </w:pPr>
            <w:r/>
            <w:r>
              <w:rPr>
                <w:b/>
              </w:rPr>
              <w:t>Ejemplos</w:t>
            </w:r>
          </w:p>
        </w:tc>
        <w:tc>
          <w:tcPr>
            <w:tcW w:type="dxa" w:w="4025"/>
            <w:vAlign w:val="center"/>
            <w:shd w:fill="D9E1F2"/>
          </w:tcPr>
          <w:p>
            <w:pPr>
              <w:spacing w:after="0"/>
            </w:pPr>
            <w:r/>
            <w:r>
              <w:rPr>
                <w:b/>
              </w:rPr>
              <w:t>Tratamiento</w:t>
            </w:r>
          </w:p>
        </w:tc>
      </w:tr>
      <w:tr>
        <w:tc>
          <w:tcPr>
            <w:tcW w:type="dxa" w:w="1814"/>
            <w:vAlign w:val="center"/>
          </w:tcPr>
          <w:p>
            <w:pPr>
              <w:spacing w:after="0"/>
            </w:pPr>
            <w:r/>
            <w:r>
              <w:rPr>
                <w:b w:val="0"/>
              </w:rPr>
              <w:t>CTQ-1 Seguridad</w:t>
            </w:r>
          </w:p>
        </w:tc>
        <w:tc>
          <w:tcPr>
            <w:tcW w:type="dxa" w:w="3402"/>
            <w:vAlign w:val="center"/>
          </w:tcPr>
          <w:p>
            <w:pPr>
              <w:spacing w:after="0"/>
            </w:pPr>
            <w:r/>
            <w:r>
              <w:rPr>
                <w:b w:val="0"/>
              </w:rPr>
              <w:t>Espesor, soldadura estructural, patrón de pernos, pretensado</w:t>
            </w:r>
          </w:p>
        </w:tc>
        <w:tc>
          <w:tcPr>
            <w:tcW w:type="dxa" w:w="4025"/>
            <w:vAlign w:val="center"/>
          </w:tcPr>
          <w:p>
            <w:pPr>
              <w:spacing w:after="0"/>
            </w:pPr>
            <w:r/>
            <w:r>
              <w:rPr>
                <w:b w:val="0"/>
              </w:rPr>
              <w:t>100 % o plan aprobado; bloqueo ante NC</w:t>
            </w:r>
          </w:p>
        </w:tc>
      </w:tr>
      <w:tr>
        <w:tc>
          <w:tcPr>
            <w:tcW w:type="dxa" w:w="1814"/>
            <w:vAlign w:val="center"/>
          </w:tcPr>
          <w:p>
            <w:pPr>
              <w:spacing w:after="0"/>
            </w:pPr>
            <w:r/>
            <w:r>
              <w:rPr>
                <w:b w:val="0"/>
              </w:rPr>
              <w:t>CTQ-2 Función</w:t>
            </w:r>
          </w:p>
        </w:tc>
        <w:tc>
          <w:tcPr>
            <w:tcW w:type="dxa" w:w="3402"/>
            <w:vAlign w:val="center"/>
          </w:tcPr>
          <w:p>
            <w:pPr>
              <w:spacing w:after="0"/>
            </w:pPr>
            <w:r/>
            <w:r>
              <w:rPr>
                <w:b w:val="0"/>
              </w:rPr>
              <w:t>Rectitud, interfaz de luminaria, puerta, solape</w:t>
            </w:r>
          </w:p>
        </w:tc>
        <w:tc>
          <w:tcPr>
            <w:tcW w:type="dxa" w:w="4025"/>
            <w:vAlign w:val="center"/>
          </w:tcPr>
          <w:p>
            <w:pPr>
              <w:spacing w:after="0"/>
            </w:pPr>
            <w:r/>
            <w:r>
              <w:rPr>
                <w:b w:val="0"/>
              </w:rPr>
              <w:t>Muestreo reforzado y tendencia</w:t>
            </w:r>
          </w:p>
        </w:tc>
      </w:tr>
      <w:tr>
        <w:tc>
          <w:tcPr>
            <w:tcW w:type="dxa" w:w="1814"/>
            <w:vAlign w:val="center"/>
          </w:tcPr>
          <w:p>
            <w:pPr>
              <w:spacing w:after="0"/>
            </w:pPr>
            <w:r/>
            <w:r>
              <w:rPr>
                <w:b w:val="0"/>
              </w:rPr>
              <w:t>CTQ-3 Fabricación</w:t>
            </w:r>
          </w:p>
        </w:tc>
        <w:tc>
          <w:tcPr>
            <w:tcW w:type="dxa" w:w="3402"/>
            <w:vAlign w:val="center"/>
          </w:tcPr>
          <w:p>
            <w:pPr>
              <w:spacing w:after="0"/>
            </w:pPr>
            <w:r/>
            <w:r>
              <w:rPr>
                <w:b w:val="0"/>
              </w:rPr>
              <w:t>Acabado visual, marcado, embalaje</w:t>
            </w:r>
          </w:p>
        </w:tc>
        <w:tc>
          <w:tcPr>
            <w:tcW w:type="dxa" w:w="4025"/>
            <w:vAlign w:val="center"/>
          </w:tcPr>
          <w:p>
            <w:pPr>
              <w:spacing w:after="0"/>
            </w:pPr>
            <w:r/>
            <w:r>
              <w:rPr>
                <w:b w:val="0"/>
              </w:rPr>
              <w:t>Control estándar</w:t>
            </w:r>
          </w:p>
        </w:tc>
      </w:tr>
      <w:tr>
        <w:tc>
          <w:tcPr>
            <w:tcW w:type="dxa" w:w="1814"/>
            <w:vAlign w:val="center"/>
          </w:tcPr>
          <w:p>
            <w:pPr>
              <w:spacing w:after="0"/>
            </w:pPr>
            <w:r/>
            <w:r>
              <w:rPr>
                <w:b w:val="0"/>
              </w:rPr>
              <w:t>Informativa</w:t>
            </w:r>
          </w:p>
        </w:tc>
        <w:tc>
          <w:tcPr>
            <w:tcW w:type="dxa" w:w="3402"/>
            <w:vAlign w:val="center"/>
          </w:tcPr>
          <w:p>
            <w:pPr>
              <w:spacing w:after="0"/>
            </w:pPr>
            <w:r/>
            <w:r>
              <w:rPr>
                <w:b w:val="0"/>
              </w:rPr>
              <w:t>Peso real, tiempo, consumo</w:t>
            </w:r>
          </w:p>
        </w:tc>
        <w:tc>
          <w:tcPr>
            <w:tcW w:type="dxa" w:w="4025"/>
            <w:vAlign w:val="center"/>
          </w:tcPr>
          <w:p>
            <w:pPr>
              <w:spacing w:after="0"/>
            </w:pPr>
            <w:r/>
            <w:r>
              <w:rPr>
                <w:b w:val="0"/>
              </w:rPr>
              <w:t>Registro para aprendizaje</w:t>
            </w:r>
          </w:p>
        </w:tc>
      </w:tr>
    </w:tbl>
    <w:p>
      <w:pPr>
        <w:pStyle w:val="Heading2"/>
      </w:pPr>
      <w:r>
        <w:t>36.2 Gemelo as-built</w:t>
      </w:r>
    </w:p>
    <w:p>
      <w:pPr>
        <w:pStyle w:val="ListBullet"/>
      </w:pPr>
      <w:r>
        <w:t>El as-built registrará dimensiones reales, materiales/lotes, certificados, soldadores, resultados de END, espesor de recubrimiento y desviaciones aprobadas.</w:t>
      </w:r>
    </w:p>
    <w:p>
      <w:pPr>
        <w:pStyle w:val="ListBullet"/>
      </w:pPr>
      <w:r>
        <w:t>Las mediciones se vincularán a feature_id o CTQ_id, evitando fotografías o PDFs sin asociación estructurada.</w:t>
      </w:r>
    </w:p>
    <w:p>
      <w:pPr>
        <w:pStyle w:val="ListBullet"/>
      </w:pPr>
      <w:r>
        <w:t>Una desviación podrá aceptarse, reparar, recalificar por cálculo o rechazar. La decisión y su evidencia quedarán inmutables.</w:t>
      </w:r>
    </w:p>
    <w:p>
      <w:pPr>
        <w:pStyle w:val="ListBullet"/>
      </w:pPr>
      <w:r>
        <w:t>El modelo as-built no sobrescribirá el nominal; se almacenarán ambos y se calcularán diferencias.</w:t>
      </w:r>
    </w:p>
    <w:p>
      <w:pPr>
        <w:pStyle w:val="Heading1"/>
      </w:pPr>
      <w:r>
        <w:t>37. Paquetes documentales y perfiles de destinatario</w:t>
      </w:r>
    </w:p>
    <w:p>
      <w:r>
        <w:t>Cada paquete será un manifiesto versionado de artefactos, no una carpeta manual. El perfil definirá contenido, nivel de detalle, idioma, confidencialidad, firma, marca de agua y formato.</w:t>
      </w:r>
    </w:p>
    <w:tbl>
      <w:tblPr>
        <w:tblStyle w:val="TableGrid"/>
        <w:tblW w:type="auto" w:w="0"/>
        <w:jc w:val="center"/>
        <w:tblLook w:firstColumn="1" w:firstRow="1" w:lastColumn="0" w:lastRow="0" w:noHBand="0" w:noVBand="1" w:val="04A0"/>
      </w:tblPr>
      <w:tblGrid>
        <w:gridCol w:w="5083"/>
        <w:gridCol w:w="5083"/>
      </w:tblGrid>
      <w:tr>
        <w:tc>
          <w:tcPr>
            <w:tcW w:type="dxa" w:w="2268"/>
            <w:vAlign w:val="center"/>
            <w:shd w:fill="D9E1F2"/>
          </w:tcPr>
          <w:p>
            <w:pPr>
              <w:spacing w:after="0"/>
            </w:pPr>
            <w:r/>
            <w:r>
              <w:rPr>
                <w:b/>
              </w:rPr>
              <w:t>Paquete</w:t>
            </w:r>
          </w:p>
        </w:tc>
        <w:tc>
          <w:tcPr>
            <w:tcW w:type="dxa" w:w="7030"/>
            <w:vAlign w:val="center"/>
            <w:shd w:fill="D9E1F2"/>
          </w:tcPr>
          <w:p>
            <w:pPr>
              <w:spacing w:after="0"/>
            </w:pPr>
            <w:r/>
            <w:r>
              <w:rPr>
                <w:b/>
              </w:rPr>
              <w:t>Contenido mínimo</w:t>
            </w:r>
          </w:p>
        </w:tc>
      </w:tr>
      <w:tr>
        <w:tc>
          <w:tcPr>
            <w:tcW w:type="dxa" w:w="2268"/>
            <w:vAlign w:val="center"/>
          </w:tcPr>
          <w:p>
            <w:pPr>
              <w:spacing w:after="0"/>
            </w:pPr>
            <w:r/>
            <w:r>
              <w:rPr>
                <w:b w:val="0"/>
              </w:rPr>
              <w:t>Cliente resumen</w:t>
            </w:r>
          </w:p>
        </w:tc>
        <w:tc>
          <w:tcPr>
            <w:tcW w:type="dxa" w:w="7030"/>
            <w:vAlign w:val="center"/>
          </w:tcPr>
          <w:p>
            <w:pPr>
              <w:spacing w:after="0"/>
            </w:pPr>
            <w:r/>
            <w:r>
              <w:rPr>
                <w:b w:val="0"/>
              </w:rPr>
              <w:t>Ficha, imagen, dimensiones principales, materiales, prestaciones, peso y mantenimiento</w:t>
            </w:r>
          </w:p>
        </w:tc>
      </w:tr>
      <w:tr>
        <w:tc>
          <w:tcPr>
            <w:tcW w:type="dxa" w:w="2268"/>
            <w:vAlign w:val="center"/>
          </w:tcPr>
          <w:p>
            <w:pPr>
              <w:spacing w:after="0"/>
            </w:pPr>
            <w:r/>
            <w:r>
              <w:rPr>
                <w:b w:val="0"/>
              </w:rPr>
              <w:t>Cliente extenso</w:t>
            </w:r>
          </w:p>
        </w:tc>
        <w:tc>
          <w:tcPr>
            <w:tcW w:type="dxa" w:w="7030"/>
            <w:vAlign w:val="center"/>
          </w:tcPr>
          <w:p>
            <w:pPr>
              <w:spacing w:after="0"/>
            </w:pPr>
            <w:r/>
            <w:r>
              <w:rPr>
                <w:b w:val="0"/>
              </w:rPr>
              <w:t>Memoria aprobada, planos de conjunto, certificados y documentación contractual</w:t>
            </w:r>
          </w:p>
        </w:tc>
      </w:tr>
      <w:tr>
        <w:tc>
          <w:tcPr>
            <w:tcW w:type="dxa" w:w="2268"/>
            <w:vAlign w:val="center"/>
          </w:tcPr>
          <w:p>
            <w:pPr>
              <w:spacing w:after="0"/>
            </w:pPr>
            <w:r/>
            <w:r>
              <w:rPr>
                <w:b w:val="0"/>
              </w:rPr>
              <w:t>Producción</w:t>
            </w:r>
          </w:p>
        </w:tc>
        <w:tc>
          <w:tcPr>
            <w:tcW w:type="dxa" w:w="7030"/>
            <w:vAlign w:val="center"/>
          </w:tcPr>
          <w:p>
            <w:pPr>
              <w:spacing w:after="0"/>
            </w:pPr>
            <w:r/>
            <w:r>
              <w:rPr>
                <w:b w:val="0"/>
              </w:rPr>
              <w:t>Planos liberados, MBOM, rutas, WPS, plan de control e instrucciones</w:t>
            </w:r>
          </w:p>
        </w:tc>
      </w:tr>
      <w:tr>
        <w:tc>
          <w:tcPr>
            <w:tcW w:type="dxa" w:w="2268"/>
            <w:vAlign w:val="center"/>
          </w:tcPr>
          <w:p>
            <w:pPr>
              <w:spacing w:after="0"/>
            </w:pPr>
            <w:r/>
            <w:r>
              <w:rPr>
                <w:b w:val="0"/>
              </w:rPr>
              <w:t>Proveedor</w:t>
            </w:r>
          </w:p>
        </w:tc>
        <w:tc>
          <w:tcPr>
            <w:tcW w:type="dxa" w:w="7030"/>
            <w:vAlign w:val="center"/>
          </w:tcPr>
          <w:p>
            <w:pPr>
              <w:spacing w:after="0"/>
            </w:pPr>
            <w:r/>
            <w:r>
              <w:rPr>
                <w:b w:val="0"/>
              </w:rPr>
              <w:t>Solo piezas/operaciones subcontratadas, especificaciones y criterios de aceptación</w:t>
            </w:r>
          </w:p>
        </w:tc>
      </w:tr>
      <w:tr>
        <w:tc>
          <w:tcPr>
            <w:tcW w:type="dxa" w:w="2268"/>
            <w:vAlign w:val="center"/>
          </w:tcPr>
          <w:p>
            <w:pPr>
              <w:spacing w:after="0"/>
            </w:pPr>
            <w:r/>
            <w:r>
              <w:rPr>
                <w:b w:val="0"/>
              </w:rPr>
              <w:t>Compras</w:t>
            </w:r>
          </w:p>
        </w:tc>
        <w:tc>
          <w:tcPr>
            <w:tcW w:type="dxa" w:w="7030"/>
            <w:vAlign w:val="center"/>
          </w:tcPr>
          <w:p>
            <w:pPr>
              <w:spacing w:after="0"/>
            </w:pPr>
            <w:r/>
            <w:r>
              <w:rPr>
                <w:b w:val="0"/>
              </w:rPr>
              <w:t>PBOM, alternativos, requisitos documentales y fechas</w:t>
            </w:r>
          </w:p>
        </w:tc>
      </w:tr>
      <w:tr>
        <w:tc>
          <w:tcPr>
            <w:tcW w:type="dxa" w:w="2268"/>
            <w:vAlign w:val="center"/>
          </w:tcPr>
          <w:p>
            <w:pPr>
              <w:spacing w:after="0"/>
            </w:pPr>
            <w:r/>
            <w:r>
              <w:rPr>
                <w:b w:val="0"/>
              </w:rPr>
              <w:t>Obra</w:t>
            </w:r>
          </w:p>
        </w:tc>
        <w:tc>
          <w:tcPr>
            <w:tcW w:type="dxa" w:w="7030"/>
            <w:vAlign w:val="center"/>
          </w:tcPr>
          <w:p>
            <w:pPr>
              <w:spacing w:after="0"/>
            </w:pPr>
            <w:r/>
            <w:r>
              <w:rPr>
                <w:b w:val="0"/>
              </w:rPr>
              <w:t>Plano de montaje, plantilla, izado, pares, secuencia y controles</w:t>
            </w:r>
          </w:p>
        </w:tc>
      </w:tr>
      <w:tr>
        <w:tc>
          <w:tcPr>
            <w:tcW w:type="dxa" w:w="2268"/>
            <w:vAlign w:val="center"/>
          </w:tcPr>
          <w:p>
            <w:pPr>
              <w:spacing w:after="0"/>
            </w:pPr>
            <w:r/>
            <w:r>
              <w:rPr>
                <w:b w:val="0"/>
              </w:rPr>
              <w:t>Calidad</w:t>
            </w:r>
          </w:p>
        </w:tc>
        <w:tc>
          <w:tcPr>
            <w:tcW w:type="dxa" w:w="7030"/>
            <w:vAlign w:val="center"/>
          </w:tcPr>
          <w:p>
            <w:pPr>
              <w:spacing w:after="0"/>
            </w:pPr>
            <w:r/>
            <w:r>
              <w:rPr>
                <w:b w:val="0"/>
              </w:rPr>
              <w:t>ITP, CTQ, formularios, certificados y dossier as-built</w:t>
            </w:r>
          </w:p>
        </w:tc>
      </w:tr>
      <w:tr>
        <w:tc>
          <w:tcPr>
            <w:tcW w:type="dxa" w:w="2268"/>
            <w:vAlign w:val="center"/>
          </w:tcPr>
          <w:p>
            <w:pPr>
              <w:spacing w:after="0"/>
            </w:pPr>
            <w:r/>
            <w:r>
              <w:rPr>
                <w:b w:val="0"/>
              </w:rPr>
              <w:t>Regulatorio</w:t>
            </w:r>
          </w:p>
        </w:tc>
        <w:tc>
          <w:tcPr>
            <w:tcW w:type="dxa" w:w="7030"/>
            <w:vAlign w:val="center"/>
          </w:tcPr>
          <w:p>
            <w:pPr>
              <w:spacing w:after="0"/>
            </w:pPr>
            <w:r/>
            <w:r>
              <w:rPr>
                <w:b w:val="0"/>
              </w:rPr>
              <w:t>DoP/CE aplicable, evidencias, normas, control de producción</w:t>
            </w:r>
          </w:p>
        </w:tc>
      </w:tr>
      <w:tr>
        <w:tc>
          <w:tcPr>
            <w:tcW w:type="dxa" w:w="2268"/>
            <w:vAlign w:val="center"/>
          </w:tcPr>
          <w:p>
            <w:pPr>
              <w:spacing w:after="0"/>
            </w:pPr>
            <w:r/>
            <w:r>
              <w:rPr>
                <w:b w:val="0"/>
              </w:rPr>
              <w:t>Servicio</w:t>
            </w:r>
          </w:p>
        </w:tc>
        <w:tc>
          <w:tcPr>
            <w:tcW w:type="dxa" w:w="7030"/>
            <w:vAlign w:val="center"/>
          </w:tcPr>
          <w:p>
            <w:pPr>
              <w:spacing w:after="0"/>
            </w:pPr>
            <w:r/>
            <w:r>
              <w:rPr>
                <w:b w:val="0"/>
              </w:rPr>
              <w:t>Service BOM, repuestos, inspección y mantenimiento</w:t>
            </w:r>
          </w:p>
        </w:tc>
      </w:tr>
    </w:tbl>
    <w:p>
      <w:r>
        <w:t>El sistema verificará que no se filtre información restringida —costes, márgenes, know-how, proveedores o detalles de cálculo— a paquetes externos. Cada archivo se firmará con hash y se incluirá en el manifiesto.</w:t>
      </w:r>
    </w:p>
    <w:p>
      <w:pPr>
        <w:pStyle w:val="Heading1"/>
      </w:pPr>
      <w:r>
        <w:t>38. Integraciones y propiedad del dato</w:t>
      </w:r>
    </w:p>
    <w:tbl>
      <w:tblPr>
        <w:tblStyle w:val="TableGrid"/>
        <w:tblW w:type="auto" w:w="0"/>
        <w:jc w:val="center"/>
        <w:tblLook w:firstColumn="1" w:firstRow="1" w:lastColumn="0" w:lastRow="0" w:noHBand="0" w:noVBand="1" w:val="04A0"/>
      </w:tblPr>
      <w:tblGrid>
        <w:gridCol w:w="3389"/>
        <w:gridCol w:w="3389"/>
        <w:gridCol w:w="3389"/>
      </w:tblGrid>
      <w:tr>
        <w:tc>
          <w:tcPr>
            <w:tcW w:type="dxa" w:w="2665"/>
            <w:vAlign w:val="center"/>
            <w:shd w:fill="D9E1F2"/>
          </w:tcPr>
          <w:p>
            <w:pPr>
              <w:spacing w:after="0"/>
            </w:pPr>
            <w:r/>
            <w:r>
              <w:rPr>
                <w:b/>
              </w:rPr>
              <w:t>Dato maestro</w:t>
            </w:r>
          </w:p>
        </w:tc>
        <w:tc>
          <w:tcPr>
            <w:tcW w:type="dxa" w:w="3685"/>
            <w:vAlign w:val="center"/>
            <w:shd w:fill="D9E1F2"/>
          </w:tcPr>
          <w:p>
            <w:pPr>
              <w:spacing w:after="0"/>
            </w:pPr>
            <w:r/>
            <w:r>
              <w:rPr>
                <w:b/>
              </w:rPr>
              <w:t>Sistema propietario propuesto</w:t>
            </w:r>
          </w:p>
        </w:tc>
        <w:tc>
          <w:tcPr>
            <w:tcW w:type="dxa" w:w="4535"/>
            <w:vAlign w:val="center"/>
            <w:shd w:fill="D9E1F2"/>
          </w:tcPr>
          <w:p>
            <w:pPr>
              <w:spacing w:after="0"/>
            </w:pPr>
            <w:r/>
            <w:r>
              <w:rPr>
                <w:b/>
              </w:rPr>
              <w:t>Salvi Studio</w:t>
            </w:r>
          </w:p>
        </w:tc>
      </w:tr>
      <w:tr>
        <w:tc>
          <w:tcPr>
            <w:tcW w:type="dxa" w:w="2665"/>
            <w:vAlign w:val="center"/>
          </w:tcPr>
          <w:p>
            <w:pPr>
              <w:spacing w:after="0"/>
            </w:pPr>
            <w:r/>
            <w:r>
              <w:rPr>
                <w:b w:val="0"/>
              </w:rPr>
              <w:t>Geometría y revisión técnica</w:t>
            </w:r>
          </w:p>
        </w:tc>
        <w:tc>
          <w:tcPr>
            <w:tcW w:type="dxa" w:w="3685"/>
            <w:vAlign w:val="center"/>
          </w:tcPr>
          <w:p>
            <w:pPr>
              <w:spacing w:after="0"/>
            </w:pPr>
            <w:r/>
            <w:r>
              <w:rPr>
                <w:b w:val="0"/>
              </w:rPr>
              <w:t>Salvi Studio / futuro PLM</w:t>
            </w:r>
          </w:p>
        </w:tc>
        <w:tc>
          <w:tcPr>
            <w:tcW w:type="dxa" w:w="4535"/>
            <w:vAlign w:val="center"/>
          </w:tcPr>
          <w:p>
            <w:pPr>
              <w:spacing w:after="0"/>
            </w:pPr>
            <w:r/>
            <w:r>
              <w:rPr>
                <w:b w:val="0"/>
              </w:rPr>
              <w:t>Crea y gobierna</w:t>
            </w:r>
          </w:p>
        </w:tc>
      </w:tr>
      <w:tr>
        <w:tc>
          <w:tcPr>
            <w:tcW w:type="dxa" w:w="2665"/>
            <w:vAlign w:val="center"/>
          </w:tcPr>
          <w:p>
            <w:pPr>
              <w:spacing w:after="0"/>
            </w:pPr>
            <w:r/>
            <w:r>
              <w:rPr>
                <w:b w:val="0"/>
              </w:rPr>
              <w:t>Código comercial y cliente</w:t>
            </w:r>
          </w:p>
        </w:tc>
        <w:tc>
          <w:tcPr>
            <w:tcW w:type="dxa" w:w="3685"/>
            <w:vAlign w:val="center"/>
          </w:tcPr>
          <w:p>
            <w:pPr>
              <w:spacing w:after="0"/>
            </w:pPr>
            <w:r/>
            <w:r>
              <w:rPr>
                <w:b w:val="0"/>
              </w:rPr>
              <w:t>ERP/PIM</w:t>
            </w:r>
          </w:p>
        </w:tc>
        <w:tc>
          <w:tcPr>
            <w:tcW w:type="dxa" w:w="4535"/>
            <w:vAlign w:val="center"/>
          </w:tcPr>
          <w:p>
            <w:pPr>
              <w:spacing w:after="0"/>
            </w:pPr>
            <w:r/>
            <w:r>
              <w:rPr>
                <w:b w:val="0"/>
              </w:rPr>
              <w:t>Consume y vincula</w:t>
            </w:r>
          </w:p>
        </w:tc>
      </w:tr>
      <w:tr>
        <w:tc>
          <w:tcPr>
            <w:tcW w:type="dxa" w:w="2665"/>
            <w:vAlign w:val="center"/>
          </w:tcPr>
          <w:p>
            <w:pPr>
              <w:spacing w:after="0"/>
            </w:pPr>
            <w:r/>
            <w:r>
              <w:rPr>
                <w:b w:val="0"/>
              </w:rPr>
              <w:t>Coste real y proveedor</w:t>
            </w:r>
          </w:p>
        </w:tc>
        <w:tc>
          <w:tcPr>
            <w:tcW w:type="dxa" w:w="3685"/>
            <w:vAlign w:val="center"/>
          </w:tcPr>
          <w:p>
            <w:pPr>
              <w:spacing w:after="0"/>
            </w:pPr>
            <w:r/>
            <w:r>
              <w:rPr>
                <w:b w:val="0"/>
              </w:rPr>
              <w:t>ERP/Compras</w:t>
            </w:r>
          </w:p>
        </w:tc>
        <w:tc>
          <w:tcPr>
            <w:tcW w:type="dxa" w:w="4535"/>
            <w:vAlign w:val="center"/>
          </w:tcPr>
          <w:p>
            <w:pPr>
              <w:spacing w:after="0"/>
            </w:pPr>
            <w:r/>
            <w:r>
              <w:rPr>
                <w:b w:val="0"/>
              </w:rPr>
              <w:t>Consume con permisos</w:t>
            </w:r>
          </w:p>
        </w:tc>
      </w:tr>
      <w:tr>
        <w:tc>
          <w:tcPr>
            <w:tcW w:type="dxa" w:w="2665"/>
            <w:vAlign w:val="center"/>
          </w:tcPr>
          <w:p>
            <w:pPr>
              <w:spacing w:after="0"/>
            </w:pPr>
            <w:r/>
            <w:r>
              <w:rPr>
                <w:b w:val="0"/>
              </w:rPr>
              <w:t>Existencias y plazos</w:t>
            </w:r>
          </w:p>
        </w:tc>
        <w:tc>
          <w:tcPr>
            <w:tcW w:type="dxa" w:w="3685"/>
            <w:vAlign w:val="center"/>
          </w:tcPr>
          <w:p>
            <w:pPr>
              <w:spacing w:after="0"/>
            </w:pPr>
            <w:r/>
            <w:r>
              <w:rPr>
                <w:b w:val="0"/>
              </w:rPr>
              <w:t>ERP/MRP</w:t>
            </w:r>
          </w:p>
        </w:tc>
        <w:tc>
          <w:tcPr>
            <w:tcW w:type="dxa" w:w="4535"/>
            <w:vAlign w:val="center"/>
          </w:tcPr>
          <w:p>
            <w:pPr>
              <w:spacing w:after="0"/>
            </w:pPr>
            <w:r/>
            <w:r>
              <w:rPr>
                <w:b w:val="0"/>
              </w:rPr>
              <w:t>Consulta</w:t>
            </w:r>
          </w:p>
        </w:tc>
      </w:tr>
      <w:tr>
        <w:tc>
          <w:tcPr>
            <w:tcW w:type="dxa" w:w="2665"/>
            <w:vAlign w:val="center"/>
          </w:tcPr>
          <w:p>
            <w:pPr>
              <w:spacing w:after="0"/>
            </w:pPr>
            <w:r/>
            <w:r>
              <w:rPr>
                <w:b w:val="0"/>
              </w:rPr>
              <w:t>Archivos nativos SolidWorks</w:t>
            </w:r>
          </w:p>
        </w:tc>
        <w:tc>
          <w:tcPr>
            <w:tcW w:type="dxa" w:w="3685"/>
            <w:vAlign w:val="center"/>
          </w:tcPr>
          <w:p>
            <w:pPr>
              <w:spacing w:after="0"/>
            </w:pPr>
            <w:r/>
            <w:r>
              <w:rPr>
                <w:b w:val="0"/>
              </w:rPr>
              <w:t>PDM</w:t>
            </w:r>
          </w:p>
        </w:tc>
        <w:tc>
          <w:tcPr>
            <w:tcW w:type="dxa" w:w="4535"/>
            <w:vAlign w:val="center"/>
          </w:tcPr>
          <w:p>
            <w:pPr>
              <w:spacing w:after="0"/>
            </w:pPr>
            <w:r/>
            <w:r>
              <w:rPr>
                <w:b w:val="0"/>
              </w:rPr>
              <w:t>Publica derivados y enlaces</w:t>
            </w:r>
          </w:p>
        </w:tc>
      </w:tr>
      <w:tr>
        <w:tc>
          <w:tcPr>
            <w:tcW w:type="dxa" w:w="2665"/>
            <w:vAlign w:val="center"/>
          </w:tcPr>
          <w:p>
            <w:pPr>
              <w:spacing w:after="0"/>
            </w:pPr>
            <w:r/>
            <w:r>
              <w:rPr>
                <w:b w:val="0"/>
              </w:rPr>
              <w:t>Certificados de calidad</w:t>
            </w:r>
          </w:p>
        </w:tc>
        <w:tc>
          <w:tcPr>
            <w:tcW w:type="dxa" w:w="3685"/>
            <w:vAlign w:val="center"/>
          </w:tcPr>
          <w:p>
            <w:pPr>
              <w:spacing w:after="0"/>
            </w:pPr>
            <w:r/>
            <w:r>
              <w:rPr>
                <w:b w:val="0"/>
              </w:rPr>
              <w:t>QMS/PLM</w:t>
            </w:r>
          </w:p>
        </w:tc>
        <w:tc>
          <w:tcPr>
            <w:tcW w:type="dxa" w:w="4535"/>
            <w:vAlign w:val="center"/>
          </w:tcPr>
          <w:p>
            <w:pPr>
              <w:spacing w:after="0"/>
            </w:pPr>
            <w:r/>
            <w:r>
              <w:rPr>
                <w:b w:val="0"/>
              </w:rPr>
              <w:t>Referencia y empaqueta</w:t>
            </w:r>
          </w:p>
        </w:tc>
      </w:tr>
      <w:tr>
        <w:tc>
          <w:tcPr>
            <w:tcW w:type="dxa" w:w="2665"/>
            <w:vAlign w:val="center"/>
          </w:tcPr>
          <w:p>
            <w:pPr>
              <w:spacing w:after="0"/>
            </w:pPr>
            <w:r/>
            <w:r>
              <w:rPr>
                <w:b w:val="0"/>
              </w:rPr>
              <w:t>As-built y número de serie</w:t>
            </w:r>
          </w:p>
        </w:tc>
        <w:tc>
          <w:tcPr>
            <w:tcW w:type="dxa" w:w="3685"/>
            <w:vAlign w:val="center"/>
          </w:tcPr>
          <w:p>
            <w:pPr>
              <w:spacing w:after="0"/>
            </w:pPr>
            <w:r/>
            <w:r>
              <w:rPr>
                <w:b w:val="0"/>
              </w:rPr>
              <w:t>QMS/ERP</w:t>
            </w:r>
          </w:p>
        </w:tc>
        <w:tc>
          <w:tcPr>
            <w:tcW w:type="dxa" w:w="4535"/>
            <w:vAlign w:val="center"/>
          </w:tcPr>
          <w:p>
            <w:pPr>
              <w:spacing w:after="0"/>
            </w:pPr>
            <w:r/>
            <w:r>
              <w:rPr>
                <w:b w:val="0"/>
              </w:rPr>
              <w:t>Sincroniza</w:t>
            </w:r>
          </w:p>
        </w:tc>
      </w:tr>
    </w:tbl>
    <w:p>
      <w:r>
        <w:t>Las integraciones utilizarán staging, validación y colas idempotentes. Ningún fallo remoto deberá dejar una liberación parcialmente publicada. La publicación será transaccional o tendrá compensación y reintento. Se almacenará correlation_id y estado por destino.</w:t>
      </w:r>
    </w:p>
    <w:p>
      <w:pPr>
        <w:pStyle w:val="Heading1"/>
      </w:pPr>
      <w:r>
        <w:t>39. IA aplicada a documentación industrial</w:t>
      </w:r>
    </w:p>
    <w:p>
      <w:r>
        <w:t>La IA podrá conversar con el usuario para completar campos no críticos, redactar instrucciones, resumir cambios y detectar incoherencias. Toda salida deberá distinguir claramente dato determinista, inferencia y texto editorial.</w:t>
      </w:r>
    </w:p>
    <w:tbl>
      <w:tblPr>
        <w:tblStyle w:val="TableGrid"/>
        <w:tblW w:type="auto" w:w="0"/>
        <w:jc w:val="center"/>
        <w:tblLook w:firstColumn="1" w:firstRow="1" w:lastColumn="0" w:lastRow="0" w:noHBand="0" w:noVBand="1" w:val="04A0"/>
      </w:tblPr>
      <w:tblGrid>
        <w:gridCol w:w="5083"/>
        <w:gridCol w:w="5083"/>
      </w:tblGrid>
      <w:tr>
        <w:tc>
          <w:tcPr>
            <w:tcW w:type="dxa" w:w="4252"/>
            <w:vAlign w:val="center"/>
            <w:shd w:fill="D9E1F2"/>
          </w:tcPr>
          <w:p>
            <w:pPr>
              <w:spacing w:after="0"/>
            </w:pPr>
            <w:r/>
            <w:r>
              <w:rPr>
                <w:b/>
              </w:rPr>
              <w:t>Uso permitido</w:t>
            </w:r>
          </w:p>
        </w:tc>
        <w:tc>
          <w:tcPr>
            <w:tcW w:type="dxa" w:w="6633"/>
            <w:vAlign w:val="center"/>
            <w:shd w:fill="D9E1F2"/>
          </w:tcPr>
          <w:p>
            <w:pPr>
              <w:spacing w:after="0"/>
            </w:pPr>
            <w:r/>
            <w:r>
              <w:rPr>
                <w:b/>
              </w:rPr>
              <w:t>Condición</w:t>
            </w:r>
          </w:p>
        </w:tc>
      </w:tr>
      <w:tr>
        <w:tc>
          <w:tcPr>
            <w:tcW w:type="dxa" w:w="4252"/>
            <w:vAlign w:val="center"/>
          </w:tcPr>
          <w:p>
            <w:pPr>
              <w:spacing w:after="0"/>
            </w:pPr>
            <w:r/>
            <w:r>
              <w:rPr>
                <w:b w:val="0"/>
              </w:rPr>
              <w:t>Redactar instrucciones</w:t>
            </w:r>
          </w:p>
        </w:tc>
        <w:tc>
          <w:tcPr>
            <w:tcW w:type="dxa" w:w="6633"/>
            <w:vAlign w:val="center"/>
          </w:tcPr>
          <w:p>
            <w:pPr>
              <w:spacing w:after="0"/>
            </w:pPr>
            <w:r/>
            <w:r>
              <w:rPr>
                <w:b w:val="0"/>
              </w:rPr>
              <w:t>Solo desde parámetros estructurados y plantilla aprobada</w:t>
            </w:r>
          </w:p>
        </w:tc>
      </w:tr>
      <w:tr>
        <w:tc>
          <w:tcPr>
            <w:tcW w:type="dxa" w:w="4252"/>
            <w:vAlign w:val="center"/>
          </w:tcPr>
          <w:p>
            <w:pPr>
              <w:spacing w:after="0"/>
            </w:pPr>
            <w:r/>
            <w:r>
              <w:rPr>
                <w:b w:val="0"/>
              </w:rPr>
              <w:t>Traducir notas</w:t>
            </w:r>
          </w:p>
        </w:tc>
        <w:tc>
          <w:tcPr>
            <w:tcW w:type="dxa" w:w="6633"/>
            <w:vAlign w:val="center"/>
          </w:tcPr>
          <w:p>
            <w:pPr>
              <w:spacing w:after="0"/>
            </w:pPr>
            <w:r/>
            <w:r>
              <w:rPr>
                <w:b w:val="0"/>
              </w:rPr>
              <w:t>Glosario técnico y revisión de términos críticos</w:t>
            </w:r>
          </w:p>
        </w:tc>
      </w:tr>
      <w:tr>
        <w:tc>
          <w:tcPr>
            <w:tcW w:type="dxa" w:w="4252"/>
            <w:vAlign w:val="center"/>
          </w:tcPr>
          <w:p>
            <w:pPr>
              <w:spacing w:after="0"/>
            </w:pPr>
            <w:r/>
            <w:r>
              <w:rPr>
                <w:b w:val="0"/>
              </w:rPr>
              <w:t>Explicar diferencias entre revisiones</w:t>
            </w:r>
          </w:p>
        </w:tc>
        <w:tc>
          <w:tcPr>
            <w:tcW w:type="dxa" w:w="6633"/>
            <w:vAlign w:val="center"/>
          </w:tcPr>
          <w:p>
            <w:pPr>
              <w:spacing w:after="0"/>
            </w:pPr>
            <w:r/>
            <w:r>
              <w:rPr>
                <w:b w:val="0"/>
              </w:rPr>
              <w:t>Basado en diff estructurado</w:t>
            </w:r>
          </w:p>
        </w:tc>
      </w:tr>
      <w:tr>
        <w:tc>
          <w:tcPr>
            <w:tcW w:type="dxa" w:w="4252"/>
            <w:vAlign w:val="center"/>
          </w:tcPr>
          <w:p>
            <w:pPr>
              <w:spacing w:after="0"/>
            </w:pPr>
            <w:r/>
            <w:r>
              <w:rPr>
                <w:b w:val="0"/>
              </w:rPr>
              <w:t>Clasificar documento heredado</w:t>
            </w:r>
          </w:p>
        </w:tc>
        <w:tc>
          <w:tcPr>
            <w:tcW w:type="dxa" w:w="6633"/>
            <w:vAlign w:val="center"/>
          </w:tcPr>
          <w:p>
            <w:pPr>
              <w:spacing w:after="0"/>
            </w:pPr>
            <w:r/>
            <w:r>
              <w:rPr>
                <w:b w:val="0"/>
              </w:rPr>
              <w:t>Resultado provisional con confianza y revisión</w:t>
            </w:r>
          </w:p>
        </w:tc>
      </w:tr>
      <w:tr>
        <w:tc>
          <w:tcPr>
            <w:tcW w:type="dxa" w:w="4252"/>
            <w:vAlign w:val="center"/>
          </w:tcPr>
          <w:p>
            <w:pPr>
              <w:spacing w:after="0"/>
            </w:pPr>
            <w:r/>
            <w:r>
              <w:rPr>
                <w:b w:val="0"/>
              </w:rPr>
              <w:t>Proponer pregunta faltante</w:t>
            </w:r>
          </w:p>
        </w:tc>
        <w:tc>
          <w:tcPr>
            <w:tcW w:type="dxa" w:w="6633"/>
            <w:vAlign w:val="center"/>
          </w:tcPr>
          <w:p>
            <w:pPr>
              <w:spacing w:after="0"/>
            </w:pPr>
            <w:r/>
            <w:r>
              <w:rPr>
                <w:b w:val="0"/>
              </w:rPr>
              <w:t>No modifica el snapshot hasta confirmación</w:t>
            </w:r>
          </w:p>
        </w:tc>
      </w:tr>
      <w:tr>
        <w:tc>
          <w:tcPr>
            <w:tcW w:type="dxa" w:w="4252"/>
            <w:vAlign w:val="center"/>
          </w:tcPr>
          <w:p>
            <w:pPr>
              <w:spacing w:after="0"/>
            </w:pPr>
            <w:r/>
            <w:r>
              <w:rPr>
                <w:b w:val="0"/>
              </w:rPr>
              <w:t>Detectar contradicción</w:t>
            </w:r>
          </w:p>
        </w:tc>
        <w:tc>
          <w:tcPr>
            <w:tcW w:type="dxa" w:w="6633"/>
            <w:vAlign w:val="center"/>
          </w:tcPr>
          <w:p>
            <w:pPr>
              <w:spacing w:after="0"/>
            </w:pPr>
            <w:r/>
            <w:r>
              <w:rPr>
                <w:b w:val="0"/>
              </w:rPr>
              <w:t>Genera alerta; no decide el valor correcto</w:t>
            </w:r>
          </w:p>
        </w:tc>
      </w:tr>
    </w:tbl>
    <w:p>
      <w:r>
        <w:t>Queda prohibido que la IA invente cotas, tolerancias, WPS, materiales, cantidades, proveedores, códigos, resultados de cálculo o criterios de aceptación. Los textos generados conservarán prompt template id, modelo, versión, entradas y aprobador.</w:t>
      </w:r>
    </w:p>
    <w:p>
      <w:pPr>
        <w:pStyle w:val="Heading1"/>
      </w:pPr>
      <w:r>
        <w:t>40. Gate de liberación industrial y auditoría</w:t>
      </w:r>
    </w:p>
    <w:p>
      <w:r>
        <w:t>La liberación se implementará como una máquina de estados con validaciones automáticas y aprobaciones explícitas. Los estados mínimos serán DRAFT, GENERATED, CHECKED, ENGINEERING_APPROVED, INDUSTRIAL_APPROVED, RELEASED, SUPERSEDED y OBSOLETE.</w:t>
      </w:r>
    </w:p>
    <w:tbl>
      <w:tblPr>
        <w:tblStyle w:val="TableGrid"/>
        <w:tblW w:type="auto" w:w="0"/>
        <w:jc w:val="center"/>
        <w:tblLook w:firstColumn="1" w:firstRow="1" w:lastColumn="0" w:lastRow="0" w:noHBand="0" w:noVBand="1" w:val="04A0"/>
      </w:tblPr>
      <w:tblGrid>
        <w:gridCol w:w="5083"/>
        <w:gridCol w:w="5083"/>
      </w:tblGrid>
      <w:tr>
        <w:tc>
          <w:tcPr>
            <w:tcW w:type="dxa" w:w="2324"/>
            <w:vAlign w:val="center"/>
            <w:shd w:fill="D9E1F2"/>
          </w:tcPr>
          <w:p>
            <w:pPr>
              <w:spacing w:after="0"/>
            </w:pPr>
            <w:r/>
            <w:r>
              <w:rPr>
                <w:b/>
              </w:rPr>
              <w:t>Gate</w:t>
            </w:r>
          </w:p>
        </w:tc>
        <w:tc>
          <w:tcPr>
            <w:tcW w:type="dxa" w:w="6917"/>
            <w:vAlign w:val="center"/>
            <w:shd w:fill="D9E1F2"/>
          </w:tcPr>
          <w:p>
            <w:pPr>
              <w:spacing w:after="0"/>
            </w:pPr>
            <w:r/>
            <w:r>
              <w:rPr>
                <w:b/>
              </w:rPr>
              <w:t>Validaciones mínimas</w:t>
            </w:r>
          </w:p>
        </w:tc>
      </w:tr>
      <w:tr>
        <w:tc>
          <w:tcPr>
            <w:tcW w:type="dxa" w:w="2324"/>
            <w:vAlign w:val="center"/>
          </w:tcPr>
          <w:p>
            <w:pPr>
              <w:spacing w:after="0"/>
            </w:pPr>
            <w:r/>
            <w:r>
              <w:rPr>
                <w:b w:val="0"/>
              </w:rPr>
              <w:t>G1 Geometría</w:t>
            </w:r>
          </w:p>
        </w:tc>
        <w:tc>
          <w:tcPr>
            <w:tcW w:type="dxa" w:w="6917"/>
            <w:vAlign w:val="center"/>
          </w:tcPr>
          <w:p>
            <w:pPr>
              <w:spacing w:after="0"/>
            </w:pPr>
            <w:r/>
            <w:r>
              <w:rPr>
                <w:b w:val="0"/>
              </w:rPr>
              <w:t>Sólidos válidos, interfaces, masas, ausencia de colisiones críticas</w:t>
            </w:r>
          </w:p>
        </w:tc>
      </w:tr>
      <w:tr>
        <w:tc>
          <w:tcPr>
            <w:tcW w:type="dxa" w:w="2324"/>
            <w:vAlign w:val="center"/>
          </w:tcPr>
          <w:p>
            <w:pPr>
              <w:spacing w:after="0"/>
            </w:pPr>
            <w:r/>
            <w:r>
              <w:rPr>
                <w:b w:val="0"/>
              </w:rPr>
              <w:t>G2 Ingeniería</w:t>
            </w:r>
          </w:p>
        </w:tc>
        <w:tc>
          <w:tcPr>
            <w:tcW w:type="dxa" w:w="6917"/>
            <w:vAlign w:val="center"/>
          </w:tcPr>
          <w:p>
            <w:pPr>
              <w:spacing w:after="0"/>
            </w:pPr>
            <w:r/>
            <w:r>
              <w:rPr>
                <w:b w:val="0"/>
              </w:rPr>
              <w:t>Revisión estructural vigente, materiales y detalles coherentes</w:t>
            </w:r>
          </w:p>
        </w:tc>
      </w:tr>
      <w:tr>
        <w:tc>
          <w:tcPr>
            <w:tcW w:type="dxa" w:w="2324"/>
            <w:vAlign w:val="center"/>
          </w:tcPr>
          <w:p>
            <w:pPr>
              <w:spacing w:after="0"/>
            </w:pPr>
            <w:r/>
            <w:r>
              <w:rPr>
                <w:b w:val="0"/>
              </w:rPr>
              <w:t>G3 Industrial</w:t>
            </w:r>
          </w:p>
        </w:tc>
        <w:tc>
          <w:tcPr>
            <w:tcW w:type="dxa" w:w="6917"/>
            <w:vAlign w:val="center"/>
          </w:tcPr>
          <w:p>
            <w:pPr>
              <w:spacing w:after="0"/>
            </w:pPr>
            <w:r/>
            <w:r>
              <w:rPr>
                <w:b w:val="0"/>
              </w:rPr>
              <w:t>Fabricabilidad, capacidad, rutas, utillajes y proveedores</w:t>
            </w:r>
          </w:p>
        </w:tc>
      </w:tr>
      <w:tr>
        <w:tc>
          <w:tcPr>
            <w:tcW w:type="dxa" w:w="2324"/>
            <w:vAlign w:val="center"/>
          </w:tcPr>
          <w:p>
            <w:pPr>
              <w:spacing w:after="0"/>
            </w:pPr>
            <w:r/>
            <w:r>
              <w:rPr>
                <w:b w:val="0"/>
              </w:rPr>
              <w:t>G4 Documentos</w:t>
            </w:r>
          </w:p>
        </w:tc>
        <w:tc>
          <w:tcPr>
            <w:tcW w:type="dxa" w:w="6917"/>
            <w:vAlign w:val="center"/>
          </w:tcPr>
          <w:p>
            <w:pPr>
              <w:spacing w:after="0"/>
            </w:pPr>
            <w:r/>
            <w:r>
              <w:rPr>
                <w:b w:val="0"/>
              </w:rPr>
              <w:t>Planos, BOM, instrucciones y paquetes completos</w:t>
            </w:r>
          </w:p>
        </w:tc>
      </w:tr>
      <w:tr>
        <w:tc>
          <w:tcPr>
            <w:tcW w:type="dxa" w:w="2324"/>
            <w:vAlign w:val="center"/>
          </w:tcPr>
          <w:p>
            <w:pPr>
              <w:spacing w:after="0"/>
            </w:pPr>
            <w:r/>
            <w:r>
              <w:rPr>
                <w:b w:val="0"/>
              </w:rPr>
              <w:t>G5 Reconciliación</w:t>
            </w:r>
          </w:p>
        </w:tc>
        <w:tc>
          <w:tcPr>
            <w:tcW w:type="dxa" w:w="6917"/>
            <w:vAlign w:val="center"/>
          </w:tcPr>
          <w:p>
            <w:pPr>
              <w:spacing w:after="0"/>
            </w:pPr>
            <w:r/>
            <w:r>
              <w:rPr>
                <w:b w:val="0"/>
              </w:rPr>
              <w:t>CAD-BOM-plano-ruta-cálculo sin discrepancias bloqueantes</w:t>
            </w:r>
          </w:p>
        </w:tc>
      </w:tr>
      <w:tr>
        <w:tc>
          <w:tcPr>
            <w:tcW w:type="dxa" w:w="2324"/>
            <w:vAlign w:val="center"/>
          </w:tcPr>
          <w:p>
            <w:pPr>
              <w:spacing w:after="0"/>
            </w:pPr>
            <w:r/>
            <w:r>
              <w:rPr>
                <w:b w:val="0"/>
              </w:rPr>
              <w:t>G6 Publicación</w:t>
            </w:r>
          </w:p>
        </w:tc>
        <w:tc>
          <w:tcPr>
            <w:tcW w:type="dxa" w:w="6917"/>
            <w:vAlign w:val="center"/>
          </w:tcPr>
          <w:p>
            <w:pPr>
              <w:spacing w:after="0"/>
            </w:pPr>
            <w:r/>
            <w:r>
              <w:rPr>
                <w:b w:val="0"/>
              </w:rPr>
              <w:t>Aprobaciones, effectivity, firma, hashes y destinos preparados</w:t>
            </w:r>
          </w:p>
        </w:tc>
      </w:tr>
    </w:tbl>
    <w:p>
      <w:r>
        <w:t>Cada excepción tendrá alcance, justificación, riesgo, aprobador y fecha de caducidad. Las excepciones no podrán ocultarse y aparecerán en los paquetes internos. La auditoría registrará quién cambió qué, desde qué valor, a qué valor, por qué y qué artefactos fueron invalidados o regenerados.</w:t>
      </w:r>
    </w:p>
    <w:p>
      <w:pPr>
        <w:pStyle w:val="Heading2"/>
      </w:pPr>
      <w:r>
        <w:t>40.1 Criterios adicionales de aceptación v0.2</w:t>
      </w:r>
    </w:p>
    <w:p>
      <w:pPr>
        <w:pStyle w:val="ListBullet"/>
      </w:pPr>
      <w:r>
        <w:t>Regeneración reproducible del 100 % de golden masters dentro de tolerancias definidas.</w:t>
      </w:r>
    </w:p>
    <w:p>
      <w:pPr>
        <w:pStyle w:val="ListBullet"/>
      </w:pPr>
      <w:r>
        <w:t>Cero diferencias no explicadas entre CAD, BOM, planos y rutas en casos de liberación.</w:t>
      </w:r>
    </w:p>
    <w:p>
      <w:pPr>
        <w:pStyle w:val="ListBullet"/>
      </w:pPr>
      <w:r>
        <w:t>Reconstrucción correcta de DXF y verificación de todas las capas en pilotos CAM.</w:t>
      </w:r>
    </w:p>
    <w:p>
      <w:pPr>
        <w:pStyle w:val="ListBullet"/>
      </w:pPr>
      <w:r>
        <w:t>Generación de planos sin colisiones de anotación en al menos 95 % de casos estándar; el resto deberá generar tarea de revisión, no documento defectuoso.</w:t>
      </w:r>
    </w:p>
    <w:p>
      <w:pPr>
        <w:pStyle w:val="ListBullet"/>
      </w:pPr>
      <w:r>
        <w:t>Publicación idempotente a sistemas externos y recuperación tras fallos simulados.</w:t>
      </w:r>
    </w:p>
    <w:p>
      <w:pPr>
        <w:pStyle w:val="ListBullet"/>
      </w:pPr>
      <w:r>
        <w:t>Trazabilidad completa desde cada CTQ hasta plano, operación, inspección y registro as-built.</w:t>
      </w:r>
    </w:p>
    <w:p>
      <w:pPr>
        <w:pStyle w:val="ListBullet"/>
      </w:pPr>
      <w:r>
        <w:t>Prueba piloto con una columna estándar y una especial por cada material antes de liberar el módulo.</w:t>
      </w:r>
    </w:p>
    <w:p>
      <w:pPr>
        <w:pStyle w:val="Heading1"/>
      </w:pPr>
      <w:r>
        <w:t>41. Decisiones pendientes para v1.0</w:t>
      </w:r>
    </w:p>
    <w:p>
      <w:pPr>
        <w:pStyle w:val="ListBullet"/>
        <w:spacing w:after="30"/>
        <w:ind w:left="288" w:hanging="173"/>
      </w:pPr>
      <w:r>
        <w:t>Kernel CAD definitivo y modelo de licencia.</w:t>
      </w:r>
    </w:p>
    <w:p>
      <w:pPr>
        <w:pStyle w:val="ListBullet"/>
        <w:spacing w:after="30"/>
        <w:ind w:left="288" w:hanging="173"/>
      </w:pPr>
      <w:r>
        <w:t>Alcance exacto de integración SolidWorks.</w:t>
      </w:r>
    </w:p>
    <w:p>
      <w:pPr>
        <w:pStyle w:val="ListBullet"/>
        <w:spacing w:after="30"/>
        <w:ind w:left="288" w:hanging="173"/>
      </w:pPr>
      <w:r>
        <w:t>ERP/PDM/PLM objetivo y propietarios de datos.</w:t>
      </w:r>
    </w:p>
    <w:p>
      <w:pPr>
        <w:pStyle w:val="ListBullet"/>
        <w:spacing w:after="30"/>
        <w:ind w:left="288" w:hanging="173"/>
      </w:pPr>
      <w:r>
        <w:t>Convención final de códigos y revisiones.</w:t>
      </w:r>
    </w:p>
    <w:p>
      <w:pPr>
        <w:pStyle w:val="ListBullet"/>
        <w:spacing w:after="30"/>
        <w:ind w:left="288" w:hanging="173"/>
      </w:pPr>
      <w:r>
        <w:t>Plantillas corporativas de planos.</w:t>
      </w:r>
    </w:p>
    <w:p>
      <w:pPr>
        <w:pStyle w:val="ListBullet"/>
        <w:spacing w:after="30"/>
        <w:ind w:left="288" w:hanging="173"/>
      </w:pPr>
      <w:r>
        <w:t>Capacidades reales de plantas y proveedores.</w:t>
      </w:r>
    </w:p>
    <w:p>
      <w:pPr>
        <w:pStyle w:val="ListBullet"/>
        <w:spacing w:after="30"/>
        <w:ind w:left="288" w:hanging="173"/>
      </w:pPr>
      <w:r>
        <w:t>Reglas de merma y tiempos estándar.</w:t>
      </w:r>
    </w:p>
    <w:p>
      <w:pPr>
        <w:pStyle w:val="ListBullet"/>
        <w:spacing w:after="30"/>
        <w:ind w:left="288" w:hanging="173"/>
      </w:pPr>
      <w:r>
        <w:t>Umbrales bloqueantes de reconciliación.</w:t>
      </w:r>
    </w:p>
    <w:p>
      <w:pPr>
        <w:pStyle w:val="ListBullet"/>
        <w:spacing w:after="30"/>
        <w:ind w:left="288" w:hanging="173"/>
      </w:pPr>
      <w:r>
        <w:t>Firma electrónica y flujo de aprobación.</w:t>
      </w:r>
    </w:p>
    <w:p>
      <w:pPr>
        <w:pStyle w:val="ListBullet"/>
        <w:spacing w:after="30"/>
        <w:ind w:left="288" w:hanging="173"/>
      </w:pPr>
      <w:r>
        <w:t>Política de almacenamiento y retención CAD.</w:t>
      </w:r>
    </w:p>
    <w:p>
      <w:pPr>
        <w:pStyle w:val="ListBullet"/>
        <w:spacing w:after="30"/>
        <w:ind w:left="288" w:hanging="173"/>
      </w:pPr>
      <w:r>
        <w:t>Formatos nativos que se exigirán a proveedores.</w:t>
      </w:r>
    </w:p>
    <w:p>
      <w:pPr>
        <w:pStyle w:val="ListBullet"/>
        <w:spacing w:after="30"/>
        <w:ind w:left="288" w:hanging="173"/>
      </w:pPr>
      <w:r>
        <w:t>Nivel de detalle de armaduras de cimentación en futuras ampliaciones.</w:t>
      </w:r>
    </w:p>
    <w:p>
      <w:pPr>
        <w:pStyle w:val="Heading1"/>
      </w:pPr>
      <w:r>
        <w:t>42. Hoja de ruta de implementación</w:t>
      </w:r>
    </w:p>
    <w:tbl>
      <w:tblPr>
        <w:tblStyle w:val="TableGrid"/>
        <w:tblW w:type="auto" w:w="0"/>
        <w:jc w:val="center"/>
        <w:tblLook w:firstColumn="1" w:firstRow="1" w:lastColumn="0" w:lastRow="0" w:noHBand="0" w:noVBand="1" w:val="04A0"/>
      </w:tblPr>
      <w:tblGrid>
        <w:gridCol w:w="5083"/>
        <w:gridCol w:w="5083"/>
      </w:tblGrid>
      <w:tr>
        <w:tc>
          <w:tcPr>
            <w:tcW w:type="dxa" w:w="1728"/>
            <w:shd w:fill="000000"/>
            <w:vAlign w:val="center"/>
          </w:tcPr>
          <w:p>
            <w:pPr>
              <w:pStyle w:val="TableText"/>
              <w:spacing w:after="0"/>
            </w:pPr>
            <w:r/>
            <w:r>
              <w:rPr>
                <w:rFonts w:ascii="Arial" w:hAnsi="Arial"/>
                <w:b/>
                <w:color w:val="FFFFFF"/>
                <w:sz w:val="15"/>
              </w:rPr>
              <w:t>Iteración</w:t>
            </w:r>
          </w:p>
        </w:tc>
        <w:tc>
          <w:tcPr>
            <w:tcW w:type="dxa" w:w="8352"/>
            <w:shd w:fill="000000"/>
            <w:vAlign w:val="center"/>
          </w:tcPr>
          <w:p>
            <w:pPr>
              <w:pStyle w:val="TableText"/>
              <w:spacing w:after="0"/>
            </w:pPr>
            <w:r/>
            <w:r>
              <w:rPr>
                <w:rFonts w:ascii="Arial" w:hAnsi="Arial"/>
                <w:b/>
                <w:color w:val="FFFFFF"/>
                <w:sz w:val="15"/>
              </w:rPr>
              <w:t>Contenido</w:t>
            </w:r>
          </w:p>
        </w:tc>
      </w:tr>
      <w:tr>
        <w:tc>
          <w:tcPr>
            <w:tcW w:type="dxa" w:w="1728"/>
            <w:vAlign w:val="center"/>
          </w:tcPr>
          <w:p>
            <w:pPr>
              <w:pStyle w:val="TableText"/>
              <w:spacing w:after="0"/>
            </w:pPr>
            <w:r/>
            <w:r>
              <w:rPr>
                <w:rFonts w:ascii="Arial" w:hAnsi="Arial"/>
                <w:b w:val="0"/>
                <w:sz w:val="14"/>
              </w:rPr>
              <w:t>14.1</w:t>
            </w:r>
          </w:p>
        </w:tc>
        <w:tc>
          <w:tcPr>
            <w:tcW w:type="dxa" w:w="8352"/>
            <w:vAlign w:val="center"/>
          </w:tcPr>
          <w:p>
            <w:pPr>
              <w:pStyle w:val="TableText"/>
              <w:spacing w:after="0"/>
            </w:pPr>
            <w:r/>
            <w:r>
              <w:rPr>
                <w:rFonts w:ascii="Arial" w:hAnsi="Arial"/>
                <w:b w:val="0"/>
                <w:sz w:val="14"/>
              </w:rPr>
              <w:t>ProductSnapshot, jerarquía y artefactos.</w:t>
            </w:r>
          </w:p>
        </w:tc>
      </w:tr>
      <w:tr>
        <w:tc>
          <w:tcPr>
            <w:tcW w:type="dxa" w:w="1728"/>
            <w:vAlign w:val="center"/>
          </w:tcPr>
          <w:p>
            <w:pPr>
              <w:pStyle w:val="TableText"/>
              <w:spacing w:after="0"/>
            </w:pPr>
            <w:r/>
            <w:r>
              <w:rPr>
                <w:rFonts w:ascii="Arial" w:hAnsi="Arial"/>
                <w:b w:val="0"/>
                <w:sz w:val="14"/>
              </w:rPr>
              <w:t>14.2</w:t>
            </w:r>
          </w:p>
        </w:tc>
        <w:tc>
          <w:tcPr>
            <w:tcW w:type="dxa" w:w="8352"/>
            <w:vAlign w:val="center"/>
          </w:tcPr>
          <w:p>
            <w:pPr>
              <w:pStyle w:val="TableText"/>
              <w:spacing w:after="0"/>
            </w:pPr>
            <w:r/>
            <w:r>
              <w:rPr>
                <w:rFonts w:ascii="Arial" w:hAnsi="Arial"/>
                <w:b w:val="0"/>
                <w:sz w:val="14"/>
              </w:rPr>
              <w:t>Kernel CAD, fustes y ensamblajes.</w:t>
            </w:r>
          </w:p>
        </w:tc>
      </w:tr>
      <w:tr>
        <w:tc>
          <w:tcPr>
            <w:tcW w:type="dxa" w:w="1728"/>
            <w:vAlign w:val="center"/>
          </w:tcPr>
          <w:p>
            <w:pPr>
              <w:pStyle w:val="TableText"/>
              <w:spacing w:after="0"/>
            </w:pPr>
            <w:r/>
            <w:r>
              <w:rPr>
                <w:rFonts w:ascii="Arial" w:hAnsi="Arial"/>
                <w:b w:val="0"/>
                <w:sz w:val="14"/>
              </w:rPr>
              <w:t>14.3</w:t>
            </w:r>
          </w:p>
        </w:tc>
        <w:tc>
          <w:tcPr>
            <w:tcW w:type="dxa" w:w="8352"/>
            <w:vAlign w:val="center"/>
          </w:tcPr>
          <w:p>
            <w:pPr>
              <w:pStyle w:val="TableText"/>
              <w:spacing w:after="0"/>
            </w:pPr>
            <w:r/>
            <w:r>
              <w:rPr>
                <w:rFonts w:ascii="Arial" w:hAnsi="Arial"/>
                <w:b w:val="0"/>
                <w:sz w:val="14"/>
              </w:rPr>
              <w:t>DXF y desarrollos.</w:t>
            </w:r>
          </w:p>
        </w:tc>
      </w:tr>
      <w:tr>
        <w:tc>
          <w:tcPr>
            <w:tcW w:type="dxa" w:w="1728"/>
            <w:vAlign w:val="center"/>
          </w:tcPr>
          <w:p>
            <w:pPr>
              <w:pStyle w:val="TableText"/>
              <w:spacing w:after="0"/>
            </w:pPr>
            <w:r/>
            <w:r>
              <w:rPr>
                <w:rFonts w:ascii="Arial" w:hAnsi="Arial"/>
                <w:b w:val="0"/>
                <w:sz w:val="14"/>
              </w:rPr>
              <w:t>14.4</w:t>
            </w:r>
          </w:p>
        </w:tc>
        <w:tc>
          <w:tcPr>
            <w:tcW w:type="dxa" w:w="8352"/>
            <w:vAlign w:val="center"/>
          </w:tcPr>
          <w:p>
            <w:pPr>
              <w:pStyle w:val="TableText"/>
              <w:spacing w:after="0"/>
            </w:pPr>
            <w:r/>
            <w:r>
              <w:rPr>
                <w:rFonts w:ascii="Arial" w:hAnsi="Arial"/>
                <w:b w:val="0"/>
                <w:sz w:val="14"/>
              </w:rPr>
              <w:t>STEP, GLB y visor.</w:t>
            </w:r>
          </w:p>
        </w:tc>
      </w:tr>
      <w:tr>
        <w:tc>
          <w:tcPr>
            <w:tcW w:type="dxa" w:w="1728"/>
            <w:vAlign w:val="center"/>
          </w:tcPr>
          <w:p>
            <w:pPr>
              <w:pStyle w:val="TableText"/>
              <w:spacing w:after="0"/>
            </w:pPr>
            <w:r/>
            <w:r>
              <w:rPr>
                <w:rFonts w:ascii="Arial" w:hAnsi="Arial"/>
                <w:b w:val="0"/>
                <w:sz w:val="14"/>
              </w:rPr>
              <w:t>14.5</w:t>
            </w:r>
          </w:p>
        </w:tc>
        <w:tc>
          <w:tcPr>
            <w:tcW w:type="dxa" w:w="8352"/>
            <w:vAlign w:val="center"/>
          </w:tcPr>
          <w:p>
            <w:pPr>
              <w:pStyle w:val="TableText"/>
              <w:spacing w:after="0"/>
            </w:pPr>
            <w:r/>
            <w:r>
              <w:rPr>
                <w:rFonts w:ascii="Arial" w:hAnsi="Arial"/>
                <w:b w:val="0"/>
                <w:sz w:val="14"/>
              </w:rPr>
              <w:t>Planos y PMI.</w:t>
            </w:r>
          </w:p>
        </w:tc>
      </w:tr>
      <w:tr>
        <w:tc>
          <w:tcPr>
            <w:tcW w:type="dxa" w:w="1728"/>
            <w:vAlign w:val="center"/>
          </w:tcPr>
          <w:p>
            <w:pPr>
              <w:pStyle w:val="TableText"/>
              <w:spacing w:after="0"/>
            </w:pPr>
            <w:r/>
            <w:r>
              <w:rPr>
                <w:rFonts w:ascii="Arial" w:hAnsi="Arial"/>
                <w:b w:val="0"/>
                <w:sz w:val="14"/>
              </w:rPr>
              <w:t>14.6</w:t>
            </w:r>
          </w:p>
        </w:tc>
        <w:tc>
          <w:tcPr>
            <w:tcW w:type="dxa" w:w="8352"/>
            <w:vAlign w:val="center"/>
          </w:tcPr>
          <w:p>
            <w:pPr>
              <w:pStyle w:val="TableText"/>
              <w:spacing w:after="0"/>
            </w:pPr>
            <w:r/>
            <w:r>
              <w:rPr>
                <w:rFonts w:ascii="Arial" w:hAnsi="Arial"/>
                <w:b w:val="0"/>
                <w:sz w:val="14"/>
              </w:rPr>
              <w:t>BOM multinivel y propiedades físicas.</w:t>
            </w:r>
          </w:p>
        </w:tc>
      </w:tr>
      <w:tr>
        <w:tc>
          <w:tcPr>
            <w:tcW w:type="dxa" w:w="1728"/>
            <w:vAlign w:val="center"/>
          </w:tcPr>
          <w:p>
            <w:pPr>
              <w:pStyle w:val="TableText"/>
              <w:spacing w:after="0"/>
            </w:pPr>
            <w:r/>
            <w:r>
              <w:rPr>
                <w:rFonts w:ascii="Arial" w:hAnsi="Arial"/>
                <w:b w:val="0"/>
                <w:sz w:val="14"/>
              </w:rPr>
              <w:t>14.7</w:t>
            </w:r>
          </w:p>
        </w:tc>
        <w:tc>
          <w:tcPr>
            <w:tcW w:type="dxa" w:w="8352"/>
            <w:vAlign w:val="center"/>
          </w:tcPr>
          <w:p>
            <w:pPr>
              <w:pStyle w:val="TableText"/>
              <w:spacing w:after="0"/>
            </w:pPr>
            <w:r/>
            <w:r>
              <w:rPr>
                <w:rFonts w:ascii="Arial" w:hAnsi="Arial"/>
                <w:b w:val="0"/>
                <w:sz w:val="14"/>
              </w:rPr>
              <w:t>Rutas, instrucciones y calidad.</w:t>
            </w:r>
          </w:p>
        </w:tc>
      </w:tr>
      <w:tr>
        <w:tc>
          <w:tcPr>
            <w:tcW w:type="dxa" w:w="1728"/>
            <w:vAlign w:val="center"/>
          </w:tcPr>
          <w:p>
            <w:pPr>
              <w:pStyle w:val="TableText"/>
              <w:spacing w:after="0"/>
            </w:pPr>
            <w:r/>
            <w:r>
              <w:rPr>
                <w:rFonts w:ascii="Arial" w:hAnsi="Arial"/>
                <w:b w:val="0"/>
                <w:sz w:val="14"/>
              </w:rPr>
              <w:t>14.8</w:t>
            </w:r>
          </w:p>
        </w:tc>
        <w:tc>
          <w:tcPr>
            <w:tcW w:type="dxa" w:w="8352"/>
            <w:vAlign w:val="center"/>
          </w:tcPr>
          <w:p>
            <w:pPr>
              <w:pStyle w:val="TableText"/>
              <w:spacing w:after="0"/>
            </w:pPr>
            <w:r/>
            <w:r>
              <w:rPr>
                <w:rFonts w:ascii="Arial" w:hAnsi="Arial"/>
                <w:b w:val="0"/>
                <w:sz w:val="14"/>
              </w:rPr>
              <w:t>Paquetes documentales y liberación.</w:t>
            </w:r>
          </w:p>
        </w:tc>
      </w:tr>
      <w:tr>
        <w:tc>
          <w:tcPr>
            <w:tcW w:type="dxa" w:w="1728"/>
            <w:vAlign w:val="center"/>
          </w:tcPr>
          <w:p>
            <w:pPr>
              <w:pStyle w:val="TableText"/>
              <w:spacing w:after="0"/>
            </w:pPr>
            <w:r/>
            <w:r>
              <w:rPr>
                <w:rFonts w:ascii="Arial" w:hAnsi="Arial"/>
                <w:b w:val="0"/>
                <w:sz w:val="14"/>
              </w:rPr>
              <w:t>14.9</w:t>
            </w:r>
          </w:p>
        </w:tc>
        <w:tc>
          <w:tcPr>
            <w:tcW w:type="dxa" w:w="8352"/>
            <w:vAlign w:val="center"/>
          </w:tcPr>
          <w:p>
            <w:pPr>
              <w:pStyle w:val="TableText"/>
              <w:spacing w:after="0"/>
            </w:pPr>
            <w:r/>
            <w:r>
              <w:rPr>
                <w:rFonts w:ascii="Arial" w:hAnsi="Arial"/>
                <w:b w:val="0"/>
                <w:sz w:val="14"/>
              </w:rPr>
              <w:t>SolidWorks y ERP piloto.</w:t>
            </w:r>
          </w:p>
        </w:tc>
      </w:tr>
      <w:tr>
        <w:tc>
          <w:tcPr>
            <w:tcW w:type="dxa" w:w="1728"/>
            <w:vAlign w:val="center"/>
          </w:tcPr>
          <w:p>
            <w:pPr>
              <w:pStyle w:val="TableText"/>
              <w:spacing w:after="0"/>
            </w:pPr>
            <w:r/>
            <w:r>
              <w:rPr>
                <w:rFonts w:ascii="Arial" w:hAnsi="Arial"/>
                <w:b w:val="0"/>
                <w:sz w:val="14"/>
              </w:rPr>
              <w:t>14.10</w:t>
            </w:r>
          </w:p>
        </w:tc>
        <w:tc>
          <w:tcPr>
            <w:tcW w:type="dxa" w:w="8352"/>
            <w:vAlign w:val="center"/>
          </w:tcPr>
          <w:p>
            <w:pPr>
              <w:pStyle w:val="TableText"/>
              <w:spacing w:after="0"/>
            </w:pPr>
            <w:r/>
            <w:r>
              <w:rPr>
                <w:rFonts w:ascii="Arial" w:hAnsi="Arial"/>
                <w:b w:val="0"/>
                <w:sz w:val="14"/>
              </w:rPr>
              <w:t>Fabricación piloto y cierre v1.0.</w:t>
            </w:r>
          </w:p>
        </w:tc>
      </w:tr>
    </w:tbl>
    <w:p>
      <w:pPr>
        <w:spacing w:after="20"/>
      </w:pPr>
    </w:p>
    <w:p>
      <w:pPr>
        <w:pStyle w:val="Heading1"/>
      </w:pPr>
      <w:r>
        <w:t>Anexo A. Contrato mínimo de ProductSnapshot</w:t>
      </w:r>
    </w:p>
    <w:p>
      <w:pPr>
        <w:pStyle w:val="CaptionSmall"/>
      </w:pPr>
      <w:r>
        <w:rPr>
          <w:rFonts w:ascii="Courier New" w:hAnsi="Courier New"/>
          <w:sz w:val="15"/>
        </w:rPr>
        <w:t>{</w:t>
        <w:br/>
        <w:t xml:space="preserve">  "product_id": "COL-...",</w:t>
        <w:br/>
        <w:t xml:space="preserve">  "revision": "A",</w:t>
        <w:br/>
        <w:t xml:space="preserve">  "maturity": "ENGINEERING_APPROVED",</w:t>
        <w:br/>
        <w:t xml:space="preserve">  "source_revision_hash": "sha256:...",</w:t>
        <w:br/>
        <w:t xml:space="preserve">  "normative_snapshot_id": "...",</w:t>
        <w:br/>
        <w:t xml:space="preserve">  "geometry": {"assembly_id": "...", "units": "mm"},</w:t>
        <w:br/>
        <w:t xml:space="preserve">  "materials": [...],</w:t>
        <w:br/>
        <w:t xml:space="preserve">  "interfaces": [...],</w:t>
        <w:br/>
        <w:t xml:space="preserve">  "welds": [...],</w:t>
        <w:br/>
        <w:t xml:space="preserve">  "finishes": [...],</w:t>
        <w:br/>
        <w:t xml:space="preserve">  "verification_refs": [...],</w:t>
        <w:br/>
        <w:t xml:space="preserve">  "bom_policy_id": "...",</w:t>
        <w:br/>
        <w:t xml:space="preserve">  "routing_policy_id": "...",</w:t>
        <w:br/>
        <w:t xml:space="preserve">  "document_profile_id": "..."</w:t>
        <w:br/>
        <w:t>}</w:t>
      </w:r>
    </w:p>
    <w:p>
      <w:pPr>
        <w:pStyle w:val="Heading1"/>
      </w:pPr>
      <w:r>
        <w:t>Anexo B. Regla de liberación simplificada</w:t>
      </w:r>
    </w:p>
    <w:p>
      <w:pPr>
        <w:pStyle w:val="ListNumber"/>
        <w:spacing w:after="30"/>
      </w:pPr>
      <w:r>
        <w:t>El snapshot está congelado y técnicamente aprobado.</w:t>
      </w:r>
    </w:p>
    <w:p>
      <w:pPr>
        <w:pStyle w:val="ListNumber"/>
        <w:spacing w:after="30"/>
      </w:pPr>
      <w:r>
        <w:t>Todos los artefactos proceden del mismo hash.</w:t>
      </w:r>
    </w:p>
    <w:p>
      <w:pPr>
        <w:pStyle w:val="ListNumber"/>
        <w:spacing w:after="30"/>
      </w:pPr>
      <w:r>
        <w:t>No hay errores BLOCKING ni excepciones vencidas.</w:t>
      </w:r>
    </w:p>
    <w:p>
      <w:pPr>
        <w:pStyle w:val="ListNumber"/>
        <w:spacing w:after="30"/>
      </w:pPr>
      <w:r>
        <w:t>CAD, BOM, planos y rutas están reconciliados.</w:t>
      </w:r>
    </w:p>
    <w:p>
      <w:pPr>
        <w:pStyle w:val="ListNumber"/>
        <w:spacing w:after="30"/>
      </w:pPr>
      <w:r>
        <w:t>Las referencias y procesos están homologados.</w:t>
      </w:r>
    </w:p>
    <w:p>
      <w:pPr>
        <w:pStyle w:val="ListNumber"/>
        <w:spacing w:after="30"/>
      </w:pPr>
      <w:r>
        <w:t>Los paquetes exigidos están generados.</w:t>
      </w:r>
    </w:p>
    <w:p>
      <w:pPr>
        <w:pStyle w:val="ListNumber"/>
        <w:spacing w:after="30"/>
      </w:pPr>
      <w:r>
        <w:t>Las aprobaciones requeridas están registradas.</w:t>
      </w:r>
    </w:p>
    <w:p>
      <w:pPr>
        <w:pStyle w:val="ListNumber"/>
        <w:spacing w:after="30"/>
      </w:pPr>
      <w:r>
        <w:t>La revisión tiene effectivity definida.</w:t>
      </w:r>
    </w:p>
    <w:p>
      <w:r>
        <w:br w:type="page"/>
      </w:r>
    </w:p>
    <w:p>
      <w:pPr>
        <w:pStyle w:val="Heading1"/>
      </w:pPr>
      <w:r>
        <w:t>43. Modelo de información industrial completo</w:t>
      </w:r>
    </w:p>
    <w:p>
      <w:r>
        <w:t>La fase deberá implantar un modelo de información industrial explícito, normalizado y versionado. No será suficiente almacenar archivos; cada artefacto deberá estar relacionado con la revisión técnica que lo originó, con los objetos de producto a los que aplica y con el estado de liberación correspondiente.</w:t>
      </w:r>
    </w:p>
    <w:p>
      <w:pPr>
        <w:pStyle w:val="Heading2"/>
      </w:pPr>
      <w:r>
        <w:t>43.1 Entidades maestras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9EAD3"/>
            <w:vAlign w:val="center"/>
          </w:tcPr>
          <w:p>
            <w:r>
              <w:rPr>
                <w:b/>
              </w:rPr>
              <w:t>Entidad</w:t>
            </w:r>
          </w:p>
        </w:tc>
        <w:tc>
          <w:tcPr>
            <w:tcW w:type="dxa" w:w="3389"/>
            <w:shd w:fill="D9EAD3"/>
            <w:vAlign w:val="center"/>
          </w:tcPr>
          <w:p>
            <w:r>
              <w:rPr>
                <w:b/>
              </w:rPr>
              <w:t>Contenido mínimo</w:t>
            </w:r>
          </w:p>
        </w:tc>
        <w:tc>
          <w:tcPr>
            <w:tcW w:type="dxa" w:w="3389"/>
            <w:shd w:fill="D9EAD3"/>
            <w:vAlign w:val="center"/>
          </w:tcPr>
          <w:p>
            <w:r>
              <w:rPr>
                <w:b/>
              </w:rPr>
              <w:t>Regla de identidad</w:t>
            </w:r>
          </w:p>
        </w:tc>
      </w:tr>
      <w:tr>
        <w:tc>
          <w:tcPr>
            <w:tcW w:type="dxa" w:w="3389"/>
            <w:vAlign w:val="top"/>
          </w:tcPr>
          <w:p>
            <w:r>
              <w:t>ProductDefinition</w:t>
            </w:r>
          </w:p>
        </w:tc>
        <w:tc>
          <w:tcPr>
            <w:tcW w:type="dxa" w:w="3389"/>
            <w:vAlign w:val="top"/>
          </w:tcPr>
          <w:p>
            <w:r>
              <w:t>Familia, modelo, variante, material, configuración y dominio de uso</w:t>
            </w:r>
          </w:p>
        </w:tc>
        <w:tc>
          <w:tcPr>
            <w:tcW w:type="dxa" w:w="3389"/>
            <w:vAlign w:val="top"/>
          </w:tcPr>
          <w:p>
            <w:r>
              <w:t>Código técnico estable, independiente del idioma y del ERP</w:t>
            </w:r>
          </w:p>
        </w:tc>
      </w:tr>
      <w:tr>
        <w:tc>
          <w:tcPr>
            <w:tcW w:type="dxa" w:w="3389"/>
            <w:vAlign w:val="top"/>
          </w:tcPr>
          <w:p>
            <w:r>
              <w:t>PartDefinition</w:t>
            </w:r>
          </w:p>
        </w:tc>
        <w:tc>
          <w:tcPr>
            <w:tcW w:type="dxa" w:w="3389"/>
            <w:vAlign w:val="top"/>
          </w:tcPr>
          <w:p>
            <w:r>
              <w:t>Pieza, materia prima, geometría, material, tratamiento y masa</w:t>
            </w:r>
          </w:p>
        </w:tc>
        <w:tc>
          <w:tcPr>
            <w:tcW w:type="dxa" w:w="3389"/>
            <w:vAlign w:val="top"/>
          </w:tcPr>
          <w:p>
            <w:r>
              <w:t>Número de pieza inmutable por revisión liberada</w:t>
            </w:r>
          </w:p>
        </w:tc>
      </w:tr>
      <w:tr>
        <w:tc>
          <w:tcPr>
            <w:tcW w:type="dxa" w:w="3389"/>
            <w:vAlign w:val="top"/>
          </w:tcPr>
          <w:p>
            <w:r>
              <w:t>AssemblyDefinition</w:t>
            </w:r>
          </w:p>
        </w:tc>
        <w:tc>
          <w:tcPr>
            <w:tcW w:type="dxa" w:w="3389"/>
            <w:vAlign w:val="top"/>
          </w:tcPr>
          <w:p>
            <w:r>
              <w:t>Estructura de montaje y relaciones padre-hijo</w:t>
            </w:r>
          </w:p>
        </w:tc>
        <w:tc>
          <w:tcPr>
            <w:tcW w:type="dxa" w:w="3389"/>
            <w:vAlign w:val="top"/>
          </w:tcPr>
          <w:p>
            <w:r>
              <w:t>Identificador de ensamblaje más revisión</w:t>
            </w:r>
          </w:p>
        </w:tc>
      </w:tr>
      <w:tr>
        <w:tc>
          <w:tcPr>
            <w:tcW w:type="dxa" w:w="3389"/>
            <w:vAlign w:val="top"/>
          </w:tcPr>
          <w:p>
            <w:r>
              <w:t>FeatureDefinition</w:t>
            </w:r>
          </w:p>
        </w:tc>
        <w:tc>
          <w:tcPr>
            <w:tcW w:type="dxa" w:w="3389"/>
            <w:vAlign w:val="top"/>
          </w:tcPr>
          <w:p>
            <w:r>
              <w:t>Operación paramétrica, entradas, referencias y dependencias</w:t>
            </w:r>
          </w:p>
        </w:tc>
        <w:tc>
          <w:tcPr>
            <w:tcW w:type="dxa" w:w="3389"/>
            <w:vAlign w:val="top"/>
          </w:tcPr>
          <w:p>
            <w:r>
              <w:t>UUID estable dentro del feature graph</w:t>
            </w:r>
          </w:p>
        </w:tc>
      </w:tr>
      <w:tr>
        <w:tc>
          <w:tcPr>
            <w:tcW w:type="dxa" w:w="3389"/>
            <w:vAlign w:val="top"/>
          </w:tcPr>
          <w:p>
            <w:r>
              <w:t>DocumentDefinition</w:t>
            </w:r>
          </w:p>
        </w:tc>
        <w:tc>
          <w:tcPr>
            <w:tcW w:type="dxa" w:w="3389"/>
            <w:vAlign w:val="top"/>
          </w:tcPr>
          <w:p>
            <w:r>
              <w:t>Tipo, plantilla, idioma, estado, hash y destinatario</w:t>
            </w:r>
          </w:p>
        </w:tc>
        <w:tc>
          <w:tcPr>
            <w:tcW w:type="dxa" w:w="3389"/>
            <w:vAlign w:val="top"/>
          </w:tcPr>
          <w:p>
            <w:r>
              <w:t>Número documental más revisión</w:t>
            </w:r>
          </w:p>
        </w:tc>
      </w:tr>
      <w:tr>
        <w:tc>
          <w:tcPr>
            <w:tcW w:type="dxa" w:w="3389"/>
            <w:vAlign w:val="top"/>
          </w:tcPr>
          <w:p>
            <w:r>
              <w:t>ManufacturingOperation</w:t>
            </w:r>
          </w:p>
        </w:tc>
        <w:tc>
          <w:tcPr>
            <w:tcW w:type="dxa" w:w="3389"/>
            <w:vAlign w:val="top"/>
          </w:tcPr>
          <w:p>
            <w:r>
              <w:t>Centro de trabajo, secuencia, recursos, parámetros y tiempos</w:t>
            </w:r>
          </w:p>
        </w:tc>
        <w:tc>
          <w:tcPr>
            <w:tcW w:type="dxa" w:w="3389"/>
            <w:vAlign w:val="top"/>
          </w:tcPr>
          <w:p>
            <w:r>
              <w:t>Código de operación versionado</w:t>
            </w:r>
          </w:p>
        </w:tc>
      </w:tr>
      <w:tr>
        <w:tc>
          <w:tcPr>
            <w:tcW w:type="dxa" w:w="3389"/>
            <w:vAlign w:val="top"/>
          </w:tcPr>
          <w:p>
            <w:r>
              <w:t>InspectionCharacteristic</w:t>
            </w:r>
          </w:p>
        </w:tc>
        <w:tc>
          <w:tcPr>
            <w:tcW w:type="dxa" w:w="3389"/>
            <w:vAlign w:val="top"/>
          </w:tcPr>
          <w:p>
            <w:r>
              <w:t>Característica, método, tolerancia, frecuencia y evidencia</w:t>
            </w:r>
          </w:p>
        </w:tc>
        <w:tc>
          <w:tcPr>
            <w:tcW w:type="dxa" w:w="3389"/>
            <w:vAlign w:val="top"/>
          </w:tcPr>
          <w:p>
            <w:r>
              <w:t>ID CTQ ligado a pieza/operación</w:t>
            </w:r>
          </w:p>
        </w:tc>
      </w:tr>
      <w:tr>
        <w:tc>
          <w:tcPr>
            <w:tcW w:type="dxa" w:w="3389"/>
            <w:vAlign w:val="top"/>
          </w:tcPr>
          <w:p>
            <w:r>
              <w:t>SupplierCapability</w:t>
            </w:r>
          </w:p>
        </w:tc>
        <w:tc>
          <w:tcPr>
            <w:tcW w:type="dxa" w:w="3389"/>
            <w:vAlign w:val="top"/>
          </w:tcPr>
          <w:p>
            <w:r>
              <w:t>Proceso, rango dimensional, tolerancia, materiales, certificaciones</w:t>
            </w:r>
          </w:p>
        </w:tc>
        <w:tc>
          <w:tcPr>
            <w:tcW w:type="dxa" w:w="3389"/>
            <w:vAlign w:val="top"/>
          </w:tcPr>
          <w:p>
            <w:r>
              <w:t>Proveedor-planta-proceso-revisión</w:t>
            </w:r>
          </w:p>
        </w:tc>
      </w:tr>
      <w:tr>
        <w:tc>
          <w:tcPr>
            <w:tcW w:type="dxa" w:w="3389"/>
            <w:vAlign w:val="top"/>
          </w:tcPr>
          <w:p>
            <w:r>
              <w:t>ReleasePackage</w:t>
            </w:r>
          </w:p>
        </w:tc>
        <w:tc>
          <w:tcPr>
            <w:tcW w:type="dxa" w:w="3389"/>
            <w:vAlign w:val="top"/>
          </w:tcPr>
          <w:p>
            <w:r>
              <w:t>Conjunto congelado de CAD, BOM, planos, rutas y documentos</w:t>
            </w:r>
          </w:p>
        </w:tc>
        <w:tc>
          <w:tcPr>
            <w:tcW w:type="dxa" w:w="3389"/>
            <w:vAlign w:val="top"/>
          </w:tcPr>
          <w:p>
            <w:r>
              <w:t>Hash compuesto de todos los artefactos</w:t>
            </w:r>
          </w:p>
        </w:tc>
      </w:tr>
    </w:tbl>
    <w:p/>
    <w:p>
      <w:pPr>
        <w:pStyle w:val="Heading2"/>
      </w:pPr>
      <w:r>
        <w:t>43.2 Estados y procedencia de datos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9EAD3"/>
            <w:vAlign w:val="center"/>
          </w:tcPr>
          <w:p>
            <w:r>
              <w:rPr>
                <w:b/>
              </w:rPr>
              <w:t>Estado</w:t>
            </w:r>
          </w:p>
        </w:tc>
        <w:tc>
          <w:tcPr>
            <w:tcW w:type="dxa" w:w="3389"/>
            <w:shd w:fill="D9EAD3"/>
            <w:vAlign w:val="center"/>
          </w:tcPr>
          <w:p>
            <w:r>
              <w:rPr>
                <w:b/>
              </w:rPr>
              <w:t>Significado</w:t>
            </w:r>
          </w:p>
        </w:tc>
        <w:tc>
          <w:tcPr>
            <w:tcW w:type="dxa" w:w="3389"/>
            <w:shd w:fill="D9EAD3"/>
            <w:vAlign w:val="center"/>
          </w:tcPr>
          <w:p>
            <w:r>
              <w:rPr>
                <w:b/>
              </w:rPr>
              <w:t>Uso permitido</w:t>
            </w:r>
          </w:p>
        </w:tc>
      </w:tr>
      <w:tr>
        <w:tc>
          <w:tcPr>
            <w:tcW w:type="dxa" w:w="3389"/>
            <w:vAlign w:val="top"/>
          </w:tcPr>
          <w:p>
            <w:r>
              <w:t>DRAFT</w:t>
            </w:r>
          </w:p>
        </w:tc>
        <w:tc>
          <w:tcPr>
            <w:tcW w:type="dxa" w:w="3389"/>
            <w:vAlign w:val="top"/>
          </w:tcPr>
          <w:p>
            <w:r>
              <w:t>Dato en edición</w:t>
            </w:r>
          </w:p>
        </w:tc>
        <w:tc>
          <w:tcPr>
            <w:tcW w:type="dxa" w:w="3389"/>
            <w:vAlign w:val="top"/>
          </w:tcPr>
          <w:p>
            <w:r>
              <w:t>No puede alimentar fabricación</w:t>
            </w:r>
          </w:p>
        </w:tc>
      </w:tr>
      <w:tr>
        <w:tc>
          <w:tcPr>
            <w:tcW w:type="dxa" w:w="3389"/>
            <w:vAlign w:val="top"/>
          </w:tcPr>
          <w:p>
            <w:r>
              <w:t>IMPORTED</w:t>
            </w:r>
          </w:p>
        </w:tc>
        <w:tc>
          <w:tcPr>
            <w:tcW w:type="dxa" w:w="3389"/>
            <w:vAlign w:val="top"/>
          </w:tcPr>
          <w:p>
            <w:r>
              <w:t>Importado sin validación completa</w:t>
            </w:r>
          </w:p>
        </w:tc>
        <w:tc>
          <w:tcPr>
            <w:tcW w:type="dxa" w:w="3389"/>
            <w:vAlign w:val="top"/>
          </w:tcPr>
          <w:p>
            <w:r>
              <w:t>Solo previsualización o análisis</w:t>
            </w:r>
          </w:p>
        </w:tc>
      </w:tr>
      <w:tr>
        <w:tc>
          <w:tcPr>
            <w:tcW w:type="dxa" w:w="3389"/>
            <w:vAlign w:val="top"/>
          </w:tcPr>
          <w:p>
            <w:r>
              <w:t>CALCULATED</w:t>
            </w:r>
          </w:p>
        </w:tc>
        <w:tc>
          <w:tcPr>
            <w:tcW w:type="dxa" w:w="3389"/>
            <w:vAlign w:val="top"/>
          </w:tcPr>
          <w:p>
            <w:r>
              <w:t>Generado por motor determinista</w:t>
            </w:r>
          </w:p>
        </w:tc>
        <w:tc>
          <w:tcPr>
            <w:tcW w:type="dxa" w:w="3389"/>
            <w:vAlign w:val="top"/>
          </w:tcPr>
          <w:p>
            <w:r>
              <w:t>Válido si el motor y bibliotecas están aprobados</w:t>
            </w:r>
          </w:p>
        </w:tc>
      </w:tr>
      <w:tr>
        <w:tc>
          <w:tcPr>
            <w:tcW w:type="dxa" w:w="3389"/>
            <w:vAlign w:val="top"/>
          </w:tcPr>
          <w:p>
            <w:r>
              <w:t>CONFIRMED</w:t>
            </w:r>
          </w:p>
        </w:tc>
        <w:tc>
          <w:tcPr>
            <w:tcW w:type="dxa" w:w="3389"/>
            <w:vAlign w:val="top"/>
          </w:tcPr>
          <w:p>
            <w:r>
              <w:t>Confirmado por usuario competente</w:t>
            </w:r>
          </w:p>
        </w:tc>
        <w:tc>
          <w:tcPr>
            <w:tcW w:type="dxa" w:w="3389"/>
            <w:vAlign w:val="top"/>
          </w:tcPr>
          <w:p>
            <w:r>
              <w:t>Puede alimentar una revisión</w:t>
            </w:r>
          </w:p>
        </w:tc>
      </w:tr>
      <w:tr>
        <w:tc>
          <w:tcPr>
            <w:tcW w:type="dxa" w:w="3389"/>
            <w:vAlign w:val="top"/>
          </w:tcPr>
          <w:p>
            <w:r>
              <w:t>APPROVED</w:t>
            </w:r>
          </w:p>
        </w:tc>
        <w:tc>
          <w:tcPr>
            <w:tcW w:type="dxa" w:w="3389"/>
            <w:vAlign w:val="top"/>
          </w:tcPr>
          <w:p>
            <w:r>
              <w:t>Aprobado por Oficina Técnica</w:t>
            </w:r>
          </w:p>
        </w:tc>
        <w:tc>
          <w:tcPr>
            <w:tcW w:type="dxa" w:w="3389"/>
            <w:vAlign w:val="top"/>
          </w:tcPr>
          <w:p>
            <w:r>
              <w:t>Puede entrar en paquete de liberación</w:t>
            </w:r>
          </w:p>
        </w:tc>
      </w:tr>
      <w:tr>
        <w:tc>
          <w:tcPr>
            <w:tcW w:type="dxa" w:w="3389"/>
            <w:vAlign w:val="top"/>
          </w:tcPr>
          <w:p>
            <w:r>
              <w:t>RELEASED</w:t>
            </w:r>
          </w:p>
        </w:tc>
        <w:tc>
          <w:tcPr>
            <w:tcW w:type="dxa" w:w="3389"/>
            <w:vAlign w:val="top"/>
          </w:tcPr>
          <w:p>
            <w:r>
              <w:t>Congelado y publicado</w:t>
            </w:r>
          </w:p>
        </w:tc>
        <w:tc>
          <w:tcPr>
            <w:tcW w:type="dxa" w:w="3389"/>
            <w:vAlign w:val="top"/>
          </w:tcPr>
          <w:p>
            <w:r>
              <w:t>Apto para uso industrial según alcance</w:t>
            </w:r>
          </w:p>
        </w:tc>
      </w:tr>
      <w:tr>
        <w:tc>
          <w:tcPr>
            <w:tcW w:type="dxa" w:w="3389"/>
            <w:vAlign w:val="top"/>
          </w:tcPr>
          <w:p>
            <w:r>
              <w:t>AS_BUILT</w:t>
            </w:r>
          </w:p>
        </w:tc>
        <w:tc>
          <w:tcPr>
            <w:tcW w:type="dxa" w:w="3389"/>
            <w:vAlign w:val="top"/>
          </w:tcPr>
          <w:p>
            <w:r>
              <w:t>Medición o configuración real de fabricación</w:t>
            </w:r>
          </w:p>
        </w:tc>
        <w:tc>
          <w:tcPr>
            <w:tcW w:type="dxa" w:w="3389"/>
            <w:vAlign w:val="top"/>
          </w:tcPr>
          <w:p>
            <w:r>
              <w:t>Base de trazabilidad y mantenimiento</w:t>
            </w:r>
          </w:p>
        </w:tc>
      </w:tr>
      <w:tr>
        <w:tc>
          <w:tcPr>
            <w:tcW w:type="dxa" w:w="3389"/>
            <w:vAlign w:val="top"/>
          </w:tcPr>
          <w:p>
            <w:r>
              <w:t>OBSOLETE</w:t>
            </w:r>
          </w:p>
        </w:tc>
        <w:tc>
          <w:tcPr>
            <w:tcW w:type="dxa" w:w="3389"/>
            <w:vAlign w:val="top"/>
          </w:tcPr>
          <w:p>
            <w:r>
              <w:t>No válido para nuevas liberaciones</w:t>
            </w:r>
          </w:p>
        </w:tc>
        <w:tc>
          <w:tcPr>
            <w:tcW w:type="dxa" w:w="3389"/>
            <w:vAlign w:val="top"/>
          </w:tcPr>
          <w:p>
            <w:r>
              <w:t>Conservado solo para histórico</w:t>
            </w:r>
          </w:p>
        </w:tc>
      </w:tr>
    </w:tbl>
    <w:p/>
    <w:p>
      <w:r>
        <w:t>Cada atributo crítico deberá incluir valor, unidad, estado, fuente, fecha, usuario o servicio de origen, versión de biblioteca, regla de cálculo y nivel de confianza. Los atributos sin procedencia no podrán superar el gate G2 de liberación.</w:t>
      </w:r>
    </w:p>
    <w:p>
      <w:pPr>
        <w:pStyle w:val="Heading1"/>
      </w:pPr>
      <w:r>
        <w:t>44. Contrato detallado del ProductSnapshot</w:t>
      </w:r>
    </w:p>
    <w:p>
      <w:r>
        <w:t>El ProductSnapshot será el contrato inmutable entre las fases de diseño y la industrialización. Deberá ser autocontenido para reconstruir los artefactos oficiales sin consultar datos volátiles externos.</w:t>
      </w:r>
    </w:p>
    <w:p>
      <w:pPr>
        <w:pStyle w:val="Heading2"/>
      </w:pPr>
      <w:r>
        <w:t>44.1 Bloques obligatorios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AD3"/>
            <w:vAlign w:val="center"/>
          </w:tcPr>
          <w:p>
            <w:r>
              <w:rPr>
                <w:b/>
              </w:rPr>
              <w:t>Bloque</w:t>
            </w:r>
          </w:p>
        </w:tc>
        <w:tc>
          <w:tcPr>
            <w:tcW w:type="dxa" w:w="5083"/>
            <w:shd w:fill="D9EAD3"/>
            <w:vAlign w:val="center"/>
          </w:tcPr>
          <w:p>
            <w:r>
              <w:rPr>
                <w:b/>
              </w:rPr>
              <w:t>Contenido</w:t>
            </w:r>
          </w:p>
        </w:tc>
      </w:tr>
      <w:tr>
        <w:tc>
          <w:tcPr>
            <w:tcW w:type="dxa" w:w="5083"/>
            <w:vAlign w:val="top"/>
          </w:tcPr>
          <w:p>
            <w:r>
              <w:t>identity</w:t>
            </w:r>
          </w:p>
        </w:tc>
        <w:tc>
          <w:tcPr>
            <w:tcW w:type="dxa" w:w="5083"/>
            <w:vAlign w:val="top"/>
          </w:tcPr>
          <w:p>
            <w:r>
              <w:t>Proyecto, producto, variante, revisión, estado, cliente, mercado y códigos</w:t>
            </w:r>
          </w:p>
        </w:tc>
      </w:tr>
      <w:tr>
        <w:tc>
          <w:tcPr>
            <w:tcW w:type="dxa" w:w="5083"/>
            <w:vAlign w:val="top"/>
          </w:tcPr>
          <w:p>
            <w:r>
              <w:t>normative_context</w:t>
            </w:r>
          </w:p>
        </w:tc>
        <w:tc>
          <w:tcPr>
            <w:tcW w:type="dxa" w:w="5083"/>
            <w:vAlign w:val="top"/>
          </w:tcPr>
          <w:p>
            <w:r>
              <w:t>Normas, ediciones, anexos nacionales y reglas internas aplicadas</w:t>
            </w:r>
          </w:p>
        </w:tc>
      </w:tr>
      <w:tr>
        <w:tc>
          <w:tcPr>
            <w:tcW w:type="dxa" w:w="5083"/>
            <w:vAlign w:val="top"/>
          </w:tcPr>
          <w:p>
            <w:r>
              <w:t>geometry</w:t>
            </w:r>
          </w:p>
        </w:tc>
        <w:tc>
          <w:tcPr>
            <w:tcW w:type="dxa" w:w="5083"/>
            <w:vAlign w:val="top"/>
          </w:tcPr>
          <w:p>
            <w:r>
              <w:t>Árbol geométrico canónico, estaciones, secciones, uniones y referencias</w:t>
            </w:r>
          </w:p>
        </w:tc>
      </w:tr>
      <w:tr>
        <w:tc>
          <w:tcPr>
            <w:tcW w:type="dxa" w:w="5083"/>
            <w:vAlign w:val="top"/>
          </w:tcPr>
          <w:p>
            <w:r>
              <w:t>materials</w:t>
            </w:r>
          </w:p>
        </w:tc>
        <w:tc>
          <w:tcPr>
            <w:tcW w:type="dxa" w:w="5083"/>
            <w:vAlign w:val="top"/>
          </w:tcPr>
          <w:p>
            <w:r>
              <w:t>Materiales, productos, espesores, tratamientos y propiedades aprobadas</w:t>
            </w:r>
          </w:p>
        </w:tc>
      </w:tr>
      <w:tr>
        <w:tc>
          <w:tcPr>
            <w:tcW w:type="dxa" w:w="5083"/>
            <w:vAlign w:val="top"/>
          </w:tcPr>
          <w:p>
            <w:r>
              <w:t>structural_results</w:t>
            </w:r>
          </w:p>
        </w:tc>
        <w:tc>
          <w:tcPr>
            <w:tcW w:type="dxa" w:w="5083"/>
            <w:vAlign w:val="top"/>
          </w:tcPr>
          <w:p>
            <w:r>
              <w:t>Casos gobernantes, utilizaciones, deformaciones y restricciones de diseño</w:t>
            </w:r>
          </w:p>
        </w:tc>
      </w:tr>
      <w:tr>
        <w:tc>
          <w:tcPr>
            <w:tcW w:type="dxa" w:w="5083"/>
            <w:vAlign w:val="top"/>
          </w:tcPr>
          <w:p>
            <w:r>
              <w:t>manufacturing_constraints</w:t>
            </w:r>
          </w:p>
        </w:tc>
        <w:tc>
          <w:tcPr>
            <w:tcW w:type="dxa" w:w="5083"/>
            <w:vAlign w:val="top"/>
          </w:tcPr>
          <w:p>
            <w:r>
              <w:t>Procesos, límites de máquina, longitudes, tolerancias y proveedores</w:t>
            </w:r>
          </w:p>
        </w:tc>
      </w:tr>
      <w:tr>
        <w:tc>
          <w:tcPr>
            <w:tcW w:type="dxa" w:w="5083"/>
            <w:vAlign w:val="top"/>
          </w:tcPr>
          <w:p>
            <w:r>
              <w:t>bom_seed</w:t>
            </w:r>
          </w:p>
        </w:tc>
        <w:tc>
          <w:tcPr>
            <w:tcW w:type="dxa" w:w="5083"/>
            <w:vAlign w:val="top"/>
          </w:tcPr>
          <w:p>
            <w:r>
              <w:t>Componentes funcionales, cantidades lógicas y relaciones</w:t>
            </w:r>
          </w:p>
        </w:tc>
      </w:tr>
      <w:tr>
        <w:tc>
          <w:tcPr>
            <w:tcW w:type="dxa" w:w="5083"/>
            <w:vAlign w:val="top"/>
          </w:tcPr>
          <w:p>
            <w:r>
              <w:t>quality_requirements</w:t>
            </w:r>
          </w:p>
        </w:tc>
        <w:tc>
          <w:tcPr>
            <w:tcW w:type="dxa" w:w="5083"/>
            <w:vAlign w:val="top"/>
          </w:tcPr>
          <w:p>
            <w:r>
              <w:t>CTQ, inspecciones, END y criterios de aceptación</w:t>
            </w:r>
          </w:p>
        </w:tc>
      </w:tr>
      <w:tr>
        <w:tc>
          <w:tcPr>
            <w:tcW w:type="dxa" w:w="5083"/>
            <w:vAlign w:val="top"/>
          </w:tcPr>
          <w:p>
            <w:r>
              <w:t>commercial_context</w:t>
            </w:r>
          </w:p>
        </w:tc>
        <w:tc>
          <w:tcPr>
            <w:tcW w:type="dxa" w:w="5083"/>
            <w:vAlign w:val="top"/>
          </w:tcPr>
          <w:p>
            <w:r>
              <w:t>Costes autorizados, moneda, fecha base y reglas de margen</w:t>
            </w:r>
          </w:p>
        </w:tc>
      </w:tr>
      <w:tr>
        <w:tc>
          <w:tcPr>
            <w:tcW w:type="dxa" w:w="5083"/>
            <w:vAlign w:val="top"/>
          </w:tcPr>
          <w:p>
            <w:r>
              <w:t>document_profile</w:t>
            </w:r>
          </w:p>
        </w:tc>
        <w:tc>
          <w:tcPr>
            <w:tcW w:type="dxa" w:w="5083"/>
            <w:vAlign w:val="top"/>
          </w:tcPr>
          <w:p>
            <w:r>
              <w:t>Idiomas, destinatarios, confidencialidad, plantillas y marca</w:t>
            </w:r>
          </w:p>
        </w:tc>
      </w:tr>
      <w:tr>
        <w:tc>
          <w:tcPr>
            <w:tcW w:type="dxa" w:w="5083"/>
            <w:vAlign w:val="top"/>
          </w:tcPr>
          <w:p>
            <w:r>
              <w:t>provenance</w:t>
            </w:r>
          </w:p>
        </w:tc>
        <w:tc>
          <w:tcPr>
            <w:tcW w:type="dxa" w:w="5083"/>
            <w:vAlign w:val="top"/>
          </w:tcPr>
          <w:p>
            <w:r>
              <w:t>Hashes, versiones de motores, bibliotecas y usuarios aprobadores</w:t>
            </w:r>
          </w:p>
        </w:tc>
      </w:tr>
    </w:tbl>
    <w:p/>
    <w:p>
      <w:pPr>
        <w:pStyle w:val="Heading2"/>
      </w:pPr>
      <w:r>
        <w:t>44.2 Reglas de inmutabilidad</w:t>
      </w:r>
    </w:p>
    <w:p>
      <w:pPr>
        <w:pStyle w:val="ListBullet"/>
      </w:pPr>
      <w:r>
        <w:t>Un ProductSnapshot liberado no se modifica; cualquier cambio genera una nueva revisión.</w:t>
      </w:r>
    </w:p>
    <w:p>
      <w:pPr>
        <w:pStyle w:val="ListBullet"/>
      </w:pPr>
      <w:r>
        <w:t>Los precios y plazos podrán refrescarse en una vista comercial, pero no alterarán el snapshot técnico liberado.</w:t>
      </w:r>
    </w:p>
    <w:p>
      <w:pPr>
        <w:pStyle w:val="ListBullet"/>
      </w:pPr>
      <w:r>
        <w:t>Los enlaces a proveedores deberán guardar una copia congelada de la especificación utilizada.</w:t>
      </w:r>
    </w:p>
    <w:p>
      <w:pPr>
        <w:pStyle w:val="ListBullet"/>
      </w:pPr>
      <w:r>
        <w:t>La regeneración con el mismo snapshot y la misma versión del motor deberá producir geometría y BOM equivalentes dentro de tolerancias definidas.</w:t>
      </w:r>
    </w:p>
    <w:p>
      <w:pPr>
        <w:pStyle w:val="ListBullet"/>
      </w:pPr>
      <w:r>
        <w:t>Cualquier dependencia ausente, obsoleta o no aprobada deberá bloquear la publicación.</w:t>
      </w:r>
    </w:p>
    <w:p>
      <w:pPr>
        <w:pStyle w:val="Heading2"/>
      </w:pPr>
      <w:r>
        <w:t>44.3 Ejemplo mínimo de contrato</w:t>
      </w:r>
    </w:p>
    <w:p>
      <w:pPr>
        <w:ind w:left="283"/>
      </w:pPr>
      <w:r>
        <w:rPr>
          <w:rFonts w:ascii="Consolas" w:hAnsi="Consolas"/>
          <w:sz w:val="16"/>
        </w:rPr>
        <w:t>{</w:t>
        <w:br/>
        <w:t xml:space="preserve">  "snapshot_id": "COL-PRJ-2026-001-R03",</w:t>
        <w:br/>
        <w:t xml:space="preserve">  "status": "APPROVED",</w:t>
        <w:br/>
        <w:t xml:space="preserve">  "geometry_hash": "sha256:...",</w:t>
        <w:br/>
        <w:t xml:space="preserve">  "calculation_run_id": "RUN-...",</w:t>
        <w:br/>
        <w:t xml:space="preserve">  "material_library_version": "MAT-2026.07",</w:t>
        <w:br/>
        <w:t xml:space="preserve">  "parts": [{"part_no":"P-001","revision":"03","quantity":1}],</w:t>
        <w:br/>
        <w:t xml:space="preserve">  "release_profile": {"market":"EU","languages":["es","en"]}</w:t>
        <w:br/>
        <w:t>}</w:t>
      </w:r>
    </w:p>
    <w:p>
      <w:pPr>
        <w:pStyle w:val="Heading1"/>
      </w:pPr>
      <w:r>
        <w:t>45. Reglas completas de codificación y nomenclatura</w:t>
      </w:r>
    </w:p>
    <w:p>
      <w:r>
        <w:t>La aplicación deberá generar códigos legibles, únicos y estables, evitando que el nombre comercial se convierta en la identidad técnica.</w:t>
      </w:r>
    </w:p>
    <w:p>
      <w:pPr>
        <w:pStyle w:val="Heading2"/>
      </w:pPr>
      <w:r>
        <w:t>45.1 Estructura recomendada</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9EAD3"/>
            <w:vAlign w:val="center"/>
          </w:tcPr>
          <w:p>
            <w:r>
              <w:rPr>
                <w:b/>
              </w:rPr>
              <w:t>Objeto</w:t>
            </w:r>
          </w:p>
        </w:tc>
        <w:tc>
          <w:tcPr>
            <w:tcW w:type="dxa" w:w="3389"/>
            <w:shd w:fill="D9EAD3"/>
            <w:vAlign w:val="center"/>
          </w:tcPr>
          <w:p>
            <w:r>
              <w:rPr>
                <w:b/>
              </w:rPr>
              <w:t>Formato propuesto</w:t>
            </w:r>
          </w:p>
        </w:tc>
        <w:tc>
          <w:tcPr>
            <w:tcW w:type="dxa" w:w="3389"/>
            <w:shd w:fill="D9EAD3"/>
            <w:vAlign w:val="center"/>
          </w:tcPr>
          <w:p>
            <w:r>
              <w:rPr>
                <w:b/>
              </w:rPr>
              <w:t>Ejemplo</w:t>
            </w:r>
          </w:p>
        </w:tc>
      </w:tr>
      <w:tr>
        <w:tc>
          <w:tcPr>
            <w:tcW w:type="dxa" w:w="3389"/>
            <w:vAlign w:val="top"/>
          </w:tcPr>
          <w:p>
            <w:r>
              <w:t>Producto</w:t>
            </w:r>
          </w:p>
        </w:tc>
        <w:tc>
          <w:tcPr>
            <w:tcW w:type="dxa" w:w="3389"/>
            <w:vAlign w:val="top"/>
          </w:tcPr>
          <w:p>
            <w:r>
              <w:t>COL-[familia]-[altura]-[material]-[variante]</w:t>
            </w:r>
          </w:p>
        </w:tc>
        <w:tc>
          <w:tcPr>
            <w:tcW w:type="dxa" w:w="3389"/>
            <w:vAlign w:val="top"/>
          </w:tcPr>
          <w:p>
            <w:r>
              <w:t>COL-TC-12000-S355-A</w:t>
            </w:r>
          </w:p>
        </w:tc>
      </w:tr>
      <w:tr>
        <w:tc>
          <w:tcPr>
            <w:tcW w:type="dxa" w:w="3389"/>
            <w:vAlign w:val="top"/>
          </w:tcPr>
          <w:p>
            <w:r>
              <w:t>Pieza</w:t>
            </w:r>
          </w:p>
        </w:tc>
        <w:tc>
          <w:tcPr>
            <w:tcW w:type="dxa" w:w="3389"/>
            <w:vAlign w:val="top"/>
          </w:tcPr>
          <w:p>
            <w:r>
              <w:t>PRT-[familia]-[secuencia]</w:t>
            </w:r>
          </w:p>
        </w:tc>
        <w:tc>
          <w:tcPr>
            <w:tcW w:type="dxa" w:w="3389"/>
            <w:vAlign w:val="top"/>
          </w:tcPr>
          <w:p>
            <w:r>
              <w:t>PRT-TC-00125</w:t>
            </w:r>
          </w:p>
        </w:tc>
      </w:tr>
      <w:tr>
        <w:tc>
          <w:tcPr>
            <w:tcW w:type="dxa" w:w="3389"/>
            <w:vAlign w:val="top"/>
          </w:tcPr>
          <w:p>
            <w:r>
              <w:t>Ensamblaje</w:t>
            </w:r>
          </w:p>
        </w:tc>
        <w:tc>
          <w:tcPr>
            <w:tcW w:type="dxa" w:w="3389"/>
            <w:vAlign w:val="top"/>
          </w:tcPr>
          <w:p>
            <w:r>
              <w:t>ASM-[familia]-[secuencia]</w:t>
            </w:r>
          </w:p>
        </w:tc>
        <w:tc>
          <w:tcPr>
            <w:tcW w:type="dxa" w:w="3389"/>
            <w:vAlign w:val="top"/>
          </w:tcPr>
          <w:p>
            <w:r>
              <w:t>ASM-TC-00032</w:t>
            </w:r>
          </w:p>
        </w:tc>
      </w:tr>
      <w:tr>
        <w:tc>
          <w:tcPr>
            <w:tcW w:type="dxa" w:w="3389"/>
            <w:vAlign w:val="top"/>
          </w:tcPr>
          <w:p>
            <w:r>
              <w:t>Plano</w:t>
            </w:r>
          </w:p>
        </w:tc>
        <w:tc>
          <w:tcPr>
            <w:tcW w:type="dxa" w:w="3389"/>
            <w:vAlign w:val="top"/>
          </w:tcPr>
          <w:p>
            <w:r>
              <w:t>DWG-[pieza/ensamblaje]-[tipo]</w:t>
            </w:r>
          </w:p>
        </w:tc>
        <w:tc>
          <w:tcPr>
            <w:tcW w:type="dxa" w:w="3389"/>
            <w:vAlign w:val="top"/>
          </w:tcPr>
          <w:p>
            <w:r>
              <w:t>DWG-PRT-TC-00125-FAB</w:t>
            </w:r>
          </w:p>
        </w:tc>
      </w:tr>
      <w:tr>
        <w:tc>
          <w:tcPr>
            <w:tcW w:type="dxa" w:w="3389"/>
            <w:vAlign w:val="top"/>
          </w:tcPr>
          <w:p>
            <w:r>
              <w:t>Documento</w:t>
            </w:r>
          </w:p>
        </w:tc>
        <w:tc>
          <w:tcPr>
            <w:tcW w:type="dxa" w:w="3389"/>
            <w:vAlign w:val="top"/>
          </w:tcPr>
          <w:p>
            <w:r>
              <w:t>DOC-[proyecto]-[tipo]-[secuencia]</w:t>
            </w:r>
          </w:p>
        </w:tc>
        <w:tc>
          <w:tcPr>
            <w:tcW w:type="dxa" w:w="3389"/>
            <w:vAlign w:val="top"/>
          </w:tcPr>
          <w:p>
            <w:r>
              <w:t>DOC-ANG-IC-0042</w:t>
            </w:r>
          </w:p>
        </w:tc>
      </w:tr>
      <w:tr>
        <w:tc>
          <w:tcPr>
            <w:tcW w:type="dxa" w:w="3389"/>
            <w:vAlign w:val="top"/>
          </w:tcPr>
          <w:p>
            <w:r>
              <w:t>BOM</w:t>
            </w:r>
          </w:p>
        </w:tc>
        <w:tc>
          <w:tcPr>
            <w:tcW w:type="dxa" w:w="3389"/>
            <w:vAlign w:val="top"/>
          </w:tcPr>
          <w:p>
            <w:r>
              <w:t>BOM-[ensamblaje]-[vista]</w:t>
            </w:r>
          </w:p>
        </w:tc>
        <w:tc>
          <w:tcPr>
            <w:tcW w:type="dxa" w:w="3389"/>
            <w:vAlign w:val="top"/>
          </w:tcPr>
          <w:p>
            <w:r>
              <w:t>BOM-ASM-TC-00032-MFG</w:t>
            </w:r>
          </w:p>
        </w:tc>
      </w:tr>
      <w:tr>
        <w:tc>
          <w:tcPr>
            <w:tcW w:type="dxa" w:w="3389"/>
            <w:vAlign w:val="top"/>
          </w:tcPr>
          <w:p>
            <w:r>
              <w:t>Paquete</w:t>
            </w:r>
          </w:p>
        </w:tc>
        <w:tc>
          <w:tcPr>
            <w:tcW w:type="dxa" w:w="3389"/>
            <w:vAlign w:val="top"/>
          </w:tcPr>
          <w:p>
            <w:r>
              <w:t>REL-[producto]-Rxx</w:t>
            </w:r>
          </w:p>
        </w:tc>
        <w:tc>
          <w:tcPr>
            <w:tcW w:type="dxa" w:w="3389"/>
            <w:vAlign w:val="top"/>
          </w:tcPr>
          <w:p>
            <w:r>
              <w:t>REL-COL-TC-12000-S355-A-R03</w:t>
            </w:r>
          </w:p>
        </w:tc>
      </w:tr>
    </w:tbl>
    <w:p/>
    <w:p>
      <w:pPr>
        <w:pStyle w:val="Heading2"/>
      </w:pPr>
      <w:r>
        <w:t>45.2 Reglas</w:t>
      </w:r>
    </w:p>
    <w:p>
      <w:pPr>
        <w:pStyle w:val="ListBullet"/>
      </w:pPr>
      <w:r>
        <w:t>Los códigos no incluirán datos que puedan cambiar con frecuencia, como precio, proveedor o acabado comercial opcional.</w:t>
      </w:r>
    </w:p>
    <w:p>
      <w:pPr>
        <w:pStyle w:val="ListBullet"/>
      </w:pPr>
      <w:r>
        <w:t>Las revisiones se gestionarán en un campo separado del identificador base.</w:t>
      </w:r>
    </w:p>
    <w:p>
      <w:pPr>
        <w:pStyle w:val="ListBullet"/>
      </w:pPr>
      <w:r>
        <w:t>No se reutilizarán números anulados o retirados.</w:t>
      </w:r>
    </w:p>
    <w:p>
      <w:pPr>
        <w:pStyle w:val="ListBullet"/>
      </w:pPr>
      <w:r>
        <w:t>Los nombres de archivo deberán derivarse del identificador oficial y no de textos libres.</w:t>
      </w:r>
    </w:p>
    <w:p>
      <w:pPr>
        <w:pStyle w:val="ListBullet"/>
      </w:pPr>
      <w:r>
        <w:t>La codificación se validará contra ERP/PDM antes de publicar para evitar duplicados.</w:t>
      </w:r>
    </w:p>
    <w:p>
      <w:pPr>
        <w:pStyle w:val="Heading1"/>
      </w:pPr>
      <w:r>
        <w:t>46. Especificación CAD por tipología de componente</w:t>
      </w:r>
    </w:p>
    <w:p>
      <w:pPr>
        <w:pStyle w:val="Heading2"/>
      </w:pPr>
      <w:r>
        <w:t>46.1 Fustes metálicos plegados y soldados</w:t>
      </w:r>
    </w:p>
    <w:p>
      <w:pPr>
        <w:pStyle w:val="ListBullet"/>
      </w:pPr>
      <w:r>
        <w:t>Generación del sólido nominal, sólido de fabricación y desarrollo plano.</w:t>
      </w:r>
    </w:p>
    <w:p>
      <w:pPr>
        <w:pStyle w:val="ListBullet"/>
      </w:pPr>
      <w:r>
        <w:t>Definición del eje de costura, orientación de puerta, generatriz de referencia y cara cero.</w:t>
      </w:r>
    </w:p>
    <w:p>
      <w:pPr>
        <w:pStyle w:val="ListBullet"/>
      </w:pPr>
      <w:r>
        <w:t>Conservación de radios reales de plegado, transición entre tramos y recortes de extremos.</w:t>
      </w:r>
    </w:p>
    <w:p>
      <w:pPr>
        <w:pStyle w:val="ListBullet"/>
      </w:pPr>
      <w:r>
        <w:t>Creación automática de agujeros de drenaje, venteo y galvanizado según reglas aprobadas.</w:t>
      </w:r>
    </w:p>
    <w:p>
      <w:pPr>
        <w:pStyle w:val="ListBullet"/>
      </w:pPr>
      <w:r>
        <w:t>Identificación semántica de caras para soldadura longitudinal, placa, puerta, refuerzo y uniones.</w:t>
      </w:r>
    </w:p>
    <w:p>
      <w:pPr>
        <w:pStyle w:val="ListBullet"/>
      </w:pPr>
      <w:r>
        <w:t>Cálculo del ancho de chapa, longitud de fibra neutra y margen de recorte.</w:t>
      </w:r>
    </w:p>
    <w:p>
      <w:pPr>
        <w:pStyle w:val="Heading2"/>
      </w:pPr>
      <w:r>
        <w:t>46.2 Columnas de aluminio extrusionado</w:t>
      </w:r>
    </w:p>
    <w:p>
      <w:pPr>
        <w:pStyle w:val="ListBullet"/>
      </w:pPr>
      <w:r>
        <w:t>Perfil maestro ligado al número de matriz de extrusión y revisión del proveedor.</w:t>
      </w:r>
    </w:p>
    <w:p>
      <w:pPr>
        <w:pStyle w:val="ListBullet"/>
      </w:pPr>
      <w:r>
        <w:t>Reglas de mecanizado posteriores: corte, fresado, taladrado, ranuras y alojamiento de puerta.</w:t>
      </w:r>
    </w:p>
    <w:p>
      <w:pPr>
        <w:pStyle w:val="ListBullet"/>
      </w:pPr>
      <w:r>
        <w:t>Mapa de material base, HAZ y zonas de soldadura cuando se incorporen piezas soldadas.</w:t>
      </w:r>
    </w:p>
    <w:p>
      <w:pPr>
        <w:pStyle w:val="ListBullet"/>
      </w:pPr>
      <w:r>
        <w:t>Control de longitud máxima de extrusión, rectitud, torsión y tolerancias del perfil.</w:t>
      </w:r>
    </w:p>
    <w:p>
      <w:pPr>
        <w:pStyle w:val="Heading2"/>
      </w:pPr>
      <w:r>
        <w:t>46.3 Hormigón centrifugado pretensado</w:t>
      </w:r>
    </w:p>
    <w:p>
      <w:pPr>
        <w:pStyle w:val="ListBullet"/>
      </w:pPr>
      <w:r>
        <w:t>Modelo exterior e interior variable, espesores, cabeza, base e insertos.</w:t>
      </w:r>
    </w:p>
    <w:p>
      <w:pPr>
        <w:pStyle w:val="ListBullet"/>
      </w:pPr>
      <w:r>
        <w:t>Representación paramétrica de cordones, alambres o varillas activas y armadura pasiva.</w:t>
      </w:r>
    </w:p>
    <w:p>
      <w:pPr>
        <w:pStyle w:val="ListBullet"/>
      </w:pPr>
      <w:r>
        <w:t>Geometría de moldes, tapas, separadores, casquillos e insertos de izado.</w:t>
      </w:r>
    </w:p>
    <w:p>
      <w:pPr>
        <w:pStyle w:val="ListBullet"/>
      </w:pPr>
      <w:r>
        <w:t>Planos diferenciados de molde, armadura, pretensado, insertos y producto acabado.</w:t>
      </w:r>
    </w:p>
    <w:p>
      <w:pPr>
        <w:pStyle w:val="ListBullet"/>
      </w:pPr>
      <w:r>
        <w:t>Masa húmeda, masa desmoldeada, masa final y centros de gravedad por etapa.</w:t>
      </w:r>
    </w:p>
    <w:p>
      <w:pPr>
        <w:pStyle w:val="Heading2"/>
      </w:pPr>
      <w:r>
        <w:t>46.4 Cimentaciones y elementos de obra</w:t>
      </w:r>
    </w:p>
    <w:p>
      <w:r>
        <w:t>Cuando la cimentación forme parte del paquete, el CAD deberá incluir bloque, pedestal, huecos, jaula de pernos, plantilla, armadura esquemática, niveles, excavación y volumen de hormigón. La fase no sustituye el detalle completo de armadura cuando el alcance de la Fase 11 se haya limitado a geometría, pero deberá reservar las entidades y referencias necesarias.</w:t>
      </w:r>
    </w:p>
    <w:p>
      <w:pPr>
        <w:pStyle w:val="Heading1"/>
      </w:pPr>
      <w:r>
        <w:t>47. Motor de planos: reglas de composición y contenido</w:t>
      </w:r>
    </w:p>
    <w:p>
      <w:pPr>
        <w:pStyle w:val="Heading2"/>
      </w:pPr>
      <w:r>
        <w:t>47.1 Jerarquía de planos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9EAD3"/>
            <w:vAlign w:val="center"/>
          </w:tcPr>
          <w:p>
            <w:r>
              <w:rPr>
                <w:b/>
              </w:rPr>
              <w:t>Nivel</w:t>
            </w:r>
          </w:p>
        </w:tc>
        <w:tc>
          <w:tcPr>
            <w:tcW w:type="dxa" w:w="3389"/>
            <w:shd w:fill="D9EAD3"/>
            <w:vAlign w:val="center"/>
          </w:tcPr>
          <w:p>
            <w:r>
              <w:rPr>
                <w:b/>
              </w:rPr>
              <w:t>Plano</w:t>
            </w:r>
          </w:p>
        </w:tc>
        <w:tc>
          <w:tcPr>
            <w:tcW w:type="dxa" w:w="3389"/>
            <w:shd w:fill="D9EAD3"/>
            <w:vAlign w:val="center"/>
          </w:tcPr>
          <w:p>
            <w:r>
              <w:rPr>
                <w:b/>
              </w:rPr>
              <w:t>Contenido obligatorio</w:t>
            </w:r>
          </w:p>
        </w:tc>
      </w:tr>
      <w:tr>
        <w:tc>
          <w:tcPr>
            <w:tcW w:type="dxa" w:w="3389"/>
            <w:vAlign w:val="top"/>
          </w:tcPr>
          <w:p>
            <w:r>
              <w:t>L0</w:t>
            </w:r>
          </w:p>
        </w:tc>
        <w:tc>
          <w:tcPr>
            <w:tcW w:type="dxa" w:w="3389"/>
            <w:vAlign w:val="top"/>
          </w:tcPr>
          <w:p>
            <w:r>
              <w:t>Plano de implantación</w:t>
            </w:r>
          </w:p>
        </w:tc>
        <w:tc>
          <w:tcPr>
            <w:tcW w:type="dxa" w:w="3389"/>
            <w:vAlign w:val="top"/>
          </w:tcPr>
          <w:p>
            <w:r>
              <w:t>Cotas generales, orientación, interfaces y lista de conjuntos</w:t>
            </w:r>
          </w:p>
        </w:tc>
      </w:tr>
      <w:tr>
        <w:tc>
          <w:tcPr>
            <w:tcW w:type="dxa" w:w="3389"/>
            <w:vAlign w:val="top"/>
          </w:tcPr>
          <w:p>
            <w:r>
              <w:t>L1</w:t>
            </w:r>
          </w:p>
        </w:tc>
        <w:tc>
          <w:tcPr>
            <w:tcW w:type="dxa" w:w="3389"/>
            <w:vAlign w:val="top"/>
          </w:tcPr>
          <w:p>
            <w:r>
              <w:t>Plano de conjunto</w:t>
            </w:r>
          </w:p>
        </w:tc>
        <w:tc>
          <w:tcPr>
            <w:tcW w:type="dxa" w:w="3389"/>
            <w:vAlign w:val="top"/>
          </w:tcPr>
          <w:p>
            <w:r>
              <w:t>Despiece, posiciones, masas, centro de gravedad y notas de montaje</w:t>
            </w:r>
          </w:p>
        </w:tc>
      </w:tr>
      <w:tr>
        <w:tc>
          <w:tcPr>
            <w:tcW w:type="dxa" w:w="3389"/>
            <w:vAlign w:val="top"/>
          </w:tcPr>
          <w:p>
            <w:r>
              <w:t>L2</w:t>
            </w:r>
          </w:p>
        </w:tc>
        <w:tc>
          <w:tcPr>
            <w:tcW w:type="dxa" w:w="3389"/>
            <w:vAlign w:val="top"/>
          </w:tcPr>
          <w:p>
            <w:r>
              <w:t>Plano de subconjunto</w:t>
            </w:r>
          </w:p>
        </w:tc>
        <w:tc>
          <w:tcPr>
            <w:tcW w:type="dxa" w:w="3389"/>
            <w:vAlign w:val="top"/>
          </w:tcPr>
          <w:p>
            <w:r>
              <w:t>Uniones, soldaduras, tornillería y secuencia</w:t>
            </w:r>
          </w:p>
        </w:tc>
      </w:tr>
      <w:tr>
        <w:tc>
          <w:tcPr>
            <w:tcW w:type="dxa" w:w="3389"/>
            <w:vAlign w:val="top"/>
          </w:tcPr>
          <w:p>
            <w:r>
              <w:t>L3</w:t>
            </w:r>
          </w:p>
        </w:tc>
        <w:tc>
          <w:tcPr>
            <w:tcW w:type="dxa" w:w="3389"/>
            <w:vAlign w:val="top"/>
          </w:tcPr>
          <w:p>
            <w:r>
              <w:t>Plano de pieza</w:t>
            </w:r>
          </w:p>
        </w:tc>
        <w:tc>
          <w:tcPr>
            <w:tcW w:type="dxa" w:w="3389"/>
            <w:vAlign w:val="top"/>
          </w:tcPr>
          <w:p>
            <w:r>
              <w:t>Geometría completa, material, tolerancias, acabado y CTQ</w:t>
            </w:r>
          </w:p>
        </w:tc>
      </w:tr>
      <w:tr>
        <w:tc>
          <w:tcPr>
            <w:tcW w:type="dxa" w:w="3389"/>
            <w:vAlign w:val="top"/>
          </w:tcPr>
          <w:p>
            <w:r>
              <w:t>L4</w:t>
            </w:r>
          </w:p>
        </w:tc>
        <w:tc>
          <w:tcPr>
            <w:tcW w:type="dxa" w:w="3389"/>
            <w:vAlign w:val="top"/>
          </w:tcPr>
          <w:p>
            <w:r>
              <w:t>Plano de proceso</w:t>
            </w:r>
          </w:p>
        </w:tc>
        <w:tc>
          <w:tcPr>
            <w:tcW w:type="dxa" w:w="3389"/>
            <w:vAlign w:val="top"/>
          </w:tcPr>
          <w:p>
            <w:r>
              <w:t>Desarrollo, plegado, mecanizado, utillaje o plantilla</w:t>
            </w:r>
          </w:p>
        </w:tc>
      </w:tr>
      <w:tr>
        <w:tc>
          <w:tcPr>
            <w:tcW w:type="dxa" w:w="3389"/>
            <w:vAlign w:val="top"/>
          </w:tcPr>
          <w:p>
            <w:r>
              <w:t>L5</w:t>
            </w:r>
          </w:p>
        </w:tc>
        <w:tc>
          <w:tcPr>
            <w:tcW w:type="dxa" w:w="3389"/>
            <w:vAlign w:val="top"/>
          </w:tcPr>
          <w:p>
            <w:r>
              <w:t>Plano de control</w:t>
            </w:r>
          </w:p>
        </w:tc>
        <w:tc>
          <w:tcPr>
            <w:tcW w:type="dxa" w:w="3389"/>
            <w:vAlign w:val="top"/>
          </w:tcPr>
          <w:p>
            <w:r>
              <w:t>Puntos de medición, datums, métodos y frecuencia</w:t>
            </w:r>
          </w:p>
        </w:tc>
      </w:tr>
    </w:tbl>
    <w:p/>
    <w:p>
      <w:pPr>
        <w:pStyle w:val="Heading2"/>
      </w:pPr>
      <w:r>
        <w:t>47.2 Reglas automáticas</w:t>
      </w:r>
    </w:p>
    <w:p>
      <w:pPr>
        <w:pStyle w:val="ListBullet"/>
      </w:pPr>
      <w:r>
        <w:t>Seleccionar la menor escala normalizada que mantenga legibilidad y permita colocar todas las cotas sin solapes.</w:t>
      </w:r>
    </w:p>
    <w:p>
      <w:pPr>
        <w:pStyle w:val="ListBullet"/>
      </w:pPr>
      <w:r>
        <w:t>Crear vistas auxiliares y secciones donde existan puertas, uniones, soldaduras o geometrías no definidas por vistas principales.</w:t>
      </w:r>
    </w:p>
    <w:p>
      <w:pPr>
        <w:pStyle w:val="ListBullet"/>
      </w:pPr>
      <w:r>
        <w:t>No duplicar cotas; cada dimensión funcional tendrá un único propietario.</w:t>
      </w:r>
    </w:p>
    <w:p>
      <w:pPr>
        <w:pStyle w:val="ListBullet"/>
      </w:pPr>
      <w:r>
        <w:t>Indicar las cotas de referencia entre paréntesis y diferenciarlas de las cotas de fabricación.</w:t>
      </w:r>
    </w:p>
    <w:p>
      <w:pPr>
        <w:pStyle w:val="ListBullet"/>
      </w:pPr>
      <w:r>
        <w:t>Generar detalles ampliados para radios, transiciones, agujeros, ranuras y preparación de soldadura.</w:t>
      </w:r>
    </w:p>
    <w:p>
      <w:pPr>
        <w:pStyle w:val="ListBullet"/>
      </w:pPr>
      <w:r>
        <w:t>Insertar automáticamente tabla de revisiones, notas de material, acabado, soldadura, inspección y masa.</w:t>
      </w:r>
    </w:p>
    <w:p>
      <w:pPr>
        <w:pStyle w:val="ListBullet"/>
      </w:pPr>
      <w:r>
        <w:t>Bloquear un plano que contenga cotas huérfanas, valores sobrescritos manualmente o referencias rotas.</w:t>
      </w:r>
    </w:p>
    <w:p>
      <w:pPr>
        <w:pStyle w:val="Heading2"/>
      </w:pPr>
      <w:r>
        <w:t>47.3 Validaciones gráficas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AD3"/>
            <w:vAlign w:val="center"/>
          </w:tcPr>
          <w:p>
            <w:r>
              <w:rPr>
                <w:b/>
              </w:rPr>
              <w:t>Control</w:t>
            </w:r>
          </w:p>
        </w:tc>
        <w:tc>
          <w:tcPr>
            <w:tcW w:type="dxa" w:w="5083"/>
            <w:shd w:fill="D9EAD3"/>
            <w:vAlign w:val="center"/>
          </w:tcPr>
          <w:p>
            <w:r>
              <w:rPr>
                <w:b/>
              </w:rPr>
              <w:t>Criterio</w:t>
            </w:r>
          </w:p>
        </w:tc>
      </w:tr>
      <w:tr>
        <w:tc>
          <w:tcPr>
            <w:tcW w:type="dxa" w:w="5083"/>
            <w:vAlign w:val="top"/>
          </w:tcPr>
          <w:p>
            <w:r>
              <w:t>Solape de anotaciones</w:t>
            </w:r>
          </w:p>
        </w:tc>
        <w:tc>
          <w:tcPr>
            <w:tcW w:type="dxa" w:w="5083"/>
            <w:vAlign w:val="top"/>
          </w:tcPr>
          <w:p>
            <w:r>
              <w:t>Cero solapes detectados en zona imprimible</w:t>
            </w:r>
          </w:p>
        </w:tc>
      </w:tr>
      <w:tr>
        <w:tc>
          <w:tcPr>
            <w:tcW w:type="dxa" w:w="5083"/>
            <w:vAlign w:val="top"/>
          </w:tcPr>
          <w:p>
            <w:r>
              <w:t>Texto mínimo</w:t>
            </w:r>
          </w:p>
        </w:tc>
        <w:tc>
          <w:tcPr>
            <w:tcW w:type="dxa" w:w="5083"/>
            <w:vAlign w:val="top"/>
          </w:tcPr>
          <w:p>
            <w:r>
              <w:t>Altura equivalente no inferior al estándar corporativo</w:t>
            </w:r>
          </w:p>
        </w:tc>
      </w:tr>
      <w:tr>
        <w:tc>
          <w:tcPr>
            <w:tcW w:type="dxa" w:w="5083"/>
            <w:vAlign w:val="top"/>
          </w:tcPr>
          <w:p>
            <w:r>
              <w:t>Cotas fuera de vista</w:t>
            </w:r>
          </w:p>
        </w:tc>
        <w:tc>
          <w:tcPr>
            <w:tcW w:type="dxa" w:w="5083"/>
            <w:vAlign w:val="top"/>
          </w:tcPr>
          <w:p>
            <w:r>
              <w:t>No permitido salvo líder explícito</w:t>
            </w:r>
          </w:p>
        </w:tc>
      </w:tr>
      <w:tr>
        <w:tc>
          <w:tcPr>
            <w:tcW w:type="dxa" w:w="5083"/>
            <w:vAlign w:val="top"/>
          </w:tcPr>
          <w:p>
            <w:r>
              <w:t>Vistas vacías</w:t>
            </w:r>
          </w:p>
        </w:tc>
        <w:tc>
          <w:tcPr>
            <w:tcW w:type="dxa" w:w="5083"/>
            <w:vAlign w:val="top"/>
          </w:tcPr>
          <w:p>
            <w:r>
              <w:t>No se publican</w:t>
            </w:r>
          </w:p>
        </w:tc>
      </w:tr>
      <w:tr>
        <w:tc>
          <w:tcPr>
            <w:tcW w:type="dxa" w:w="5083"/>
            <w:vAlign w:val="top"/>
          </w:tcPr>
          <w:p>
            <w:r>
              <w:t>Escala incoherente</w:t>
            </w:r>
          </w:p>
        </w:tc>
        <w:tc>
          <w:tcPr>
            <w:tcW w:type="dxa" w:w="5083"/>
            <w:vAlign w:val="top"/>
          </w:tcPr>
          <w:p>
            <w:r>
              <w:t>Bloqueo si no coincide cajetín-vista</w:t>
            </w:r>
          </w:p>
        </w:tc>
      </w:tr>
      <w:tr>
        <w:tc>
          <w:tcPr>
            <w:tcW w:type="dxa" w:w="5083"/>
            <w:vAlign w:val="top"/>
          </w:tcPr>
          <w:p>
            <w:r>
              <w:t>Símbolos no resueltos</w:t>
            </w:r>
          </w:p>
        </w:tc>
        <w:tc>
          <w:tcPr>
            <w:tcW w:type="dxa" w:w="5083"/>
            <w:vAlign w:val="top"/>
          </w:tcPr>
          <w:p>
            <w:r>
              <w:t>Bloqueo</w:t>
            </w:r>
          </w:p>
        </w:tc>
      </w:tr>
      <w:tr>
        <w:tc>
          <w:tcPr>
            <w:tcW w:type="dxa" w:w="5083"/>
            <w:vAlign w:val="top"/>
          </w:tcPr>
          <w:p>
            <w:r>
              <w:t>Fuentes no corporativas</w:t>
            </w:r>
          </w:p>
        </w:tc>
        <w:tc>
          <w:tcPr>
            <w:tcW w:type="dxa" w:w="5083"/>
            <w:vAlign w:val="top"/>
          </w:tcPr>
          <w:p>
            <w:r>
              <w:t>Advertencia o sustitución controlada</w:t>
            </w:r>
          </w:p>
        </w:tc>
      </w:tr>
    </w:tbl>
    <w:p/>
    <w:p>
      <w:pPr>
        <w:pStyle w:val="Heading1"/>
      </w:pPr>
      <w:r>
        <w:t>48. BOM industrial completa y reglas de transformación</w:t>
      </w:r>
    </w:p>
    <w:p>
      <w:pPr>
        <w:pStyle w:val="Heading2"/>
      </w:pPr>
      <w:r>
        <w:t>48.1 Transformación EBOM a MBOM</w:t>
      </w:r>
    </w:p>
    <w:p>
      <w:r>
        <w:t>La MBOM no será una copia plana de la EBOM. El sistema deberá aplicar reglas de fabricación, aprovisionamiento, embalaje y montaje para convertir componentes funcionales en componentes industriales.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AD3"/>
            <w:vAlign w:val="center"/>
          </w:tcPr>
          <w:p>
            <w:r>
              <w:rPr>
                <w:b/>
              </w:rPr>
              <w:t>Regla</w:t>
            </w:r>
          </w:p>
        </w:tc>
        <w:tc>
          <w:tcPr>
            <w:tcW w:type="dxa" w:w="5083"/>
            <w:shd w:fill="D9EAD3"/>
            <w:vAlign w:val="center"/>
          </w:tcPr>
          <w:p>
            <w:r>
              <w:rPr>
                <w:b/>
              </w:rPr>
              <w:t>Ejemplo</w:t>
            </w:r>
          </w:p>
        </w:tc>
      </w:tr>
      <w:tr>
        <w:tc>
          <w:tcPr>
            <w:tcW w:type="dxa" w:w="5083"/>
            <w:vAlign w:val="top"/>
          </w:tcPr>
          <w:p>
            <w:r>
              <w:t>División por proceso</w:t>
            </w:r>
          </w:p>
        </w:tc>
        <w:tc>
          <w:tcPr>
            <w:tcW w:type="dxa" w:w="5083"/>
            <w:vAlign w:val="top"/>
          </w:tcPr>
          <w:p>
            <w:r>
              <w:t>Fuste funcional se divide en chapa, refuerzo, placa y consumibles</w:t>
            </w:r>
          </w:p>
        </w:tc>
      </w:tr>
      <w:tr>
        <w:tc>
          <w:tcPr>
            <w:tcW w:type="dxa" w:w="5083"/>
            <w:vAlign w:val="top"/>
          </w:tcPr>
          <w:p>
            <w:r>
              <w:t>Agrupación de compra</w:t>
            </w:r>
          </w:p>
        </w:tc>
        <w:tc>
          <w:tcPr>
            <w:tcW w:type="dxa" w:w="5083"/>
            <w:vAlign w:val="top"/>
          </w:tcPr>
          <w:p>
            <w:r>
              <w:t>Tornillería idéntica se consolida por suministro</w:t>
            </w:r>
          </w:p>
        </w:tc>
      </w:tr>
      <w:tr>
        <w:tc>
          <w:tcPr>
            <w:tcW w:type="dxa" w:w="5083"/>
            <w:vAlign w:val="top"/>
          </w:tcPr>
          <w:p>
            <w:r>
              <w:t>Phantom assembly</w:t>
            </w:r>
          </w:p>
        </w:tc>
        <w:tc>
          <w:tcPr>
            <w:tcW w:type="dxa" w:w="5083"/>
            <w:vAlign w:val="top"/>
          </w:tcPr>
          <w:p>
            <w:r>
              <w:t>Kit lógico sin inventario propio</w:t>
            </w:r>
          </w:p>
        </w:tc>
      </w:tr>
      <w:tr>
        <w:tc>
          <w:tcPr>
            <w:tcW w:type="dxa" w:w="5083"/>
            <w:vAlign w:val="top"/>
          </w:tcPr>
          <w:p>
            <w:r>
              <w:t>Make/buy</w:t>
            </w:r>
          </w:p>
        </w:tc>
        <w:tc>
          <w:tcPr>
            <w:tcW w:type="dxa" w:w="5083"/>
            <w:vAlign w:val="top"/>
          </w:tcPr>
          <w:p>
            <w:r>
              <w:t>La misma pieza puede tener rutas alternativas controladas</w:t>
            </w:r>
          </w:p>
        </w:tc>
      </w:tr>
      <w:tr>
        <w:tc>
          <w:tcPr>
            <w:tcW w:type="dxa" w:w="5083"/>
            <w:vAlign w:val="top"/>
          </w:tcPr>
          <w:p>
            <w:r>
              <w:t>Scrap allowance</w:t>
            </w:r>
          </w:p>
        </w:tc>
        <w:tc>
          <w:tcPr>
            <w:tcW w:type="dxa" w:w="5083"/>
            <w:vAlign w:val="top"/>
          </w:tcPr>
          <w:p>
            <w:r>
              <w:t>Cantidad de compra incluye merma por corte o proceso</w:t>
            </w:r>
          </w:p>
        </w:tc>
      </w:tr>
      <w:tr>
        <w:tc>
          <w:tcPr>
            <w:tcW w:type="dxa" w:w="5083"/>
            <w:vAlign w:val="top"/>
          </w:tcPr>
          <w:p>
            <w:r>
              <w:t>Process consumable</w:t>
            </w:r>
          </w:p>
        </w:tc>
        <w:tc>
          <w:tcPr>
            <w:tcW w:type="dxa" w:w="5083"/>
            <w:vAlign w:val="top"/>
          </w:tcPr>
          <w:p>
            <w:r>
              <w:t>Hilo, gas, zinc, pintura o abrasivo se calculan por fórmula</w:t>
            </w:r>
          </w:p>
        </w:tc>
      </w:tr>
      <w:tr>
        <w:tc>
          <w:tcPr>
            <w:tcW w:type="dxa" w:w="5083"/>
            <w:vAlign w:val="top"/>
          </w:tcPr>
          <w:p>
            <w:r>
              <w:t>Packing material</w:t>
            </w:r>
          </w:p>
        </w:tc>
        <w:tc>
          <w:tcPr>
            <w:tcW w:type="dxa" w:w="5083"/>
            <w:vAlign w:val="top"/>
          </w:tcPr>
          <w:p>
            <w:r>
              <w:t>Se añade en SBOM, no necesariamente en EBOM</w:t>
            </w:r>
          </w:p>
        </w:tc>
      </w:tr>
      <w:tr>
        <w:tc>
          <w:tcPr>
            <w:tcW w:type="dxa" w:w="5083"/>
            <w:vAlign w:val="top"/>
          </w:tcPr>
          <w:p>
            <w:r>
              <w:t>Service item</w:t>
            </w:r>
          </w:p>
        </w:tc>
        <w:tc>
          <w:tcPr>
            <w:tcW w:type="dxa" w:w="5083"/>
            <w:vAlign w:val="top"/>
          </w:tcPr>
          <w:p>
            <w:r>
              <w:t>Repuesto puede existir aunque no sea pieza separada de producción</w:t>
            </w:r>
          </w:p>
        </w:tc>
      </w:tr>
    </w:tbl>
    <w:p/>
    <w:p>
      <w:pPr>
        <w:pStyle w:val="Heading2"/>
      </w:pPr>
      <w:r>
        <w:t>48.2 Reglas de cantidad</w:t>
      </w:r>
    </w:p>
    <w:p>
      <w:pPr>
        <w:pStyle w:val="ListBullet"/>
      </w:pPr>
      <w:r>
        <w:t>Cantidad discreta: entero, con regla explícita de redondeo.</w:t>
      </w:r>
    </w:p>
    <w:p>
      <w:pPr>
        <w:pStyle w:val="ListBullet"/>
      </w:pPr>
      <w:r>
        <w:t>Cantidad por longitud: longitud neta más margen de proceso y merma.</w:t>
      </w:r>
    </w:p>
    <w:p>
      <w:pPr>
        <w:pStyle w:val="ListBullet"/>
      </w:pPr>
      <w:r>
        <w:t>Cantidad por área: área geométrica más coeficiente de solape o pérdida.</w:t>
      </w:r>
    </w:p>
    <w:p>
      <w:pPr>
        <w:pStyle w:val="ListBullet"/>
      </w:pPr>
      <w:r>
        <w:t>Cantidad por masa: masa teórica o pesada, según estado del producto.</w:t>
      </w:r>
    </w:p>
    <w:p>
      <w:pPr>
        <w:pStyle w:val="ListBullet"/>
      </w:pPr>
      <w:r>
        <w:t>Cantidad por consumo: fórmula ligada a operación, tiempo y tasa.</w:t>
      </w:r>
    </w:p>
    <w:p>
      <w:pPr>
        <w:pStyle w:val="ListBullet"/>
      </w:pPr>
      <w:r>
        <w:t>Cantidad por lote: mínimo de compra o embalaje sin alterar la cantidad técnica.</w:t>
      </w:r>
    </w:p>
    <w:p>
      <w:pPr>
        <w:pStyle w:val="Heading2"/>
      </w:pPr>
      <w:r>
        <w:t>48.3 Control de obsolescencia y sustituciones</w:t>
      </w:r>
    </w:p>
    <w:p>
      <w:r>
        <w:t>Cada sustitución deberá declarar si es geométrica, funcional, material, comercial o de proveedor; si requiere recálculo; desde qué fecha o número de serie aplica; y qué proyectos quedan afectados. Una sustitución no podrá modificar retroactivamente una BOM liberada.</w:t>
      </w:r>
    </w:p>
    <w:p>
      <w:pPr>
        <w:pStyle w:val="Heading1"/>
      </w:pPr>
      <w:r>
        <w:t>49. Coste industrial y enlace con precio de venta</w:t>
      </w:r>
    </w:p>
    <w:p>
      <w:r>
        <w:t>Aunque la optimización económica se origine en fases anteriores, la Fase 14 deberá calcular el coste industrial liberado con los datos reales de geometría, BOM, rutas y proveedores.</w:t>
      </w:r>
    </w:p>
    <w:p>
      <w:pPr>
        <w:pStyle w:val="Heading2"/>
      </w:pPr>
      <w:r>
        <w:t>49.1 Estructura de coste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AD3"/>
            <w:vAlign w:val="center"/>
          </w:tcPr>
          <w:p>
            <w:r>
              <w:rPr>
                <w:b/>
              </w:rPr>
              <w:t>Componente</w:t>
            </w:r>
          </w:p>
        </w:tc>
        <w:tc>
          <w:tcPr>
            <w:tcW w:type="dxa" w:w="5083"/>
            <w:shd w:fill="D9EAD3"/>
            <w:vAlign w:val="center"/>
          </w:tcPr>
          <w:p>
            <w:r>
              <w:rPr>
                <w:b/>
              </w:rPr>
              <w:t>Base de cálculo</w:t>
            </w:r>
          </w:p>
        </w:tc>
      </w:tr>
      <w:tr>
        <w:tc>
          <w:tcPr>
            <w:tcW w:type="dxa" w:w="5083"/>
            <w:vAlign w:val="top"/>
          </w:tcPr>
          <w:p>
            <w:r>
              <w:t>Material directo</w:t>
            </w:r>
          </w:p>
        </w:tc>
        <w:tc>
          <w:tcPr>
            <w:tcW w:type="dxa" w:w="5083"/>
            <w:vAlign w:val="top"/>
          </w:tcPr>
          <w:p>
            <w:r>
              <w:t>Cantidad de compra × precio vigente</w:t>
            </w:r>
          </w:p>
        </w:tc>
      </w:tr>
      <w:tr>
        <w:tc>
          <w:tcPr>
            <w:tcW w:type="dxa" w:w="5083"/>
            <w:vAlign w:val="top"/>
          </w:tcPr>
          <w:p>
            <w:r>
              <w:t>Merma recuperable</w:t>
            </w:r>
          </w:p>
        </w:tc>
        <w:tc>
          <w:tcPr>
            <w:tcW w:type="dxa" w:w="5083"/>
            <w:vAlign w:val="top"/>
          </w:tcPr>
          <w:p>
            <w:r>
              <w:t>Merma × coste menos valor de retorno</w:t>
            </w:r>
          </w:p>
        </w:tc>
      </w:tr>
      <w:tr>
        <w:tc>
          <w:tcPr>
            <w:tcW w:type="dxa" w:w="5083"/>
            <w:vAlign w:val="top"/>
          </w:tcPr>
          <w:p>
            <w:r>
              <w:t>Mano de obra</w:t>
            </w:r>
          </w:p>
        </w:tc>
        <w:tc>
          <w:tcPr>
            <w:tcW w:type="dxa" w:w="5083"/>
            <w:vAlign w:val="top"/>
          </w:tcPr>
          <w:p>
            <w:r>
              <w:t>Tiempo estándar × tarifa de centro</w:t>
            </w:r>
          </w:p>
        </w:tc>
      </w:tr>
      <w:tr>
        <w:tc>
          <w:tcPr>
            <w:tcW w:type="dxa" w:w="5083"/>
            <w:vAlign w:val="top"/>
          </w:tcPr>
          <w:p>
            <w:r>
              <w:t>Máquina</w:t>
            </w:r>
          </w:p>
        </w:tc>
        <w:tc>
          <w:tcPr>
            <w:tcW w:type="dxa" w:w="5083"/>
            <w:vAlign w:val="top"/>
          </w:tcPr>
          <w:p>
            <w:r>
              <w:t>Tiempo de ciclo × tarifa máquina</w:t>
            </w:r>
          </w:p>
        </w:tc>
      </w:tr>
      <w:tr>
        <w:tc>
          <w:tcPr>
            <w:tcW w:type="dxa" w:w="5083"/>
            <w:vAlign w:val="top"/>
          </w:tcPr>
          <w:p>
            <w:r>
              <w:t>Subcontratación</w:t>
            </w:r>
          </w:p>
        </w:tc>
        <w:tc>
          <w:tcPr>
            <w:tcW w:type="dxa" w:w="5083"/>
            <w:vAlign w:val="top"/>
          </w:tcPr>
          <w:p>
            <w:r>
              <w:t>Oferta o tarifa aprobada</w:t>
            </w:r>
          </w:p>
        </w:tc>
      </w:tr>
      <w:tr>
        <w:tc>
          <w:tcPr>
            <w:tcW w:type="dxa" w:w="5083"/>
            <w:vAlign w:val="top"/>
          </w:tcPr>
          <w:p>
            <w:r>
              <w:t>Tratamiento superficial</w:t>
            </w:r>
          </w:p>
        </w:tc>
        <w:tc>
          <w:tcPr>
            <w:tcW w:type="dxa" w:w="5083"/>
            <w:vAlign w:val="top"/>
          </w:tcPr>
          <w:p>
            <w:r>
              <w:t>Área, masa, lote o pieza</w:t>
            </w:r>
          </w:p>
        </w:tc>
      </w:tr>
      <w:tr>
        <w:tc>
          <w:tcPr>
            <w:tcW w:type="dxa" w:w="5083"/>
            <w:vAlign w:val="top"/>
          </w:tcPr>
          <w:p>
            <w:r>
              <w:t>Inspección y END</w:t>
            </w:r>
          </w:p>
        </w:tc>
        <w:tc>
          <w:tcPr>
            <w:tcW w:type="dxa" w:w="5083"/>
            <w:vAlign w:val="top"/>
          </w:tcPr>
          <w:p>
            <w:r>
              <w:t>Plan de control × tarifa</w:t>
            </w:r>
          </w:p>
        </w:tc>
      </w:tr>
      <w:tr>
        <w:tc>
          <w:tcPr>
            <w:tcW w:type="dxa" w:w="5083"/>
            <w:vAlign w:val="top"/>
          </w:tcPr>
          <w:p>
            <w:r>
              <w:t>Utillaje</w:t>
            </w:r>
          </w:p>
        </w:tc>
        <w:tc>
          <w:tcPr>
            <w:tcW w:type="dxa" w:w="5083"/>
            <w:vAlign w:val="top"/>
          </w:tcPr>
          <w:p>
            <w:r>
              <w:t>Amortización por lote o proyecto</w:t>
            </w:r>
          </w:p>
        </w:tc>
      </w:tr>
      <w:tr>
        <w:tc>
          <w:tcPr>
            <w:tcW w:type="dxa" w:w="5083"/>
            <w:vAlign w:val="top"/>
          </w:tcPr>
          <w:p>
            <w:r>
              <w:t>Embalaje</w:t>
            </w:r>
          </w:p>
        </w:tc>
        <w:tc>
          <w:tcPr>
            <w:tcW w:type="dxa" w:w="5083"/>
            <w:vAlign w:val="top"/>
          </w:tcPr>
          <w:p>
            <w:r>
              <w:t>SBOM y operaciones de acondicionamiento</w:t>
            </w:r>
          </w:p>
        </w:tc>
      </w:tr>
      <w:tr>
        <w:tc>
          <w:tcPr>
            <w:tcW w:type="dxa" w:w="5083"/>
            <w:vAlign w:val="top"/>
          </w:tcPr>
          <w:p>
            <w:r>
              <w:t>Transporte interno</w:t>
            </w:r>
          </w:p>
        </w:tc>
        <w:tc>
          <w:tcPr>
            <w:tcW w:type="dxa" w:w="5083"/>
            <w:vAlign w:val="top"/>
          </w:tcPr>
          <w:p>
            <w:r>
              <w:t>Ruta logística interna</w:t>
            </w:r>
          </w:p>
        </w:tc>
      </w:tr>
      <w:tr>
        <w:tc>
          <w:tcPr>
            <w:tcW w:type="dxa" w:w="5083"/>
            <w:vAlign w:val="top"/>
          </w:tcPr>
          <w:p>
            <w:r>
              <w:t>Coste de calidad</w:t>
            </w:r>
          </w:p>
        </w:tc>
        <w:tc>
          <w:tcPr>
            <w:tcW w:type="dxa" w:w="5083"/>
            <w:vAlign w:val="top"/>
          </w:tcPr>
          <w:p>
            <w:r>
              <w:t>Ensayos, certificados y provisión definida</w:t>
            </w:r>
          </w:p>
        </w:tc>
      </w:tr>
    </w:tbl>
    <w:p/>
    <w:p>
      <w:pPr>
        <w:pStyle w:val="Heading2"/>
      </w:pPr>
      <w:r>
        <w:t>49.2 Márgenes y precio</w:t>
      </w:r>
    </w:p>
    <w:p>
      <w:r>
        <w:t>El coste industrial será visible según permisos. El sistema podrá aplicar gastos indirectos, contingencia, margen objetivo y reglas comerciales para obtener precio de venta, pero estos valores deberán mantenerse separados del modelo técnico y con trazabilidad de la versión tarifaria.</w:t>
      </w:r>
    </w:p>
    <w:p>
      <w:pPr>
        <w:pStyle w:val="Heading1"/>
      </w:pPr>
      <w:r>
        <w:t>50. Paquete de fabricación y subcontratación</w:t>
      </w:r>
    </w:p>
    <w:p>
      <w:pPr>
        <w:pStyle w:val="Heading2"/>
      </w:pPr>
      <w:r>
        <w:t>50.1 Contenido mínimo para proveedor</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AD3"/>
            <w:vAlign w:val="center"/>
          </w:tcPr>
          <w:p>
            <w:r>
              <w:rPr>
                <w:b/>
              </w:rPr>
              <w:t>Elemento</w:t>
            </w:r>
          </w:p>
        </w:tc>
        <w:tc>
          <w:tcPr>
            <w:tcW w:type="dxa" w:w="5083"/>
            <w:shd w:fill="D9EAD3"/>
            <w:vAlign w:val="center"/>
          </w:tcPr>
          <w:p>
            <w:r>
              <w:rPr>
                <w:b/>
              </w:rPr>
              <w:t>Obligatorio</w:t>
            </w:r>
          </w:p>
        </w:tc>
      </w:tr>
      <w:tr>
        <w:tc>
          <w:tcPr>
            <w:tcW w:type="dxa" w:w="5083"/>
            <w:vAlign w:val="top"/>
          </w:tcPr>
          <w:p>
            <w:r>
              <w:t>Plano liberado y modelo 3D neutro</w:t>
            </w:r>
          </w:p>
        </w:tc>
        <w:tc>
          <w:tcPr>
            <w:tcW w:type="dxa" w:w="5083"/>
            <w:vAlign w:val="top"/>
          </w:tcPr>
          <w:p>
            <w:r>
              <w:t>Sí</w:t>
            </w:r>
          </w:p>
        </w:tc>
      </w:tr>
      <w:tr>
        <w:tc>
          <w:tcPr>
            <w:tcW w:type="dxa" w:w="5083"/>
            <w:vAlign w:val="top"/>
          </w:tcPr>
          <w:p>
            <w:r>
              <w:t>BOM de suministro</w:t>
            </w:r>
          </w:p>
        </w:tc>
        <w:tc>
          <w:tcPr>
            <w:tcW w:type="dxa" w:w="5083"/>
            <w:vAlign w:val="top"/>
          </w:tcPr>
          <w:p>
            <w:r>
              <w:t>Sí</w:t>
            </w:r>
          </w:p>
        </w:tc>
      </w:tr>
      <w:tr>
        <w:tc>
          <w:tcPr>
            <w:tcW w:type="dxa" w:w="5083"/>
            <w:vAlign w:val="top"/>
          </w:tcPr>
          <w:p>
            <w:r>
              <w:t>Especificación de material y certificados</w:t>
            </w:r>
          </w:p>
        </w:tc>
        <w:tc>
          <w:tcPr>
            <w:tcW w:type="dxa" w:w="5083"/>
            <w:vAlign w:val="top"/>
          </w:tcPr>
          <w:p>
            <w:r>
              <w:t>Sí</w:t>
            </w:r>
          </w:p>
        </w:tc>
      </w:tr>
      <w:tr>
        <w:tc>
          <w:tcPr>
            <w:tcW w:type="dxa" w:w="5083"/>
            <w:vAlign w:val="top"/>
          </w:tcPr>
          <w:p>
            <w:r>
              <w:t>WPS o requisitos de soldadura</w:t>
            </w:r>
          </w:p>
        </w:tc>
        <w:tc>
          <w:tcPr>
            <w:tcW w:type="dxa" w:w="5083"/>
            <w:vAlign w:val="top"/>
          </w:tcPr>
          <w:p>
            <w:r>
              <w:t>Cuando aplique</w:t>
            </w:r>
          </w:p>
        </w:tc>
      </w:tr>
      <w:tr>
        <w:tc>
          <w:tcPr>
            <w:tcW w:type="dxa" w:w="5083"/>
            <w:vAlign w:val="top"/>
          </w:tcPr>
          <w:p>
            <w:r>
              <w:t>Plan de inspección y CTQ</w:t>
            </w:r>
          </w:p>
        </w:tc>
        <w:tc>
          <w:tcPr>
            <w:tcW w:type="dxa" w:w="5083"/>
            <w:vAlign w:val="top"/>
          </w:tcPr>
          <w:p>
            <w:r>
              <w:t>Sí</w:t>
            </w:r>
          </w:p>
        </w:tc>
      </w:tr>
      <w:tr>
        <w:tc>
          <w:tcPr>
            <w:tcW w:type="dxa" w:w="5083"/>
            <w:vAlign w:val="top"/>
          </w:tcPr>
          <w:p>
            <w:r>
              <w:t>Acabado y durabilidad</w:t>
            </w:r>
          </w:p>
        </w:tc>
        <w:tc>
          <w:tcPr>
            <w:tcW w:type="dxa" w:w="5083"/>
            <w:vAlign w:val="top"/>
          </w:tcPr>
          <w:p>
            <w:r>
              <w:t>Sí</w:t>
            </w:r>
          </w:p>
        </w:tc>
      </w:tr>
      <w:tr>
        <w:tc>
          <w:tcPr>
            <w:tcW w:type="dxa" w:w="5083"/>
            <w:vAlign w:val="top"/>
          </w:tcPr>
          <w:p>
            <w:r>
              <w:t>Plantillas y utillajes suministrados</w:t>
            </w:r>
          </w:p>
        </w:tc>
        <w:tc>
          <w:tcPr>
            <w:tcW w:type="dxa" w:w="5083"/>
            <w:vAlign w:val="top"/>
          </w:tcPr>
          <w:p>
            <w:r>
              <w:t>Cuando aplique</w:t>
            </w:r>
          </w:p>
        </w:tc>
      </w:tr>
      <w:tr>
        <w:tc>
          <w:tcPr>
            <w:tcW w:type="dxa" w:w="5083"/>
            <w:vAlign w:val="top"/>
          </w:tcPr>
          <w:p>
            <w:r>
              <w:t>Embalaje y etiquetado</w:t>
            </w:r>
          </w:p>
        </w:tc>
        <w:tc>
          <w:tcPr>
            <w:tcW w:type="dxa" w:w="5083"/>
            <w:vAlign w:val="top"/>
          </w:tcPr>
          <w:p>
            <w:r>
              <w:t>Sí</w:t>
            </w:r>
          </w:p>
        </w:tc>
      </w:tr>
      <w:tr>
        <w:tc>
          <w:tcPr>
            <w:tcW w:type="dxa" w:w="5083"/>
            <w:vAlign w:val="top"/>
          </w:tcPr>
          <w:p>
            <w:r>
              <w:t>Condiciones de aceptación y NCR</w:t>
            </w:r>
          </w:p>
        </w:tc>
        <w:tc>
          <w:tcPr>
            <w:tcW w:type="dxa" w:w="5083"/>
            <w:vAlign w:val="top"/>
          </w:tcPr>
          <w:p>
            <w:r>
              <w:t>Sí</w:t>
            </w:r>
          </w:p>
        </w:tc>
      </w:tr>
      <w:tr>
        <w:tc>
          <w:tcPr>
            <w:tcW w:type="dxa" w:w="5083"/>
            <w:vAlign w:val="top"/>
          </w:tcPr>
          <w:p>
            <w:r>
              <w:t>Revisión y fecha de validez</w:t>
            </w:r>
          </w:p>
        </w:tc>
        <w:tc>
          <w:tcPr>
            <w:tcW w:type="dxa" w:w="5083"/>
            <w:vAlign w:val="top"/>
          </w:tcPr>
          <w:p>
            <w:r>
              <w:t>Sí</w:t>
            </w:r>
          </w:p>
        </w:tc>
      </w:tr>
    </w:tbl>
    <w:p/>
    <w:p>
      <w:pPr>
        <w:pStyle w:val="Heading2"/>
      </w:pPr>
      <w:r>
        <w:t>50.2 Portal de proveedor</w:t>
      </w:r>
    </w:p>
    <w:p>
      <w:pPr>
        <w:pStyle w:val="ListBullet"/>
      </w:pPr>
      <w:r>
        <w:t>Acceso solo a paquetes autorizados y vigentes.</w:t>
      </w:r>
    </w:p>
    <w:p>
      <w:pPr>
        <w:pStyle w:val="ListBullet"/>
      </w:pPr>
      <w:r>
        <w:t>Confirmación de recepción y aceptación de revisión.</w:t>
      </w:r>
    </w:p>
    <w:p>
      <w:pPr>
        <w:pStyle w:val="ListBullet"/>
      </w:pPr>
      <w:r>
        <w:t>Carga de certificados, mediciones, fotos, informes END y no conformidades.</w:t>
      </w:r>
    </w:p>
    <w:p>
      <w:pPr>
        <w:pStyle w:val="ListBullet"/>
      </w:pPr>
      <w:r>
        <w:t>Bloqueo automático de uso de archivos obsoletos.</w:t>
      </w:r>
    </w:p>
    <w:p>
      <w:pPr>
        <w:pStyle w:val="ListBullet"/>
      </w:pPr>
      <w:r>
        <w:t>Trazabilidad del proveedor, planta, máquina, operador y lote cuando se requiera.</w:t>
      </w:r>
    </w:p>
    <w:p>
      <w:pPr>
        <w:pStyle w:val="ListBullet"/>
      </w:pPr>
      <w:r>
        <w:t>Comparación automática de la documentación recibida contra el plan de control.</w:t>
      </w:r>
    </w:p>
    <w:p>
      <w:pPr>
        <w:pStyle w:val="Heading1"/>
      </w:pPr>
      <w:r>
        <w:t>51. Embalaje, logística, transporte e instalación</w:t>
      </w:r>
    </w:p>
    <w:p>
      <w:pPr>
        <w:pStyle w:val="Heading2"/>
      </w:pPr>
      <w:r>
        <w:t>51.1 Diseño de embalaje</w:t>
      </w:r>
    </w:p>
    <w:p>
      <w:pPr>
        <w:pStyle w:val="ListBullet"/>
      </w:pPr>
      <w:r>
        <w:t>Definición de apoyos, separadores, cinchas, protecciones y puntos prohibidos.</w:t>
      </w:r>
    </w:p>
    <w:p>
      <w:pPr>
        <w:pStyle w:val="ListBullet"/>
      </w:pPr>
      <w:r>
        <w:t>Cálculo de dimensiones, masa bruta, centro de gravedad y apilabilidad.</w:t>
      </w:r>
    </w:p>
    <w:p>
      <w:pPr>
        <w:pStyle w:val="ListBullet"/>
      </w:pPr>
      <w:r>
        <w:t>Protección de superficies galvanizadas, pintadas, anodizadas o mecanizadas.</w:t>
      </w:r>
    </w:p>
    <w:p>
      <w:pPr>
        <w:pStyle w:val="ListBullet"/>
      </w:pPr>
      <w:r>
        <w:t>Control de corrosión por contacto y humedad durante transporte marítimo.</w:t>
      </w:r>
    </w:p>
    <w:p>
      <w:pPr>
        <w:pStyle w:val="ListBullet"/>
      </w:pPr>
      <w:r>
        <w:t>Identificación de bultos y correspondencia con SBOM.</w:t>
      </w:r>
    </w:p>
    <w:p>
      <w:pPr>
        <w:pStyle w:val="Heading2"/>
      </w:pPr>
      <w:r>
        <w:t>51.2 Plan logístico</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AD3"/>
            <w:vAlign w:val="center"/>
          </w:tcPr>
          <w:p>
            <w:r>
              <w:rPr>
                <w:b/>
              </w:rPr>
              <w:t>Dato</w:t>
            </w:r>
          </w:p>
        </w:tc>
        <w:tc>
          <w:tcPr>
            <w:tcW w:type="dxa" w:w="5083"/>
            <w:shd w:fill="D9EAD3"/>
            <w:vAlign w:val="center"/>
          </w:tcPr>
          <w:p>
            <w:r>
              <w:rPr>
                <w:b/>
              </w:rPr>
              <w:t>Uso</w:t>
            </w:r>
          </w:p>
        </w:tc>
      </w:tr>
      <w:tr>
        <w:tc>
          <w:tcPr>
            <w:tcW w:type="dxa" w:w="5083"/>
            <w:vAlign w:val="top"/>
          </w:tcPr>
          <w:p>
            <w:r>
              <w:t>Longitud máxima por pieza</w:t>
            </w:r>
          </w:p>
        </w:tc>
        <w:tc>
          <w:tcPr>
            <w:tcW w:type="dxa" w:w="5083"/>
            <w:vAlign w:val="top"/>
          </w:tcPr>
          <w:p>
            <w:r>
              <w:t>Selección de vehículo/contenedor</w:t>
            </w:r>
          </w:p>
        </w:tc>
      </w:tr>
      <w:tr>
        <w:tc>
          <w:tcPr>
            <w:tcW w:type="dxa" w:w="5083"/>
            <w:vAlign w:val="top"/>
          </w:tcPr>
          <w:p>
            <w:r>
              <w:t>Masa y centro de gravedad</w:t>
            </w:r>
          </w:p>
        </w:tc>
        <w:tc>
          <w:tcPr>
            <w:tcW w:type="dxa" w:w="5083"/>
            <w:vAlign w:val="top"/>
          </w:tcPr>
          <w:p>
            <w:r>
              <w:t>Izado y estiba</w:t>
            </w:r>
          </w:p>
        </w:tc>
      </w:tr>
      <w:tr>
        <w:tc>
          <w:tcPr>
            <w:tcW w:type="dxa" w:w="5083"/>
            <w:vAlign w:val="top"/>
          </w:tcPr>
          <w:p>
            <w:r>
              <w:t>Puntos de apoyo</w:t>
            </w:r>
          </w:p>
        </w:tc>
        <w:tc>
          <w:tcPr>
            <w:tcW w:type="dxa" w:w="5083"/>
            <w:vAlign w:val="top"/>
          </w:tcPr>
          <w:p>
            <w:r>
              <w:t>Prevención de deformación</w:t>
            </w:r>
          </w:p>
        </w:tc>
      </w:tr>
      <w:tr>
        <w:tc>
          <w:tcPr>
            <w:tcW w:type="dxa" w:w="5083"/>
            <w:vAlign w:val="top"/>
          </w:tcPr>
          <w:p>
            <w:r>
              <w:t>Secuencia de descarga</w:t>
            </w:r>
          </w:p>
        </w:tc>
        <w:tc>
          <w:tcPr>
            <w:tcW w:type="dxa" w:w="5083"/>
            <w:vAlign w:val="top"/>
          </w:tcPr>
          <w:p>
            <w:r>
              <w:t>Plan de montaje</w:t>
            </w:r>
          </w:p>
        </w:tc>
      </w:tr>
      <w:tr>
        <w:tc>
          <w:tcPr>
            <w:tcW w:type="dxa" w:w="5083"/>
            <w:vAlign w:val="top"/>
          </w:tcPr>
          <w:p>
            <w:r>
              <w:t>Piezas por bulto</w:t>
            </w:r>
          </w:p>
        </w:tc>
        <w:tc>
          <w:tcPr>
            <w:tcW w:type="dxa" w:w="5083"/>
            <w:vAlign w:val="top"/>
          </w:tcPr>
          <w:p>
            <w:r>
              <w:t>Control de expedición</w:t>
            </w:r>
          </w:p>
        </w:tc>
      </w:tr>
      <w:tr>
        <w:tc>
          <w:tcPr>
            <w:tcW w:type="dxa" w:w="5083"/>
            <w:vAlign w:val="top"/>
          </w:tcPr>
          <w:p>
            <w:r>
              <w:t>Restricciones de ruta</w:t>
            </w:r>
          </w:p>
        </w:tc>
        <w:tc>
          <w:tcPr>
            <w:tcW w:type="dxa" w:w="5083"/>
            <w:vAlign w:val="top"/>
          </w:tcPr>
          <w:p>
            <w:r>
              <w:t>Transporte especial</w:t>
            </w:r>
          </w:p>
        </w:tc>
      </w:tr>
      <w:tr>
        <w:tc>
          <w:tcPr>
            <w:tcW w:type="dxa" w:w="5083"/>
            <w:vAlign w:val="top"/>
          </w:tcPr>
          <w:p>
            <w:r>
              <w:t>Documentación aduanera</w:t>
            </w:r>
          </w:p>
        </w:tc>
        <w:tc>
          <w:tcPr>
            <w:tcW w:type="dxa" w:w="5083"/>
            <w:vAlign w:val="top"/>
          </w:tcPr>
          <w:p>
            <w:r>
              <w:t>Exportación y origen</w:t>
            </w:r>
          </w:p>
        </w:tc>
      </w:tr>
    </w:tbl>
    <w:p/>
    <w:p>
      <w:pPr>
        <w:pStyle w:val="Heading2"/>
      </w:pPr>
      <w:r>
        <w:t>51.3 Instrucciones de montaje</w:t>
      </w:r>
    </w:p>
    <w:p>
      <w:r>
        <w:t>El sistema generará instrucciones ilustradas y secuenciales: identificación de piezas, medios de izado, posicionamiento, aprietes, solapes, conexiones, sellados, orientación, tolerancias de verticalidad y controles finales. Las instrucciones deberán distinguir datos calculados de recomendaciones generales.</w:t>
      </w:r>
    </w:p>
    <w:p>
      <w:pPr>
        <w:pStyle w:val="Heading1"/>
      </w:pPr>
      <w:r>
        <w:t>52. Calidad, trazabilidad y dossier de fabricación</w:t>
      </w:r>
    </w:p>
    <w:p>
      <w:pPr>
        <w:pStyle w:val="Heading2"/>
      </w:pPr>
      <w:r>
        <w:t>52.1 Trazabilidad mínima</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AD3"/>
            <w:vAlign w:val="center"/>
          </w:tcPr>
          <w:p>
            <w:r>
              <w:rPr>
                <w:b/>
              </w:rPr>
              <w:t>Objeto</w:t>
            </w:r>
          </w:p>
        </w:tc>
        <w:tc>
          <w:tcPr>
            <w:tcW w:type="dxa" w:w="5083"/>
            <w:shd w:fill="D9EAD3"/>
            <w:vAlign w:val="center"/>
          </w:tcPr>
          <w:p>
            <w:r>
              <w:rPr>
                <w:b/>
              </w:rPr>
              <w:t>Identificador trazable</w:t>
            </w:r>
          </w:p>
        </w:tc>
      </w:tr>
      <w:tr>
        <w:tc>
          <w:tcPr>
            <w:tcW w:type="dxa" w:w="5083"/>
            <w:vAlign w:val="top"/>
          </w:tcPr>
          <w:p>
            <w:r>
              <w:t>Materia prima</w:t>
            </w:r>
          </w:p>
        </w:tc>
        <w:tc>
          <w:tcPr>
            <w:tcW w:type="dxa" w:w="5083"/>
            <w:vAlign w:val="top"/>
          </w:tcPr>
          <w:p>
            <w:r>
              <w:t>Colada/lote/certificado</w:t>
            </w:r>
          </w:p>
        </w:tc>
      </w:tr>
      <w:tr>
        <w:tc>
          <w:tcPr>
            <w:tcW w:type="dxa" w:w="5083"/>
            <w:vAlign w:val="top"/>
          </w:tcPr>
          <w:p>
            <w:r>
              <w:t>Chapa o perfil</w:t>
            </w:r>
          </w:p>
        </w:tc>
        <w:tc>
          <w:tcPr>
            <w:tcW w:type="dxa" w:w="5083"/>
            <w:vAlign w:val="top"/>
          </w:tcPr>
          <w:p>
            <w:r>
              <w:t>Lote y proveedor</w:t>
            </w:r>
          </w:p>
        </w:tc>
      </w:tr>
      <w:tr>
        <w:tc>
          <w:tcPr>
            <w:tcW w:type="dxa" w:w="5083"/>
            <w:vAlign w:val="top"/>
          </w:tcPr>
          <w:p>
            <w:r>
              <w:t>Soldadura</w:t>
            </w:r>
          </w:p>
        </w:tc>
        <w:tc>
          <w:tcPr>
            <w:tcW w:type="dxa" w:w="5083"/>
            <w:vAlign w:val="top"/>
          </w:tcPr>
          <w:p>
            <w:r>
              <w:t>Soldador, WPS, fecha y cordón</w:t>
            </w:r>
          </w:p>
        </w:tc>
      </w:tr>
      <w:tr>
        <w:tc>
          <w:tcPr>
            <w:tcW w:type="dxa" w:w="5083"/>
            <w:vAlign w:val="top"/>
          </w:tcPr>
          <w:p>
            <w:r>
              <w:t>Tratamiento</w:t>
            </w:r>
          </w:p>
        </w:tc>
        <w:tc>
          <w:tcPr>
            <w:tcW w:type="dxa" w:w="5083"/>
            <w:vAlign w:val="top"/>
          </w:tcPr>
          <w:p>
            <w:r>
              <w:t>Lote, proveedor y certificado</w:t>
            </w:r>
          </w:p>
        </w:tc>
      </w:tr>
      <w:tr>
        <w:tc>
          <w:tcPr>
            <w:tcW w:type="dxa" w:w="5083"/>
            <w:vAlign w:val="top"/>
          </w:tcPr>
          <w:p>
            <w:r>
              <w:t>Perno/anclaje</w:t>
            </w:r>
          </w:p>
        </w:tc>
        <w:tc>
          <w:tcPr>
            <w:tcW w:type="dxa" w:w="5083"/>
            <w:vAlign w:val="top"/>
          </w:tcPr>
          <w:p>
            <w:r>
              <w:t>Lote y certificado</w:t>
            </w:r>
          </w:p>
        </w:tc>
      </w:tr>
      <w:tr>
        <w:tc>
          <w:tcPr>
            <w:tcW w:type="dxa" w:w="5083"/>
            <w:vAlign w:val="top"/>
          </w:tcPr>
          <w:p>
            <w:r>
              <w:t>Hormigón</w:t>
            </w:r>
          </w:p>
        </w:tc>
        <w:tc>
          <w:tcPr>
            <w:tcW w:type="dxa" w:w="5083"/>
            <w:vAlign w:val="top"/>
          </w:tcPr>
          <w:p>
            <w:r>
              <w:t>Amasada, probetas y fecha</w:t>
            </w:r>
          </w:p>
        </w:tc>
      </w:tr>
      <w:tr>
        <w:tc>
          <w:tcPr>
            <w:tcW w:type="dxa" w:w="5083"/>
            <w:vAlign w:val="top"/>
          </w:tcPr>
          <w:p>
            <w:r>
              <w:t>Pretensado</w:t>
            </w:r>
          </w:p>
        </w:tc>
        <w:tc>
          <w:tcPr>
            <w:tcW w:type="dxa" w:w="5083"/>
            <w:vAlign w:val="top"/>
          </w:tcPr>
          <w:p>
            <w:r>
              <w:t>Bancada, elemento, fuerza y medición</w:t>
            </w:r>
          </w:p>
        </w:tc>
      </w:tr>
      <w:tr>
        <w:tc>
          <w:tcPr>
            <w:tcW w:type="dxa" w:w="5083"/>
            <w:vAlign w:val="top"/>
          </w:tcPr>
          <w:p>
            <w:r>
              <w:t>Inspección</w:t>
            </w:r>
          </w:p>
        </w:tc>
        <w:tc>
          <w:tcPr>
            <w:tcW w:type="dxa" w:w="5083"/>
            <w:vAlign w:val="top"/>
          </w:tcPr>
          <w:p>
            <w:r>
              <w:t>Característica, resultado, equipo y operador</w:t>
            </w:r>
          </w:p>
        </w:tc>
      </w:tr>
      <w:tr>
        <w:tc>
          <w:tcPr>
            <w:tcW w:type="dxa" w:w="5083"/>
            <w:vAlign w:val="top"/>
          </w:tcPr>
          <w:p>
            <w:r>
              <w:t>Producto acabado</w:t>
            </w:r>
          </w:p>
        </w:tc>
        <w:tc>
          <w:tcPr>
            <w:tcW w:type="dxa" w:w="5083"/>
            <w:vAlign w:val="top"/>
          </w:tcPr>
          <w:p>
            <w:r>
              <w:t>Número de serie o lote de fabricación</w:t>
            </w:r>
          </w:p>
        </w:tc>
      </w:tr>
    </w:tbl>
    <w:p/>
    <w:p>
      <w:pPr>
        <w:pStyle w:val="Heading2"/>
      </w:pPr>
      <w:r>
        <w:t>52.2 Dossier de fabricación</w:t>
      </w:r>
    </w:p>
    <w:p>
      <w:pPr>
        <w:pStyle w:val="ListBullet"/>
      </w:pPr>
      <w:r>
        <w:t>Planos y BOM liberados.</w:t>
      </w:r>
    </w:p>
    <w:p>
      <w:pPr>
        <w:pStyle w:val="ListBullet"/>
      </w:pPr>
      <w:r>
        <w:t>Certificados de materiales y componentes.</w:t>
      </w:r>
    </w:p>
    <w:p>
      <w:pPr>
        <w:pStyle w:val="ListBullet"/>
      </w:pPr>
      <w:r>
        <w:t>Registros de soldadura y END.</w:t>
      </w:r>
    </w:p>
    <w:p>
      <w:pPr>
        <w:pStyle w:val="ListBullet"/>
      </w:pPr>
      <w:r>
        <w:t>Registros dimensionales y CTQ.</w:t>
      </w:r>
    </w:p>
    <w:p>
      <w:pPr>
        <w:pStyle w:val="ListBullet"/>
      </w:pPr>
      <w:r>
        <w:t>Certificados de galvanizado, pintura, anodizado o tratamiento.</w:t>
      </w:r>
    </w:p>
    <w:p>
      <w:pPr>
        <w:pStyle w:val="ListBullet"/>
      </w:pPr>
      <w:r>
        <w:t>No conformidades, concesiones y acciones correctivas.</w:t>
      </w:r>
    </w:p>
    <w:p>
      <w:pPr>
        <w:pStyle w:val="ListBullet"/>
      </w:pPr>
      <w:r>
        <w:t>Configuración as-built y fotografías cuando se requiera.</w:t>
      </w:r>
    </w:p>
    <w:p>
      <w:pPr>
        <w:pStyle w:val="ListBullet"/>
      </w:pPr>
      <w:r>
        <w:t>Declaraciones y documentación regulatoria aplicable.</w:t>
      </w:r>
    </w:p>
    <w:p>
      <w:pPr>
        <w:pStyle w:val="Heading1"/>
      </w:pPr>
      <w:r>
        <w:t>53. Gestión documental avanzada</w:t>
      </w:r>
    </w:p>
    <w:p>
      <w:pPr>
        <w:pStyle w:val="Heading2"/>
      </w:pPr>
      <w:r>
        <w:t>53.1 Estados documentales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9EAD3"/>
            <w:vAlign w:val="center"/>
          </w:tcPr>
          <w:p>
            <w:r>
              <w:rPr>
                <w:b/>
              </w:rPr>
              <w:t>Estado</w:t>
            </w:r>
          </w:p>
        </w:tc>
        <w:tc>
          <w:tcPr>
            <w:tcW w:type="dxa" w:w="3389"/>
            <w:shd w:fill="D9EAD3"/>
            <w:vAlign w:val="center"/>
          </w:tcPr>
          <w:p>
            <w:r>
              <w:rPr>
                <w:b/>
              </w:rPr>
              <w:t>Marca visible</w:t>
            </w:r>
          </w:p>
        </w:tc>
        <w:tc>
          <w:tcPr>
            <w:tcW w:type="dxa" w:w="3389"/>
            <w:shd w:fill="D9EAD3"/>
            <w:vAlign w:val="center"/>
          </w:tcPr>
          <w:p>
            <w:r>
              <w:rPr>
                <w:b/>
              </w:rPr>
              <w:t>Uso</w:t>
            </w:r>
          </w:p>
        </w:tc>
      </w:tr>
      <w:tr>
        <w:tc>
          <w:tcPr>
            <w:tcW w:type="dxa" w:w="3389"/>
            <w:vAlign w:val="top"/>
          </w:tcPr>
          <w:p>
            <w:r>
              <w:t>WORKING</w:t>
            </w:r>
          </w:p>
        </w:tc>
        <w:tc>
          <w:tcPr>
            <w:tcW w:type="dxa" w:w="3389"/>
            <w:vAlign w:val="top"/>
          </w:tcPr>
          <w:p>
            <w:r>
              <w:t>BORRADOR</w:t>
            </w:r>
          </w:p>
        </w:tc>
        <w:tc>
          <w:tcPr>
            <w:tcW w:type="dxa" w:w="3389"/>
            <w:vAlign w:val="top"/>
          </w:tcPr>
          <w:p>
            <w:r>
              <w:t>Edición interna</w:t>
            </w:r>
          </w:p>
        </w:tc>
      </w:tr>
      <w:tr>
        <w:tc>
          <w:tcPr>
            <w:tcW w:type="dxa" w:w="3389"/>
            <w:vAlign w:val="top"/>
          </w:tcPr>
          <w:p>
            <w:r>
              <w:t>FOR_REVIEW</w:t>
            </w:r>
          </w:p>
        </w:tc>
        <w:tc>
          <w:tcPr>
            <w:tcW w:type="dxa" w:w="3389"/>
            <w:vAlign w:val="top"/>
          </w:tcPr>
          <w:p>
            <w:r>
              <w:t>PARA REVISIÓN</w:t>
            </w:r>
          </w:p>
        </w:tc>
        <w:tc>
          <w:tcPr>
            <w:tcW w:type="dxa" w:w="3389"/>
            <w:vAlign w:val="top"/>
          </w:tcPr>
          <w:p>
            <w:r>
              <w:t>Revisión técnica</w:t>
            </w:r>
          </w:p>
        </w:tc>
      </w:tr>
      <w:tr>
        <w:tc>
          <w:tcPr>
            <w:tcW w:type="dxa" w:w="3389"/>
            <w:vAlign w:val="top"/>
          </w:tcPr>
          <w:p>
            <w:r>
              <w:t>APPROVED</w:t>
            </w:r>
          </w:p>
        </w:tc>
        <w:tc>
          <w:tcPr>
            <w:tcW w:type="dxa" w:w="3389"/>
            <w:vAlign w:val="top"/>
          </w:tcPr>
          <w:p>
            <w:r>
              <w:t>APROBADO</w:t>
            </w:r>
          </w:p>
        </w:tc>
        <w:tc>
          <w:tcPr>
            <w:tcW w:type="dxa" w:w="3389"/>
            <w:vAlign w:val="top"/>
          </w:tcPr>
          <w:p>
            <w:r>
              <w:t>Preparado para publicación</w:t>
            </w:r>
          </w:p>
        </w:tc>
      </w:tr>
      <w:tr>
        <w:tc>
          <w:tcPr>
            <w:tcW w:type="dxa" w:w="3389"/>
            <w:vAlign w:val="top"/>
          </w:tcPr>
          <w:p>
            <w:r>
              <w:t>FOR_QUOTATION</w:t>
            </w:r>
          </w:p>
        </w:tc>
        <w:tc>
          <w:tcPr>
            <w:tcW w:type="dxa" w:w="3389"/>
            <w:vAlign w:val="top"/>
          </w:tcPr>
          <w:p>
            <w:r>
              <w:t>PARA OFERTA</w:t>
            </w:r>
          </w:p>
        </w:tc>
        <w:tc>
          <w:tcPr>
            <w:tcW w:type="dxa" w:w="3389"/>
            <w:vAlign w:val="top"/>
          </w:tcPr>
          <w:p>
            <w:r>
              <w:t>Consulta a proveedor</w:t>
            </w:r>
          </w:p>
        </w:tc>
      </w:tr>
      <w:tr>
        <w:tc>
          <w:tcPr>
            <w:tcW w:type="dxa" w:w="3389"/>
            <w:vAlign w:val="top"/>
          </w:tcPr>
          <w:p>
            <w:r>
              <w:t>FOR_PRODUCTION</w:t>
            </w:r>
          </w:p>
        </w:tc>
        <w:tc>
          <w:tcPr>
            <w:tcW w:type="dxa" w:w="3389"/>
            <w:vAlign w:val="top"/>
          </w:tcPr>
          <w:p>
            <w:r>
              <w:t>APTO PARA FABRICACIÓN</w:t>
            </w:r>
          </w:p>
        </w:tc>
        <w:tc>
          <w:tcPr>
            <w:tcW w:type="dxa" w:w="3389"/>
            <w:vAlign w:val="top"/>
          </w:tcPr>
          <w:p>
            <w:r>
              <w:t>Fabricación autorizada</w:t>
            </w:r>
          </w:p>
        </w:tc>
      </w:tr>
      <w:tr>
        <w:tc>
          <w:tcPr>
            <w:tcW w:type="dxa" w:w="3389"/>
            <w:vAlign w:val="top"/>
          </w:tcPr>
          <w:p>
            <w:r>
              <w:t>FOR_CONSTRUCTION</w:t>
            </w:r>
          </w:p>
        </w:tc>
        <w:tc>
          <w:tcPr>
            <w:tcW w:type="dxa" w:w="3389"/>
            <w:vAlign w:val="top"/>
          </w:tcPr>
          <w:p>
            <w:r>
              <w:t>APTO PARA MONTAJE</w:t>
            </w:r>
          </w:p>
        </w:tc>
        <w:tc>
          <w:tcPr>
            <w:tcW w:type="dxa" w:w="3389"/>
            <w:vAlign w:val="top"/>
          </w:tcPr>
          <w:p>
            <w:r>
              <w:t>Obra autorizada</w:t>
            </w:r>
          </w:p>
        </w:tc>
      </w:tr>
      <w:tr>
        <w:tc>
          <w:tcPr>
            <w:tcW w:type="dxa" w:w="3389"/>
            <w:vAlign w:val="top"/>
          </w:tcPr>
          <w:p>
            <w:r>
              <w:t>AS_BUILT</w:t>
            </w:r>
          </w:p>
        </w:tc>
        <w:tc>
          <w:tcPr>
            <w:tcW w:type="dxa" w:w="3389"/>
            <w:vAlign w:val="top"/>
          </w:tcPr>
          <w:p>
            <w:r>
              <w:t>CONFORME A FABRICADO</w:t>
            </w:r>
          </w:p>
        </w:tc>
        <w:tc>
          <w:tcPr>
            <w:tcW w:type="dxa" w:w="3389"/>
            <w:vAlign w:val="top"/>
          </w:tcPr>
          <w:p>
            <w:r>
              <w:t>Registro final</w:t>
            </w:r>
          </w:p>
        </w:tc>
      </w:tr>
      <w:tr>
        <w:tc>
          <w:tcPr>
            <w:tcW w:type="dxa" w:w="3389"/>
            <w:vAlign w:val="top"/>
          </w:tcPr>
          <w:p>
            <w:r>
              <w:t>SUPERSEDED</w:t>
            </w:r>
          </w:p>
        </w:tc>
        <w:tc>
          <w:tcPr>
            <w:tcW w:type="dxa" w:w="3389"/>
            <w:vAlign w:val="top"/>
          </w:tcPr>
          <w:p>
            <w:r>
              <w:t>SUSTITUIDO</w:t>
            </w:r>
          </w:p>
        </w:tc>
        <w:tc>
          <w:tcPr>
            <w:tcW w:type="dxa" w:w="3389"/>
            <w:vAlign w:val="top"/>
          </w:tcPr>
          <w:p>
            <w:r>
              <w:t>Histórico</w:t>
            </w:r>
          </w:p>
        </w:tc>
      </w:tr>
      <w:tr>
        <w:tc>
          <w:tcPr>
            <w:tcW w:type="dxa" w:w="3389"/>
            <w:vAlign w:val="top"/>
          </w:tcPr>
          <w:p>
            <w:r>
              <w:t>CANCELLED</w:t>
            </w:r>
          </w:p>
        </w:tc>
        <w:tc>
          <w:tcPr>
            <w:tcW w:type="dxa" w:w="3389"/>
            <w:vAlign w:val="top"/>
          </w:tcPr>
          <w:p>
            <w:r>
              <w:t>ANULADO</w:t>
            </w:r>
          </w:p>
        </w:tc>
        <w:tc>
          <w:tcPr>
            <w:tcW w:type="dxa" w:w="3389"/>
            <w:vAlign w:val="top"/>
          </w:tcPr>
          <w:p>
            <w:r>
              <w:t>No usar</w:t>
            </w:r>
          </w:p>
        </w:tc>
      </w:tr>
    </w:tbl>
    <w:p/>
    <w:p>
      <w:pPr>
        <w:pStyle w:val="Heading2"/>
      </w:pPr>
      <w:r>
        <w:t>53.2 Firma, sello y verificación</w:t>
      </w:r>
    </w:p>
    <w:p>
      <w:pPr>
        <w:pStyle w:val="ListBullet"/>
      </w:pPr>
      <w:r>
        <w:t>Firma digital o aprobación electrónica ligada al usuario, rol, fecha y hash.</w:t>
      </w:r>
    </w:p>
    <w:p>
      <w:pPr>
        <w:pStyle w:val="ListBullet"/>
      </w:pPr>
      <w:r>
        <w:t>Código QR o identificador verificable para consultar la revisión vigente.</w:t>
      </w:r>
    </w:p>
    <w:p>
      <w:pPr>
        <w:pStyle w:val="ListBullet"/>
      </w:pPr>
      <w:r>
        <w:t>Marca de agua automática según estado y confidencialidad.</w:t>
      </w:r>
    </w:p>
    <w:p>
      <w:pPr>
        <w:pStyle w:val="ListBullet"/>
      </w:pPr>
      <w:r>
        <w:t>Lista de aprobadores configurable por tipo de documento y mercado.</w:t>
      </w:r>
    </w:p>
    <w:p>
      <w:pPr>
        <w:pStyle w:val="ListBullet"/>
      </w:pPr>
      <w:r>
        <w:t>Imposibilidad de alterar el archivo firmado sin invalidar su hash.</w:t>
      </w:r>
    </w:p>
    <w:p>
      <w:pPr>
        <w:pStyle w:val="Heading2"/>
      </w:pPr>
      <w:r>
        <w:t>53.3 Multilingüismo</w:t>
      </w:r>
    </w:p>
    <w:p>
      <w:r>
        <w:t>Las plantillas deberán separar texto fijo, texto técnico y datos. El sistema mantendrá glosarios aprobados en ES, EN, FR, CA, IT y PT. Las traducciones de términos críticos se bloquearán a valores del glosario; la IA podrá proponer traducciones de texto libre, pero requerirá revisión antes de publicación externa.</w:t>
      </w:r>
    </w:p>
    <w:p>
      <w:pPr>
        <w:pStyle w:val="Heading1"/>
      </w:pPr>
      <w:r>
        <w:t>54. Interfaces con ERP, PDM/PLM, QMS y SolidWorks</w:t>
      </w:r>
    </w:p>
    <w:p>
      <w:pPr>
        <w:pStyle w:val="Heading2"/>
      </w:pPr>
      <w:r>
        <w:t>54.1 Propiedad del dato</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AD3"/>
            <w:vAlign w:val="center"/>
          </w:tcPr>
          <w:p>
            <w:r>
              <w:rPr>
                <w:b/>
              </w:rPr>
              <w:t>Dato</w:t>
            </w:r>
          </w:p>
        </w:tc>
        <w:tc>
          <w:tcPr>
            <w:tcW w:type="dxa" w:w="5083"/>
            <w:shd w:fill="D9EAD3"/>
            <w:vAlign w:val="center"/>
          </w:tcPr>
          <w:p>
            <w:r>
              <w:rPr>
                <w:b/>
              </w:rPr>
              <w:t>Sistema propietario propuesto</w:t>
            </w:r>
          </w:p>
        </w:tc>
      </w:tr>
      <w:tr>
        <w:tc>
          <w:tcPr>
            <w:tcW w:type="dxa" w:w="5083"/>
            <w:vAlign w:val="top"/>
          </w:tcPr>
          <w:p>
            <w:r>
              <w:t>Geometría y revisión CAD</w:t>
            </w:r>
          </w:p>
        </w:tc>
        <w:tc>
          <w:tcPr>
            <w:tcW w:type="dxa" w:w="5083"/>
            <w:vAlign w:val="top"/>
          </w:tcPr>
          <w:p>
            <w:r>
              <w:t>Salvi Studio / PDM</w:t>
            </w:r>
          </w:p>
        </w:tc>
      </w:tr>
      <w:tr>
        <w:tc>
          <w:tcPr>
            <w:tcW w:type="dxa" w:w="5083"/>
            <w:vAlign w:val="top"/>
          </w:tcPr>
          <w:p>
            <w:r>
              <w:t>BOM técnica</w:t>
            </w:r>
          </w:p>
        </w:tc>
        <w:tc>
          <w:tcPr>
            <w:tcW w:type="dxa" w:w="5083"/>
            <w:vAlign w:val="top"/>
          </w:tcPr>
          <w:p>
            <w:r>
              <w:t>Salvi Studio / PLM</w:t>
            </w:r>
          </w:p>
        </w:tc>
      </w:tr>
      <w:tr>
        <w:tc>
          <w:tcPr>
            <w:tcW w:type="dxa" w:w="5083"/>
            <w:vAlign w:val="top"/>
          </w:tcPr>
          <w:p>
            <w:r>
              <w:t>SKU, stock y precio</w:t>
            </w:r>
          </w:p>
        </w:tc>
        <w:tc>
          <w:tcPr>
            <w:tcW w:type="dxa" w:w="5083"/>
            <w:vAlign w:val="top"/>
          </w:tcPr>
          <w:p>
            <w:r>
              <w:t>ERP/PIM</w:t>
            </w:r>
          </w:p>
        </w:tc>
      </w:tr>
      <w:tr>
        <w:tc>
          <w:tcPr>
            <w:tcW w:type="dxa" w:w="5083"/>
            <w:vAlign w:val="top"/>
          </w:tcPr>
          <w:p>
            <w:r>
              <w:t>Ruta y tiempos estándar</w:t>
            </w:r>
          </w:p>
        </w:tc>
        <w:tc>
          <w:tcPr>
            <w:tcW w:type="dxa" w:w="5083"/>
            <w:vAlign w:val="top"/>
          </w:tcPr>
          <w:p>
            <w:r>
              <w:t>ERP/MES</w:t>
            </w:r>
          </w:p>
        </w:tc>
      </w:tr>
      <w:tr>
        <w:tc>
          <w:tcPr>
            <w:tcW w:type="dxa" w:w="5083"/>
            <w:vAlign w:val="top"/>
          </w:tcPr>
          <w:p>
            <w:r>
              <w:t>Proveedores y compras</w:t>
            </w:r>
          </w:p>
        </w:tc>
        <w:tc>
          <w:tcPr>
            <w:tcW w:type="dxa" w:w="5083"/>
            <w:vAlign w:val="top"/>
          </w:tcPr>
          <w:p>
            <w:r>
              <w:t>ERP</w:t>
            </w:r>
          </w:p>
        </w:tc>
      </w:tr>
      <w:tr>
        <w:tc>
          <w:tcPr>
            <w:tcW w:type="dxa" w:w="5083"/>
            <w:vAlign w:val="top"/>
          </w:tcPr>
          <w:p>
            <w:r>
              <w:t>Plan de control y NCR</w:t>
            </w:r>
          </w:p>
        </w:tc>
        <w:tc>
          <w:tcPr>
            <w:tcW w:type="dxa" w:w="5083"/>
            <w:vAlign w:val="top"/>
          </w:tcPr>
          <w:p>
            <w:r>
              <w:t>QMS</w:t>
            </w:r>
          </w:p>
        </w:tc>
      </w:tr>
      <w:tr>
        <w:tc>
          <w:tcPr>
            <w:tcW w:type="dxa" w:w="5083"/>
            <w:vAlign w:val="top"/>
          </w:tcPr>
          <w:p>
            <w:r>
              <w:t>Archivos nativos SolidWorks</w:t>
            </w:r>
          </w:p>
        </w:tc>
        <w:tc>
          <w:tcPr>
            <w:tcW w:type="dxa" w:w="5083"/>
            <w:vAlign w:val="top"/>
          </w:tcPr>
          <w:p>
            <w:r>
              <w:t>PDM</w:t>
            </w:r>
          </w:p>
        </w:tc>
      </w:tr>
      <w:tr>
        <w:tc>
          <w:tcPr>
            <w:tcW w:type="dxa" w:w="5083"/>
            <w:vAlign w:val="top"/>
          </w:tcPr>
          <w:p>
            <w:r>
              <w:t>Paquete de liberación y auditoría</w:t>
            </w:r>
          </w:p>
        </w:tc>
        <w:tc>
          <w:tcPr>
            <w:tcW w:type="dxa" w:w="5083"/>
            <w:vAlign w:val="top"/>
          </w:tcPr>
          <w:p>
            <w:r>
              <w:t>Salvi Studio</w:t>
            </w:r>
          </w:p>
        </w:tc>
      </w:tr>
    </w:tbl>
    <w:p/>
    <w:p>
      <w:pPr>
        <w:pStyle w:val="Heading2"/>
      </w:pPr>
      <w:r>
        <w:t>54.2 Reglas de sincronización</w:t>
      </w:r>
    </w:p>
    <w:p>
      <w:pPr>
        <w:pStyle w:val="ListBullet"/>
      </w:pPr>
      <w:r>
        <w:t>Integraciones idempotentes y con identificadores externos persistentes.</w:t>
      </w:r>
    </w:p>
    <w:p>
      <w:pPr>
        <w:pStyle w:val="ListBullet"/>
      </w:pPr>
      <w:r>
        <w:t>No sobrescribir datos propietarios de otro sistema sin transacción autorizada.</w:t>
      </w:r>
    </w:p>
    <w:p>
      <w:pPr>
        <w:pStyle w:val="ListBullet"/>
      </w:pPr>
      <w:r>
        <w:t>Cola de reintentos y bandeja de errores para conflictos.</w:t>
      </w:r>
    </w:p>
    <w:p>
      <w:pPr>
        <w:pStyle w:val="ListBullet"/>
      </w:pPr>
      <w:r>
        <w:t>Registro de payload, respuesta, usuario técnico y fecha.</w:t>
      </w:r>
    </w:p>
    <w:p>
      <w:pPr>
        <w:pStyle w:val="ListBullet"/>
      </w:pPr>
      <w:r>
        <w:t>Validación previa en entorno de staging antes de publicar a producción.</w:t>
      </w:r>
    </w:p>
    <w:p>
      <w:pPr>
        <w:pStyle w:val="ListBullet"/>
      </w:pPr>
      <w:r>
        <w:t>Reconciliación periódica de BOM, revisiones y estados.</w:t>
      </w:r>
    </w:p>
    <w:p>
      <w:pPr>
        <w:pStyle w:val="Heading2"/>
      </w:pPr>
      <w:r>
        <w:t>54.3 Integración SolidWorks</w:t>
      </w:r>
    </w:p>
    <w:p>
      <w:r>
        <w:t>La integración futura deberá crear piezas y ensamblajes mediante API, asignar propiedades personalizadas, materiales, configuraciones, referencias y dibujos, registrar archivos en PDM y devolver identificadores. El modelo nativo será un derivado controlado del modelo canónico, no una fuente paralela de verdad.</w:t>
      </w:r>
    </w:p>
    <w:p>
      <w:pPr>
        <w:pStyle w:val="Heading1"/>
      </w:pPr>
      <w:r>
        <w:t>55. Seguridad, propiedad intelectual y segregación de información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9EAD3"/>
            <w:vAlign w:val="center"/>
          </w:tcPr>
          <w:p>
            <w:r>
              <w:rPr>
                <w:b/>
              </w:rPr>
              <w:t>Perfil</w:t>
            </w:r>
          </w:p>
        </w:tc>
        <w:tc>
          <w:tcPr>
            <w:tcW w:type="dxa" w:w="3389"/>
            <w:shd w:fill="D9EAD3"/>
            <w:vAlign w:val="center"/>
          </w:tcPr>
          <w:p>
            <w:r>
              <w:rPr>
                <w:b/>
              </w:rPr>
              <w:t>Acceso principal</w:t>
            </w:r>
          </w:p>
        </w:tc>
        <w:tc>
          <w:tcPr>
            <w:tcW w:type="dxa" w:w="3389"/>
            <w:shd w:fill="D9EAD3"/>
            <w:vAlign w:val="center"/>
          </w:tcPr>
          <w:p>
            <w:r>
              <w:rPr>
                <w:b/>
              </w:rPr>
              <w:t>Restricciones</w:t>
            </w:r>
          </w:p>
        </w:tc>
      </w:tr>
      <w:tr>
        <w:tc>
          <w:tcPr>
            <w:tcW w:type="dxa" w:w="3389"/>
            <w:vAlign w:val="top"/>
          </w:tcPr>
          <w:p>
            <w:r>
              <w:t>Comercial</w:t>
            </w:r>
          </w:p>
        </w:tc>
        <w:tc>
          <w:tcPr>
            <w:tcW w:type="dxa" w:w="3389"/>
            <w:vAlign w:val="top"/>
          </w:tcPr>
          <w:p>
            <w:r>
              <w:t>Ficha, selección y documentos cliente</w:t>
            </w:r>
          </w:p>
        </w:tc>
        <w:tc>
          <w:tcPr>
            <w:tcW w:type="dxa" w:w="3389"/>
            <w:vAlign w:val="top"/>
          </w:tcPr>
          <w:p>
            <w:r>
              <w:t>Sin costes desglosados ni procesos confidenciales</w:t>
            </w:r>
          </w:p>
        </w:tc>
      </w:tr>
      <w:tr>
        <w:tc>
          <w:tcPr>
            <w:tcW w:type="dxa" w:w="3389"/>
            <w:vAlign w:val="top"/>
          </w:tcPr>
          <w:p>
            <w:r>
              <w:t>Ingeniería</w:t>
            </w:r>
          </w:p>
        </w:tc>
        <w:tc>
          <w:tcPr>
            <w:tcW w:type="dxa" w:w="3389"/>
            <w:vAlign w:val="top"/>
          </w:tcPr>
          <w:p>
            <w:r>
              <w:t>CAD, cálculo, BOM técnica y planos</w:t>
            </w:r>
          </w:p>
        </w:tc>
        <w:tc>
          <w:tcPr>
            <w:tcW w:type="dxa" w:w="3389"/>
            <w:vAlign w:val="top"/>
          </w:tcPr>
          <w:p>
            <w:r>
              <w:t>Sin modificar tarifas bloqueadas</w:t>
            </w:r>
          </w:p>
        </w:tc>
      </w:tr>
      <w:tr>
        <w:tc>
          <w:tcPr>
            <w:tcW w:type="dxa" w:w="3389"/>
            <w:vAlign w:val="top"/>
          </w:tcPr>
          <w:p>
            <w:r>
              <w:t>Producción</w:t>
            </w:r>
          </w:p>
        </w:tc>
        <w:tc>
          <w:tcPr>
            <w:tcW w:type="dxa" w:w="3389"/>
            <w:vAlign w:val="top"/>
          </w:tcPr>
          <w:p>
            <w:r>
              <w:t>MBOM, rutas, instrucciones y control</w:t>
            </w:r>
          </w:p>
        </w:tc>
        <w:tc>
          <w:tcPr>
            <w:tcW w:type="dxa" w:w="3389"/>
            <w:vAlign w:val="top"/>
          </w:tcPr>
          <w:p>
            <w:r>
              <w:t>Sin reglas de cálculo estructural internas</w:t>
            </w:r>
          </w:p>
        </w:tc>
      </w:tr>
      <w:tr>
        <w:tc>
          <w:tcPr>
            <w:tcW w:type="dxa" w:w="3389"/>
            <w:vAlign w:val="top"/>
          </w:tcPr>
          <w:p>
            <w:r>
              <w:t>Compras</w:t>
            </w:r>
          </w:p>
        </w:tc>
        <w:tc>
          <w:tcPr>
            <w:tcW w:type="dxa" w:w="3389"/>
            <w:vAlign w:val="top"/>
          </w:tcPr>
          <w:p>
            <w:r>
              <w:t>PBOM, proveedores, precios y alternativas</w:t>
            </w:r>
          </w:p>
        </w:tc>
        <w:tc>
          <w:tcPr>
            <w:tcW w:type="dxa" w:w="3389"/>
            <w:vAlign w:val="top"/>
          </w:tcPr>
          <w:p>
            <w:r>
              <w:t>Sin geometría confidencial completa cuando no sea necesaria</w:t>
            </w:r>
          </w:p>
        </w:tc>
      </w:tr>
      <w:tr>
        <w:tc>
          <w:tcPr>
            <w:tcW w:type="dxa" w:w="3389"/>
            <w:vAlign w:val="top"/>
          </w:tcPr>
          <w:p>
            <w:r>
              <w:t>Proveedor</w:t>
            </w:r>
          </w:p>
        </w:tc>
        <w:tc>
          <w:tcPr>
            <w:tcW w:type="dxa" w:w="3389"/>
            <w:vAlign w:val="top"/>
          </w:tcPr>
          <w:p>
            <w:r>
              <w:t>Paquete autorizado</w:t>
            </w:r>
          </w:p>
        </w:tc>
        <w:tc>
          <w:tcPr>
            <w:tcW w:type="dxa" w:w="3389"/>
            <w:vAlign w:val="top"/>
          </w:tcPr>
          <w:p>
            <w:r>
              <w:t>Solo proyecto, revisión y alcance asignados</w:t>
            </w:r>
          </w:p>
        </w:tc>
      </w:tr>
      <w:tr>
        <w:tc>
          <w:tcPr>
            <w:tcW w:type="dxa" w:w="3389"/>
            <w:vAlign w:val="top"/>
          </w:tcPr>
          <w:p>
            <w:r>
              <w:t>Calidad</w:t>
            </w:r>
          </w:p>
        </w:tc>
        <w:tc>
          <w:tcPr>
            <w:tcW w:type="dxa" w:w="3389"/>
            <w:vAlign w:val="top"/>
          </w:tcPr>
          <w:p>
            <w:r>
              <w:t>Plan de control, registros y dossier</w:t>
            </w:r>
          </w:p>
        </w:tc>
        <w:tc>
          <w:tcPr>
            <w:tcW w:type="dxa" w:w="3389"/>
            <w:vAlign w:val="top"/>
          </w:tcPr>
          <w:p>
            <w:r>
              <w:t>Acceso de lectura a diseño necesario</w:t>
            </w:r>
          </w:p>
        </w:tc>
      </w:tr>
      <w:tr>
        <w:tc>
          <w:tcPr>
            <w:tcW w:type="dxa" w:w="3389"/>
            <w:vAlign w:val="top"/>
          </w:tcPr>
          <w:p>
            <w:r>
              <w:t>Administrador</w:t>
            </w:r>
          </w:p>
        </w:tc>
        <w:tc>
          <w:tcPr>
            <w:tcW w:type="dxa" w:w="3389"/>
            <w:vAlign w:val="top"/>
          </w:tcPr>
          <w:p>
            <w:r>
              <w:t>Bibliotecas, plantillas e integraciones</w:t>
            </w:r>
          </w:p>
        </w:tc>
        <w:tc>
          <w:tcPr>
            <w:tcW w:type="dxa" w:w="3389"/>
            <w:vAlign w:val="top"/>
          </w:tcPr>
          <w:p>
            <w:r>
              <w:t>Acciones sensibles con doble control</w:t>
            </w:r>
          </w:p>
        </w:tc>
      </w:tr>
    </w:tbl>
    <w:p/>
    <w:p>
      <w:r>
        <w:t>Los paquetes para proveedores deberán aplicar minimización de información. La geometría, fórmulas, reglas internas, costes, datos de otros proveedores y know-how no necesarios deberán excluirse automáticamente.</w:t>
      </w:r>
    </w:p>
    <w:p>
      <w:pPr>
        <w:pStyle w:val="Heading1"/>
      </w:pPr>
      <w:r>
        <w:t>56. Rendimiento, colas y resiliencia</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AD3"/>
            <w:vAlign w:val="center"/>
          </w:tcPr>
          <w:p>
            <w:r>
              <w:rPr>
                <w:b/>
              </w:rPr>
              <w:t>Proceso</w:t>
            </w:r>
          </w:p>
        </w:tc>
        <w:tc>
          <w:tcPr>
            <w:tcW w:type="dxa" w:w="5083"/>
            <w:shd w:fill="D9EAD3"/>
            <w:vAlign w:val="center"/>
          </w:tcPr>
          <w:p>
            <w:r>
              <w:rPr>
                <w:b/>
              </w:rPr>
              <w:t>Objetivo inicial</w:t>
            </w:r>
          </w:p>
        </w:tc>
      </w:tr>
      <w:tr>
        <w:tc>
          <w:tcPr>
            <w:tcW w:type="dxa" w:w="5083"/>
            <w:vAlign w:val="top"/>
          </w:tcPr>
          <w:p>
            <w:r>
              <w:t>Generación de vista web</w:t>
            </w:r>
          </w:p>
        </w:tc>
        <w:tc>
          <w:tcPr>
            <w:tcW w:type="dxa" w:w="5083"/>
            <w:vAlign w:val="top"/>
          </w:tcPr>
          <w:p>
            <w:r>
              <w:t>&lt; 10 s para conjunto estándar</w:t>
            </w:r>
          </w:p>
        </w:tc>
      </w:tr>
      <w:tr>
        <w:tc>
          <w:tcPr>
            <w:tcW w:type="dxa" w:w="5083"/>
            <w:vAlign w:val="top"/>
          </w:tcPr>
          <w:p>
            <w:r>
              <w:t>Generación STEP/DXF</w:t>
            </w:r>
          </w:p>
        </w:tc>
        <w:tc>
          <w:tcPr>
            <w:tcW w:type="dxa" w:w="5083"/>
            <w:vAlign w:val="top"/>
          </w:tcPr>
          <w:p>
            <w:r>
              <w:t>&lt; 2 min para columna estándar</w:t>
            </w:r>
          </w:p>
        </w:tc>
      </w:tr>
      <w:tr>
        <w:tc>
          <w:tcPr>
            <w:tcW w:type="dxa" w:w="5083"/>
            <w:vAlign w:val="top"/>
          </w:tcPr>
          <w:p>
            <w:r>
              <w:t>Generación paquete completo</w:t>
            </w:r>
          </w:p>
        </w:tc>
        <w:tc>
          <w:tcPr>
            <w:tcW w:type="dxa" w:w="5083"/>
            <w:vAlign w:val="top"/>
          </w:tcPr>
          <w:p>
            <w:r>
              <w:t>&lt; 10 min para conjunto típico</w:t>
            </w:r>
          </w:p>
        </w:tc>
      </w:tr>
      <w:tr>
        <w:tc>
          <w:tcPr>
            <w:tcW w:type="dxa" w:w="5083"/>
            <w:vAlign w:val="top"/>
          </w:tcPr>
          <w:p>
            <w:r>
              <w:t>Reconciliación BOM-CAD</w:t>
            </w:r>
          </w:p>
        </w:tc>
        <w:tc>
          <w:tcPr>
            <w:tcW w:type="dxa" w:w="5083"/>
            <w:vAlign w:val="top"/>
          </w:tcPr>
          <w:p>
            <w:r>
              <w:t>&lt; 30 s</w:t>
            </w:r>
          </w:p>
        </w:tc>
      </w:tr>
      <w:tr>
        <w:tc>
          <w:tcPr>
            <w:tcW w:type="dxa" w:w="5083"/>
            <w:vAlign w:val="top"/>
          </w:tcPr>
          <w:p>
            <w:r>
              <w:t>Regeneración incremental</w:t>
            </w:r>
          </w:p>
        </w:tc>
        <w:tc>
          <w:tcPr>
            <w:tcW w:type="dxa" w:w="5083"/>
            <w:vAlign w:val="top"/>
          </w:tcPr>
          <w:p>
            <w:r>
              <w:t>Solo artefactos afectados</w:t>
            </w:r>
          </w:p>
        </w:tc>
      </w:tr>
      <w:tr>
        <w:tc>
          <w:tcPr>
            <w:tcW w:type="dxa" w:w="5083"/>
            <w:vAlign w:val="top"/>
          </w:tcPr>
          <w:p>
            <w:r>
              <w:t>Disponibilidad del servicio</w:t>
            </w:r>
          </w:p>
        </w:tc>
        <w:tc>
          <w:tcPr>
            <w:tcW w:type="dxa" w:w="5083"/>
            <w:vAlign w:val="top"/>
          </w:tcPr>
          <w:p>
            <w:r>
              <w:t>Objetivo 99,5 % interno</w:t>
            </w:r>
          </w:p>
        </w:tc>
      </w:tr>
      <w:tr>
        <w:tc>
          <w:tcPr>
            <w:tcW w:type="dxa" w:w="5083"/>
            <w:vAlign w:val="top"/>
          </w:tcPr>
          <w:p>
            <w:r>
              <w:t>RPO</w:t>
            </w:r>
          </w:p>
        </w:tc>
        <w:tc>
          <w:tcPr>
            <w:tcW w:type="dxa" w:w="5083"/>
            <w:vAlign w:val="top"/>
          </w:tcPr>
          <w:p>
            <w:r>
              <w:t>≤ 24 h para datos no transaccionales; menor para liberaciones</w:t>
            </w:r>
          </w:p>
        </w:tc>
      </w:tr>
      <w:tr>
        <w:tc>
          <w:tcPr>
            <w:tcW w:type="dxa" w:w="5083"/>
            <w:vAlign w:val="top"/>
          </w:tcPr>
          <w:p>
            <w:r>
              <w:t>RTO</w:t>
            </w:r>
          </w:p>
        </w:tc>
        <w:tc>
          <w:tcPr>
            <w:tcW w:type="dxa" w:w="5083"/>
            <w:vAlign w:val="top"/>
          </w:tcPr>
          <w:p>
            <w:r>
              <w:t>≤ 8 h para servicio industrial</w:t>
            </w:r>
          </w:p>
        </w:tc>
      </w:tr>
    </w:tbl>
    <w:p/>
    <w:p>
      <w:r>
        <w:t>Los trabajos largos se ejecutarán de forma asíncrona, con prioridad, progreso, cancelación segura y reanudación. Los artefactos parciales nunca deberán publicarse como liberados.</w:t>
      </w:r>
    </w:p>
    <w:p>
      <w:pPr>
        <w:pStyle w:val="Heading1"/>
      </w:pPr>
      <w:r>
        <w:t>57. Validación integral y matriz de pruebas</w:t>
      </w:r>
    </w:p>
    <w:p>
      <w:pPr>
        <w:pStyle w:val="Heading2"/>
      </w:pPr>
      <w:r>
        <w:t>57.1 Capas de validación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AD3"/>
            <w:vAlign w:val="center"/>
          </w:tcPr>
          <w:p>
            <w:r>
              <w:rPr>
                <w:b/>
              </w:rPr>
              <w:t>Capa</w:t>
            </w:r>
          </w:p>
        </w:tc>
        <w:tc>
          <w:tcPr>
            <w:tcW w:type="dxa" w:w="5083"/>
            <w:shd w:fill="D9EAD3"/>
            <w:vAlign w:val="center"/>
          </w:tcPr>
          <w:p>
            <w:r>
              <w:rPr>
                <w:b/>
              </w:rPr>
              <w:t>Validación</w:t>
            </w:r>
          </w:p>
        </w:tc>
      </w:tr>
      <w:tr>
        <w:tc>
          <w:tcPr>
            <w:tcW w:type="dxa" w:w="5083"/>
            <w:vAlign w:val="top"/>
          </w:tcPr>
          <w:p>
            <w:r>
              <w:t>Geométrica</w:t>
            </w:r>
          </w:p>
        </w:tc>
        <w:tc>
          <w:tcPr>
            <w:tcW w:type="dxa" w:w="5083"/>
            <w:vAlign w:val="top"/>
          </w:tcPr>
          <w:p>
            <w:r>
              <w:t>Dimensiones, topología, masa, interferencias y reconstrucción</w:t>
            </w:r>
          </w:p>
        </w:tc>
      </w:tr>
      <w:tr>
        <w:tc>
          <w:tcPr>
            <w:tcW w:type="dxa" w:w="5083"/>
            <w:vAlign w:val="top"/>
          </w:tcPr>
          <w:p>
            <w:r>
              <w:t>Documental</w:t>
            </w:r>
          </w:p>
        </w:tc>
        <w:tc>
          <w:tcPr>
            <w:tcW w:type="dxa" w:w="5083"/>
            <w:vAlign w:val="top"/>
          </w:tcPr>
          <w:p>
            <w:r>
              <w:t>Planos, cotas, notas, idiomas, estados y firmas</w:t>
            </w:r>
          </w:p>
        </w:tc>
      </w:tr>
      <w:tr>
        <w:tc>
          <w:tcPr>
            <w:tcW w:type="dxa" w:w="5083"/>
            <w:vAlign w:val="top"/>
          </w:tcPr>
          <w:p>
            <w:r>
              <w:t>BOM</w:t>
            </w:r>
          </w:p>
        </w:tc>
        <w:tc>
          <w:tcPr>
            <w:tcW w:type="dxa" w:w="5083"/>
            <w:vAlign w:val="top"/>
          </w:tcPr>
          <w:p>
            <w:r>
              <w:t>Cantidades, unidades, revisiones, sustituciones y reconciliación</w:t>
            </w:r>
          </w:p>
        </w:tc>
      </w:tr>
      <w:tr>
        <w:tc>
          <w:tcPr>
            <w:tcW w:type="dxa" w:w="5083"/>
            <w:vAlign w:val="top"/>
          </w:tcPr>
          <w:p>
            <w:r>
              <w:t>Fabricación</w:t>
            </w:r>
          </w:p>
        </w:tc>
        <w:tc>
          <w:tcPr>
            <w:tcW w:type="dxa" w:w="5083"/>
            <w:vAlign w:val="top"/>
          </w:tcPr>
          <w:p>
            <w:r>
              <w:t>Rutas, procesos, capacidad, tolerancias y WPS</w:t>
            </w:r>
          </w:p>
        </w:tc>
      </w:tr>
      <w:tr>
        <w:tc>
          <w:tcPr>
            <w:tcW w:type="dxa" w:w="5083"/>
            <w:vAlign w:val="top"/>
          </w:tcPr>
          <w:p>
            <w:r>
              <w:t>Calidad</w:t>
            </w:r>
          </w:p>
        </w:tc>
        <w:tc>
          <w:tcPr>
            <w:tcW w:type="dxa" w:w="5083"/>
            <w:vAlign w:val="top"/>
          </w:tcPr>
          <w:p>
            <w:r>
              <w:t>CTQ, métodos, frecuencias, registros y trazabilidad</w:t>
            </w:r>
          </w:p>
        </w:tc>
      </w:tr>
      <w:tr>
        <w:tc>
          <w:tcPr>
            <w:tcW w:type="dxa" w:w="5083"/>
            <w:vAlign w:val="top"/>
          </w:tcPr>
          <w:p>
            <w:r>
              <w:t>Integración</w:t>
            </w:r>
          </w:p>
        </w:tc>
        <w:tc>
          <w:tcPr>
            <w:tcW w:type="dxa" w:w="5083"/>
            <w:vAlign w:val="top"/>
          </w:tcPr>
          <w:p>
            <w:r>
              <w:t>ERP/PDM/QMS, idempotencia y conflictos</w:t>
            </w:r>
          </w:p>
        </w:tc>
      </w:tr>
      <w:tr>
        <w:tc>
          <w:tcPr>
            <w:tcW w:type="dxa" w:w="5083"/>
            <w:vAlign w:val="top"/>
          </w:tcPr>
          <w:p>
            <w:r>
              <w:t>Seguridad</w:t>
            </w:r>
          </w:p>
        </w:tc>
        <w:tc>
          <w:tcPr>
            <w:tcW w:type="dxa" w:w="5083"/>
            <w:vAlign w:val="top"/>
          </w:tcPr>
          <w:p>
            <w:r>
              <w:t>Permisos, segregación, auditoría y exportación</w:t>
            </w:r>
          </w:p>
        </w:tc>
      </w:tr>
      <w:tr>
        <w:tc>
          <w:tcPr>
            <w:tcW w:type="dxa" w:w="5083"/>
            <w:vAlign w:val="top"/>
          </w:tcPr>
          <w:p>
            <w:r>
              <w:t>Regresión</w:t>
            </w:r>
          </w:p>
        </w:tc>
        <w:tc>
          <w:tcPr>
            <w:tcW w:type="dxa" w:w="5083"/>
            <w:vAlign w:val="top"/>
          </w:tcPr>
          <w:p>
            <w:r>
              <w:t>Golden masters y comparación de artefactos</w:t>
            </w:r>
          </w:p>
        </w:tc>
      </w:tr>
    </w:tbl>
    <w:p/>
    <w:p>
      <w:pPr>
        <w:pStyle w:val="Heading2"/>
      </w:pPr>
      <w:r>
        <w:t>57.2 Casos adicionales de aceptación AC14-201 a AC14-320</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AD3"/>
            <w:vAlign w:val="center"/>
          </w:tcPr>
          <w:p>
            <w:r>
              <w:rPr>
                <w:b/>
              </w:rPr>
              <w:t>Rango</w:t>
            </w:r>
          </w:p>
        </w:tc>
        <w:tc>
          <w:tcPr>
            <w:tcW w:type="dxa" w:w="5083"/>
            <w:shd w:fill="D9EAD3"/>
            <w:vAlign w:val="center"/>
          </w:tcPr>
          <w:p>
            <w:r>
              <w:rPr>
                <w:b/>
              </w:rPr>
              <w:t>Contenido</w:t>
            </w:r>
          </w:p>
        </w:tc>
      </w:tr>
      <w:tr>
        <w:tc>
          <w:tcPr>
            <w:tcW w:type="dxa" w:w="5083"/>
            <w:vAlign w:val="top"/>
          </w:tcPr>
          <w:p>
            <w:r>
              <w:t>AC14-201–215</w:t>
            </w:r>
          </w:p>
        </w:tc>
        <w:tc>
          <w:tcPr>
            <w:tcW w:type="dxa" w:w="5083"/>
            <w:vAlign w:val="top"/>
          </w:tcPr>
          <w:p>
            <w:r>
              <w:t>ProductSnapshot, procedencia, inmutabilidad y hashes</w:t>
            </w:r>
          </w:p>
        </w:tc>
      </w:tr>
      <w:tr>
        <w:tc>
          <w:tcPr>
            <w:tcW w:type="dxa" w:w="5083"/>
            <w:vAlign w:val="top"/>
          </w:tcPr>
          <w:p>
            <w:r>
              <w:t>AC14-216–235</w:t>
            </w:r>
          </w:p>
        </w:tc>
        <w:tc>
          <w:tcPr>
            <w:tcW w:type="dxa" w:w="5083"/>
            <w:vAlign w:val="top"/>
          </w:tcPr>
          <w:p>
            <w:r>
              <w:t>Codificación, revisiones, nombres de archivo y duplicados</w:t>
            </w:r>
          </w:p>
        </w:tc>
      </w:tr>
      <w:tr>
        <w:tc>
          <w:tcPr>
            <w:tcW w:type="dxa" w:w="5083"/>
            <w:vAlign w:val="top"/>
          </w:tcPr>
          <w:p>
            <w:r>
              <w:t>AC14-236–255</w:t>
            </w:r>
          </w:p>
        </w:tc>
        <w:tc>
          <w:tcPr>
            <w:tcW w:type="dxa" w:w="5083"/>
            <w:vAlign w:val="top"/>
          </w:tcPr>
          <w:p>
            <w:r>
              <w:t>CAD de acero, aluminio, hormigón y cimentación</w:t>
            </w:r>
          </w:p>
        </w:tc>
      </w:tr>
      <w:tr>
        <w:tc>
          <w:tcPr>
            <w:tcW w:type="dxa" w:w="5083"/>
            <w:vAlign w:val="top"/>
          </w:tcPr>
          <w:p>
            <w:r>
              <w:t>AC14-256–270</w:t>
            </w:r>
          </w:p>
        </w:tc>
        <w:tc>
          <w:tcPr>
            <w:tcW w:type="dxa" w:w="5083"/>
            <w:vAlign w:val="top"/>
          </w:tcPr>
          <w:p>
            <w:r>
              <w:t>Planos, vistas, cotas, PMI, GD&amp;T y cajetines</w:t>
            </w:r>
          </w:p>
        </w:tc>
      </w:tr>
      <w:tr>
        <w:tc>
          <w:tcPr>
            <w:tcW w:type="dxa" w:w="5083"/>
            <w:vAlign w:val="top"/>
          </w:tcPr>
          <w:p>
            <w:r>
              <w:t>AC14-271–285</w:t>
            </w:r>
          </w:p>
        </w:tc>
        <w:tc>
          <w:tcPr>
            <w:tcW w:type="dxa" w:w="5083"/>
            <w:vAlign w:val="top"/>
          </w:tcPr>
          <w:p>
            <w:r>
              <w:t>EBOM, MBOM, PBOM, SBOM, as-built y servicio</w:t>
            </w:r>
          </w:p>
        </w:tc>
      </w:tr>
      <w:tr>
        <w:tc>
          <w:tcPr>
            <w:tcW w:type="dxa" w:w="5083"/>
            <w:vAlign w:val="top"/>
          </w:tcPr>
          <w:p>
            <w:r>
              <w:t>AC14-286–295</w:t>
            </w:r>
          </w:p>
        </w:tc>
        <w:tc>
          <w:tcPr>
            <w:tcW w:type="dxa" w:w="5083"/>
            <w:vAlign w:val="top"/>
          </w:tcPr>
          <w:p>
            <w:r>
              <w:t>Costes, mermas, make-or-buy y tarifas</w:t>
            </w:r>
          </w:p>
        </w:tc>
      </w:tr>
      <w:tr>
        <w:tc>
          <w:tcPr>
            <w:tcW w:type="dxa" w:w="5083"/>
            <w:vAlign w:val="top"/>
          </w:tcPr>
          <w:p>
            <w:r>
              <w:t>AC14-296–305</w:t>
            </w:r>
          </w:p>
        </w:tc>
        <w:tc>
          <w:tcPr>
            <w:tcW w:type="dxa" w:w="5083"/>
            <w:vAlign w:val="top"/>
          </w:tcPr>
          <w:p>
            <w:r>
              <w:t>Proveedor, portal, certificados, NCR y dossier</w:t>
            </w:r>
          </w:p>
        </w:tc>
      </w:tr>
      <w:tr>
        <w:tc>
          <w:tcPr>
            <w:tcW w:type="dxa" w:w="5083"/>
            <w:vAlign w:val="top"/>
          </w:tcPr>
          <w:p>
            <w:r>
              <w:t>AC14-306–312</w:t>
            </w:r>
          </w:p>
        </w:tc>
        <w:tc>
          <w:tcPr>
            <w:tcW w:type="dxa" w:w="5083"/>
            <w:vAlign w:val="top"/>
          </w:tcPr>
          <w:p>
            <w:r>
              <w:t>Embalaje, transporte, izado y montaje</w:t>
            </w:r>
          </w:p>
        </w:tc>
      </w:tr>
      <w:tr>
        <w:tc>
          <w:tcPr>
            <w:tcW w:type="dxa" w:w="5083"/>
            <w:vAlign w:val="top"/>
          </w:tcPr>
          <w:p>
            <w:r>
              <w:t>AC14-313–318</w:t>
            </w:r>
          </w:p>
        </w:tc>
        <w:tc>
          <w:tcPr>
            <w:tcW w:type="dxa" w:w="5083"/>
            <w:vAlign w:val="top"/>
          </w:tcPr>
          <w:p>
            <w:r>
              <w:t>Integraciones, permisos, auditoría y resiliencia</w:t>
            </w:r>
          </w:p>
        </w:tc>
      </w:tr>
      <w:tr>
        <w:tc>
          <w:tcPr>
            <w:tcW w:type="dxa" w:w="5083"/>
            <w:vAlign w:val="top"/>
          </w:tcPr>
          <w:p>
            <w:r>
              <w:t>AC14-319–320</w:t>
            </w:r>
          </w:p>
        </w:tc>
        <w:tc>
          <w:tcPr>
            <w:tcW w:type="dxa" w:w="5083"/>
            <w:vAlign w:val="top"/>
          </w:tcPr>
          <w:p>
            <w:r>
              <w:t>Regeneración determinista y liberación completa</w:t>
            </w:r>
          </w:p>
        </w:tc>
      </w:tr>
    </w:tbl>
    <w:p/>
    <w:p>
      <w:pPr>
        <w:pStyle w:val="Heading2"/>
      </w:pPr>
      <w:r>
        <w:t>57.3 Criterios cuantitativos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AD3"/>
            <w:vAlign w:val="center"/>
          </w:tcPr>
          <w:p>
            <w:r>
              <w:rPr>
                <w:b/>
              </w:rPr>
              <w:t>Métrica</w:t>
            </w:r>
          </w:p>
        </w:tc>
        <w:tc>
          <w:tcPr>
            <w:tcW w:type="dxa" w:w="5083"/>
            <w:shd w:fill="D9EAD3"/>
            <w:vAlign w:val="center"/>
          </w:tcPr>
          <w:p>
            <w:r>
              <w:rPr>
                <w:b/>
              </w:rPr>
              <w:t>Criterio inicial</w:t>
            </w:r>
          </w:p>
        </w:tc>
      </w:tr>
      <w:tr>
        <w:tc>
          <w:tcPr>
            <w:tcW w:type="dxa" w:w="5083"/>
            <w:vAlign w:val="top"/>
          </w:tcPr>
          <w:p>
            <w:r>
              <w:t>Diferencia masa CAD-BOM</w:t>
            </w:r>
          </w:p>
        </w:tc>
        <w:tc>
          <w:tcPr>
            <w:tcW w:type="dxa" w:w="5083"/>
            <w:vAlign w:val="top"/>
          </w:tcPr>
          <w:p>
            <w:r>
              <w:t>≤ 0,5 % salvo justificación</w:t>
            </w:r>
          </w:p>
        </w:tc>
      </w:tr>
      <w:tr>
        <w:tc>
          <w:tcPr>
            <w:tcW w:type="dxa" w:w="5083"/>
            <w:vAlign w:val="top"/>
          </w:tcPr>
          <w:p>
            <w:r>
              <w:t>Dimensión STEP vs modelo canónico</w:t>
            </w:r>
          </w:p>
        </w:tc>
        <w:tc>
          <w:tcPr>
            <w:tcW w:type="dxa" w:w="5083"/>
            <w:vAlign w:val="top"/>
          </w:tcPr>
          <w:p>
            <w:r>
              <w:t>≤ 0,05 mm o tolerancia acordada</w:t>
            </w:r>
          </w:p>
        </w:tc>
      </w:tr>
      <w:tr>
        <w:tc>
          <w:tcPr>
            <w:tcW w:type="dxa" w:w="5083"/>
            <w:vAlign w:val="top"/>
          </w:tcPr>
          <w:p>
            <w:r>
              <w:t>Cantidad BOM</w:t>
            </w:r>
          </w:p>
        </w:tc>
        <w:tc>
          <w:tcPr>
            <w:tcW w:type="dxa" w:w="5083"/>
            <w:vAlign w:val="top"/>
          </w:tcPr>
          <w:p>
            <w:r>
              <w:t>100 % coincidencia en componentes críticos</w:t>
            </w:r>
          </w:p>
        </w:tc>
      </w:tr>
      <w:tr>
        <w:tc>
          <w:tcPr>
            <w:tcW w:type="dxa" w:w="5083"/>
            <w:vAlign w:val="top"/>
          </w:tcPr>
          <w:p>
            <w:r>
              <w:t>Referencias rotas en plano</w:t>
            </w:r>
          </w:p>
        </w:tc>
        <w:tc>
          <w:tcPr>
            <w:tcW w:type="dxa" w:w="5083"/>
            <w:vAlign w:val="top"/>
          </w:tcPr>
          <w:p>
            <w:r>
              <w:t>0</w:t>
            </w:r>
          </w:p>
        </w:tc>
      </w:tr>
      <w:tr>
        <w:tc>
          <w:tcPr>
            <w:tcW w:type="dxa" w:w="5083"/>
            <w:vAlign w:val="top"/>
          </w:tcPr>
          <w:p>
            <w:r>
              <w:t>Artefactos sin hash/procedencia</w:t>
            </w:r>
          </w:p>
        </w:tc>
        <w:tc>
          <w:tcPr>
            <w:tcW w:type="dxa" w:w="5083"/>
            <w:vAlign w:val="top"/>
          </w:tcPr>
          <w:p>
            <w:r>
              <w:t>0 en liberación</w:t>
            </w:r>
          </w:p>
        </w:tc>
      </w:tr>
      <w:tr>
        <w:tc>
          <w:tcPr>
            <w:tcW w:type="dxa" w:w="5083"/>
            <w:vAlign w:val="top"/>
          </w:tcPr>
          <w:p>
            <w:r>
              <w:t>Cotas críticas sin origen</w:t>
            </w:r>
          </w:p>
        </w:tc>
        <w:tc>
          <w:tcPr>
            <w:tcW w:type="dxa" w:w="5083"/>
            <w:vAlign w:val="top"/>
          </w:tcPr>
          <w:p>
            <w:r>
              <w:t>0</w:t>
            </w:r>
          </w:p>
        </w:tc>
      </w:tr>
      <w:tr>
        <w:tc>
          <w:tcPr>
            <w:tcW w:type="dxa" w:w="5083"/>
            <w:vAlign w:val="top"/>
          </w:tcPr>
          <w:p>
            <w:r>
              <w:t>Archivos obsoletos en paquete</w:t>
            </w:r>
          </w:p>
        </w:tc>
        <w:tc>
          <w:tcPr>
            <w:tcW w:type="dxa" w:w="5083"/>
            <w:vAlign w:val="top"/>
          </w:tcPr>
          <w:p>
            <w:r>
              <w:t>0</w:t>
            </w:r>
          </w:p>
        </w:tc>
      </w:tr>
      <w:tr>
        <w:tc>
          <w:tcPr>
            <w:tcW w:type="dxa" w:w="5083"/>
            <w:vAlign w:val="top"/>
          </w:tcPr>
          <w:p>
            <w:r>
              <w:t>Repetibilidad de generación</w:t>
            </w:r>
          </w:p>
        </w:tc>
        <w:tc>
          <w:tcPr>
            <w:tcW w:type="dxa" w:w="5083"/>
            <w:vAlign w:val="top"/>
          </w:tcPr>
          <w:p>
            <w:r>
              <w:t>Hashes equivalentes o diferencias justificadas</w:t>
            </w:r>
          </w:p>
        </w:tc>
      </w:tr>
      <w:tr>
        <w:tc>
          <w:tcPr>
            <w:tcW w:type="dxa" w:w="5083"/>
            <w:vAlign w:val="top"/>
          </w:tcPr>
          <w:p>
            <w:r>
              <w:t>Cobertura de reglas críticas</w:t>
            </w:r>
          </w:p>
        </w:tc>
        <w:tc>
          <w:tcPr>
            <w:tcW w:type="dxa" w:w="5083"/>
            <w:vAlign w:val="top"/>
          </w:tcPr>
          <w:p>
            <w:r>
              <w:t>100 % con prueba automatizada</w:t>
            </w:r>
          </w:p>
        </w:tc>
      </w:tr>
    </w:tbl>
    <w:p/>
    <w:p>
      <w:pPr>
        <w:pStyle w:val="Heading1"/>
      </w:pPr>
      <w:r>
        <w:t>58. Gates de liberación industrial completos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9EAD3"/>
            <w:vAlign w:val="center"/>
          </w:tcPr>
          <w:p>
            <w:r>
              <w:rPr>
                <w:b/>
              </w:rPr>
              <w:t>Gate</w:t>
            </w:r>
          </w:p>
        </w:tc>
        <w:tc>
          <w:tcPr>
            <w:tcW w:type="dxa" w:w="3389"/>
            <w:shd w:fill="D9EAD3"/>
            <w:vAlign w:val="center"/>
          </w:tcPr>
          <w:p>
            <w:r>
              <w:rPr>
                <w:b/>
              </w:rPr>
              <w:t>Condición de entrada</w:t>
            </w:r>
          </w:p>
        </w:tc>
        <w:tc>
          <w:tcPr>
            <w:tcW w:type="dxa" w:w="3389"/>
            <w:shd w:fill="D9EAD3"/>
            <w:vAlign w:val="center"/>
          </w:tcPr>
          <w:p>
            <w:r>
              <w:rPr>
                <w:b/>
              </w:rPr>
              <w:t>Criterio de salida</w:t>
            </w:r>
          </w:p>
        </w:tc>
      </w:tr>
      <w:tr>
        <w:tc>
          <w:tcPr>
            <w:tcW w:type="dxa" w:w="3389"/>
            <w:vAlign w:val="top"/>
          </w:tcPr>
          <w:p>
            <w:r>
              <w:t>G0 Datos suficientes</w:t>
            </w:r>
          </w:p>
        </w:tc>
        <w:tc>
          <w:tcPr>
            <w:tcW w:type="dxa" w:w="3389"/>
            <w:vAlign w:val="top"/>
          </w:tcPr>
          <w:p>
            <w:r>
              <w:t>Snapshot creado</w:t>
            </w:r>
          </w:p>
        </w:tc>
        <w:tc>
          <w:tcPr>
            <w:tcW w:type="dxa" w:w="3389"/>
            <w:vAlign w:val="top"/>
          </w:tcPr>
          <w:p>
            <w:r>
              <w:t>Campos críticos completos o hipótesis aprobadas</w:t>
            </w:r>
          </w:p>
        </w:tc>
      </w:tr>
      <w:tr>
        <w:tc>
          <w:tcPr>
            <w:tcW w:type="dxa" w:w="3389"/>
            <w:vAlign w:val="top"/>
          </w:tcPr>
          <w:p>
            <w:r>
              <w:t>G1 Geometría válida</w:t>
            </w:r>
          </w:p>
        </w:tc>
        <w:tc>
          <w:tcPr>
            <w:tcW w:type="dxa" w:w="3389"/>
            <w:vAlign w:val="top"/>
          </w:tcPr>
          <w:p>
            <w:r>
              <w:t>Modelo regenerado</w:t>
            </w:r>
          </w:p>
        </w:tc>
        <w:tc>
          <w:tcPr>
            <w:tcW w:type="dxa" w:w="3389"/>
            <w:vAlign w:val="top"/>
          </w:tcPr>
          <w:p>
            <w:r>
              <w:t>Sin errores topológicos ni interferencias bloqueantes</w:t>
            </w:r>
          </w:p>
        </w:tc>
      </w:tr>
      <w:tr>
        <w:tc>
          <w:tcPr>
            <w:tcW w:type="dxa" w:w="3389"/>
            <w:vAlign w:val="top"/>
          </w:tcPr>
          <w:p>
            <w:r>
              <w:t>G2 Ingeniería aprobada</w:t>
            </w:r>
          </w:p>
        </w:tc>
        <w:tc>
          <w:tcPr>
            <w:tcW w:type="dxa" w:w="3389"/>
            <w:vAlign w:val="top"/>
          </w:tcPr>
          <w:p>
            <w:r>
              <w:t>Cálculo y materiales válidos</w:t>
            </w:r>
          </w:p>
        </w:tc>
        <w:tc>
          <w:tcPr>
            <w:tcW w:type="dxa" w:w="3389"/>
            <w:vAlign w:val="top"/>
          </w:tcPr>
          <w:p>
            <w:r>
              <w:t>Revisión aprobada por Oficina Técnica</w:t>
            </w:r>
          </w:p>
        </w:tc>
      </w:tr>
      <w:tr>
        <w:tc>
          <w:tcPr>
            <w:tcW w:type="dxa" w:w="3389"/>
            <w:vAlign w:val="top"/>
          </w:tcPr>
          <w:p>
            <w:r>
              <w:t>G3 Industrialización válida</w:t>
            </w:r>
          </w:p>
        </w:tc>
        <w:tc>
          <w:tcPr>
            <w:tcW w:type="dxa" w:w="3389"/>
            <w:vAlign w:val="top"/>
          </w:tcPr>
          <w:p>
            <w:r>
              <w:t>BOM, rutas, planos y calidad generados</w:t>
            </w:r>
          </w:p>
        </w:tc>
        <w:tc>
          <w:tcPr>
            <w:tcW w:type="dxa" w:w="3389"/>
            <w:vAlign w:val="top"/>
          </w:tcPr>
          <w:p>
            <w:r>
              <w:t>Reconciliaciones y fabricabilidad superadas</w:t>
            </w:r>
          </w:p>
        </w:tc>
      </w:tr>
      <w:tr>
        <w:tc>
          <w:tcPr>
            <w:tcW w:type="dxa" w:w="3389"/>
            <w:vAlign w:val="top"/>
          </w:tcPr>
          <w:p>
            <w:r>
              <w:t>G4 Proveedor/planta válido</w:t>
            </w:r>
          </w:p>
        </w:tc>
        <w:tc>
          <w:tcPr>
            <w:tcW w:type="dxa" w:w="3389"/>
            <w:vAlign w:val="top"/>
          </w:tcPr>
          <w:p>
            <w:r>
              <w:t>Capacidad y documentación disponibles</w:t>
            </w:r>
          </w:p>
        </w:tc>
        <w:tc>
          <w:tcPr>
            <w:tcW w:type="dxa" w:w="3389"/>
            <w:vAlign w:val="top"/>
          </w:tcPr>
          <w:p>
            <w:r>
              <w:t>Fuente de suministro autorizada</w:t>
            </w:r>
          </w:p>
        </w:tc>
      </w:tr>
      <w:tr>
        <w:tc>
          <w:tcPr>
            <w:tcW w:type="dxa" w:w="3389"/>
            <w:vAlign w:val="top"/>
          </w:tcPr>
          <w:p>
            <w:r>
              <w:t>G5 Paquete aprobado</w:t>
            </w:r>
          </w:p>
        </w:tc>
        <w:tc>
          <w:tcPr>
            <w:tcW w:type="dxa" w:w="3389"/>
            <w:vAlign w:val="top"/>
          </w:tcPr>
          <w:p>
            <w:r>
              <w:t>Artefactos completos</w:t>
            </w:r>
          </w:p>
        </w:tc>
        <w:tc>
          <w:tcPr>
            <w:tcW w:type="dxa" w:w="3389"/>
            <w:vAlign w:val="top"/>
          </w:tcPr>
          <w:p>
            <w:r>
              <w:t>Firmas, hashes y estados correctos</w:t>
            </w:r>
          </w:p>
        </w:tc>
      </w:tr>
      <w:tr>
        <w:tc>
          <w:tcPr>
            <w:tcW w:type="dxa" w:w="3389"/>
            <w:vAlign w:val="top"/>
          </w:tcPr>
          <w:p>
            <w:r>
              <w:t>G6 Liberación</w:t>
            </w:r>
          </w:p>
        </w:tc>
        <w:tc>
          <w:tcPr>
            <w:tcW w:type="dxa" w:w="3389"/>
            <w:vAlign w:val="top"/>
          </w:tcPr>
          <w:p>
            <w:r>
              <w:t>Publicación transaccional</w:t>
            </w:r>
          </w:p>
        </w:tc>
        <w:tc>
          <w:tcPr>
            <w:tcW w:type="dxa" w:w="3389"/>
            <w:vAlign w:val="top"/>
          </w:tcPr>
          <w:p>
            <w:r>
              <w:t>ERP/PDM/QMS sincronizados</w:t>
            </w:r>
          </w:p>
        </w:tc>
      </w:tr>
      <w:tr>
        <w:tc>
          <w:tcPr>
            <w:tcW w:type="dxa" w:w="3389"/>
            <w:vAlign w:val="top"/>
          </w:tcPr>
          <w:p>
            <w:r>
              <w:t>G7 Cierre as-built</w:t>
            </w:r>
          </w:p>
        </w:tc>
        <w:tc>
          <w:tcPr>
            <w:tcW w:type="dxa" w:w="3389"/>
            <w:vAlign w:val="top"/>
          </w:tcPr>
          <w:p>
            <w:r>
              <w:t>Fabricación e inspección terminadas</w:t>
            </w:r>
          </w:p>
        </w:tc>
        <w:tc>
          <w:tcPr>
            <w:tcW w:type="dxa" w:w="3389"/>
            <w:vAlign w:val="top"/>
          </w:tcPr>
          <w:p>
            <w:r>
              <w:t>Dossier completo y configuración real registrada</w:t>
            </w:r>
          </w:p>
        </w:tc>
      </w:tr>
    </w:tbl>
    <w:p/>
    <w:p>
      <w:r>
        <w:t>Cada gate deberá registrar fecha, responsable, evidencias, incidencias abiertas, excepciones y alcance. Una excepción tendrá caducidad, justificación y aprobador; no podrá transformarse silenciosamente en regla permanente.</w:t>
      </w:r>
    </w:p>
    <w:p>
      <w:pPr>
        <w:pStyle w:val="Heading1"/>
      </w:pPr>
      <w:r>
        <w:t>59. Matriz RACI propuesta</w:t>
      </w:r>
    </w:p>
    <w:tbl>
      <w:tblPr>
        <w:tblStyle w:val="TableGrid"/>
        <w:tblW w:type="auto" w:w="0"/>
        <w:jc w:val="center"/>
        <w:tblLook w:firstColumn="1" w:firstRow="1" w:lastColumn="0" w:lastRow="0" w:noHBand="0" w:noVBand="1" w:val="04A0"/>
      </w:tblPr>
      <w:tblGrid>
        <w:gridCol w:w="1271"/>
        <w:gridCol w:w="1271"/>
        <w:gridCol w:w="1271"/>
        <w:gridCol w:w="1271"/>
        <w:gridCol w:w="1271"/>
        <w:gridCol w:w="1271"/>
        <w:gridCol w:w="1271"/>
        <w:gridCol w:w="1271"/>
      </w:tblGrid>
      <w:tr>
        <w:trPr>
          <w:tblHeader w:val="true"/>
        </w:trPr>
        <w:tc>
          <w:tcPr>
            <w:tcW w:type="dxa" w:w="1271"/>
            <w:shd w:fill="D9EAD3"/>
            <w:vAlign w:val="center"/>
          </w:tcPr>
          <w:p>
            <w:r>
              <w:rPr>
                <w:b/>
              </w:rPr>
              <w:t>Actividad</w:t>
            </w:r>
          </w:p>
        </w:tc>
        <w:tc>
          <w:tcPr>
            <w:tcW w:type="dxa" w:w="1271"/>
            <w:shd w:fill="D9EAD3"/>
            <w:vAlign w:val="center"/>
          </w:tcPr>
          <w:p>
            <w:r>
              <w:rPr>
                <w:b/>
              </w:rPr>
              <w:t>Comercial</w:t>
            </w:r>
          </w:p>
        </w:tc>
        <w:tc>
          <w:tcPr>
            <w:tcW w:type="dxa" w:w="1271"/>
            <w:shd w:fill="D9EAD3"/>
            <w:vAlign w:val="center"/>
          </w:tcPr>
          <w:p>
            <w:r>
              <w:rPr>
                <w:b/>
              </w:rPr>
              <w:t>Ingeniería</w:t>
            </w:r>
          </w:p>
        </w:tc>
        <w:tc>
          <w:tcPr>
            <w:tcW w:type="dxa" w:w="1271"/>
            <w:shd w:fill="D9EAD3"/>
            <w:vAlign w:val="center"/>
          </w:tcPr>
          <w:p>
            <w:r>
              <w:rPr>
                <w:b/>
              </w:rPr>
              <w:t>Oficina Técnica</w:t>
            </w:r>
          </w:p>
        </w:tc>
        <w:tc>
          <w:tcPr>
            <w:tcW w:type="dxa" w:w="1271"/>
            <w:shd w:fill="D9EAD3"/>
            <w:vAlign w:val="center"/>
          </w:tcPr>
          <w:p>
            <w:r>
              <w:rPr>
                <w:b/>
              </w:rPr>
              <w:t>Producción</w:t>
            </w:r>
          </w:p>
        </w:tc>
        <w:tc>
          <w:tcPr>
            <w:tcW w:type="dxa" w:w="1271"/>
            <w:shd w:fill="D9EAD3"/>
            <w:vAlign w:val="center"/>
          </w:tcPr>
          <w:p>
            <w:r>
              <w:rPr>
                <w:b/>
              </w:rPr>
              <w:t>Calidad</w:t>
            </w:r>
          </w:p>
        </w:tc>
        <w:tc>
          <w:tcPr>
            <w:tcW w:type="dxa" w:w="1271"/>
            <w:shd w:fill="D9EAD3"/>
            <w:vAlign w:val="center"/>
          </w:tcPr>
          <w:p>
            <w:r>
              <w:rPr>
                <w:b/>
              </w:rPr>
              <w:t>Compras</w:t>
            </w:r>
          </w:p>
        </w:tc>
        <w:tc>
          <w:tcPr>
            <w:tcW w:type="dxa" w:w="1271"/>
            <w:shd w:fill="D9EAD3"/>
            <w:vAlign w:val="center"/>
          </w:tcPr>
          <w:p>
            <w:r>
              <w:rPr>
                <w:b/>
              </w:rPr>
              <w:t>IT</w:t>
            </w:r>
          </w:p>
        </w:tc>
      </w:tr>
      <w:tr>
        <w:tc>
          <w:tcPr>
            <w:tcW w:type="dxa" w:w="1271"/>
            <w:vAlign w:val="top"/>
          </w:tcPr>
          <w:p>
            <w:r>
              <w:t>Definir requisitos</w:t>
            </w:r>
          </w:p>
        </w:tc>
        <w:tc>
          <w:tcPr>
            <w:tcW w:type="dxa" w:w="1271"/>
            <w:vAlign w:val="top"/>
          </w:tcPr>
          <w:p>
            <w:r>
              <w:t>R</w:t>
            </w:r>
          </w:p>
        </w:tc>
        <w:tc>
          <w:tcPr>
            <w:tcW w:type="dxa" w:w="1271"/>
            <w:vAlign w:val="top"/>
          </w:tcPr>
          <w:p>
            <w:r>
              <w:t>A</w:t>
            </w:r>
          </w:p>
        </w:tc>
        <w:tc>
          <w:tcPr>
            <w:tcW w:type="dxa" w:w="1271"/>
            <w:vAlign w:val="top"/>
          </w:tcPr>
          <w:p>
            <w:r>
              <w:t>C</w:t>
            </w:r>
          </w:p>
        </w:tc>
        <w:tc>
          <w:tcPr>
            <w:tcW w:type="dxa" w:w="1271"/>
            <w:vAlign w:val="top"/>
          </w:tcPr>
          <w:p>
            <w:r>
              <w:t>I</w:t>
            </w:r>
          </w:p>
        </w:tc>
        <w:tc>
          <w:tcPr>
            <w:tcW w:type="dxa" w:w="1271"/>
            <w:vAlign w:val="top"/>
          </w:tcPr>
          <w:p>
            <w:r>
              <w:t>I</w:t>
            </w:r>
          </w:p>
        </w:tc>
        <w:tc>
          <w:tcPr>
            <w:tcW w:type="dxa" w:w="1271"/>
            <w:vAlign w:val="top"/>
          </w:tcPr>
          <w:p>
            <w:r>
              <w:t>I</w:t>
            </w:r>
          </w:p>
        </w:tc>
        <w:tc>
          <w:tcPr>
            <w:tcW w:type="dxa" w:w="1271"/>
            <w:vAlign w:val="top"/>
          </w:tcPr>
          <w:p>
            <w:r>
              <w:t>I</w:t>
            </w:r>
          </w:p>
        </w:tc>
      </w:tr>
      <w:tr>
        <w:tc>
          <w:tcPr>
            <w:tcW w:type="dxa" w:w="1271"/>
            <w:vAlign w:val="top"/>
          </w:tcPr>
          <w:p>
            <w:r>
              <w:t>Aprobar geometría</w:t>
            </w:r>
          </w:p>
        </w:tc>
        <w:tc>
          <w:tcPr>
            <w:tcW w:type="dxa" w:w="1271"/>
            <w:vAlign w:val="top"/>
          </w:tcPr>
          <w:p>
            <w:r>
              <w:t>I</w:t>
            </w:r>
          </w:p>
        </w:tc>
        <w:tc>
          <w:tcPr>
            <w:tcW w:type="dxa" w:w="1271"/>
            <w:vAlign w:val="top"/>
          </w:tcPr>
          <w:p>
            <w:r>
              <w:t>R</w:t>
            </w:r>
          </w:p>
        </w:tc>
        <w:tc>
          <w:tcPr>
            <w:tcW w:type="dxa" w:w="1271"/>
            <w:vAlign w:val="top"/>
          </w:tcPr>
          <w:p>
            <w:r>
              <w:t>A</w:t>
            </w:r>
          </w:p>
        </w:tc>
        <w:tc>
          <w:tcPr>
            <w:tcW w:type="dxa" w:w="1271"/>
            <w:vAlign w:val="top"/>
          </w:tcPr>
          <w:p>
            <w:r>
              <w:t>C</w:t>
            </w:r>
          </w:p>
        </w:tc>
        <w:tc>
          <w:tcPr>
            <w:tcW w:type="dxa" w:w="1271"/>
            <w:vAlign w:val="top"/>
          </w:tcPr>
          <w:p>
            <w:r>
              <w:t>C</w:t>
            </w:r>
          </w:p>
        </w:tc>
        <w:tc>
          <w:tcPr>
            <w:tcW w:type="dxa" w:w="1271"/>
            <w:vAlign w:val="top"/>
          </w:tcPr>
          <w:p>
            <w:r>
              <w:t>I</w:t>
            </w:r>
          </w:p>
        </w:tc>
        <w:tc>
          <w:tcPr>
            <w:tcW w:type="dxa" w:w="1271"/>
            <w:vAlign w:val="top"/>
          </w:tcPr>
          <w:p>
            <w:r>
              <w:t>I</w:t>
            </w:r>
          </w:p>
        </w:tc>
      </w:tr>
      <w:tr>
        <w:tc>
          <w:tcPr>
            <w:tcW w:type="dxa" w:w="1271"/>
            <w:vAlign w:val="top"/>
          </w:tcPr>
          <w:p>
            <w:r>
              <w:t>Liberar planos/BOM</w:t>
            </w:r>
          </w:p>
        </w:tc>
        <w:tc>
          <w:tcPr>
            <w:tcW w:type="dxa" w:w="1271"/>
            <w:vAlign w:val="top"/>
          </w:tcPr>
          <w:p>
            <w:r>
              <w:t>I</w:t>
            </w:r>
          </w:p>
        </w:tc>
        <w:tc>
          <w:tcPr>
            <w:tcW w:type="dxa" w:w="1271"/>
            <w:vAlign w:val="top"/>
          </w:tcPr>
          <w:p>
            <w:r>
              <w:t>R</w:t>
            </w:r>
          </w:p>
        </w:tc>
        <w:tc>
          <w:tcPr>
            <w:tcW w:type="dxa" w:w="1271"/>
            <w:vAlign w:val="top"/>
          </w:tcPr>
          <w:p>
            <w:r>
              <w:t>A</w:t>
            </w:r>
          </w:p>
        </w:tc>
        <w:tc>
          <w:tcPr>
            <w:tcW w:type="dxa" w:w="1271"/>
            <w:vAlign w:val="top"/>
          </w:tcPr>
          <w:p>
            <w:r>
              <w:t>C</w:t>
            </w:r>
          </w:p>
        </w:tc>
        <w:tc>
          <w:tcPr>
            <w:tcW w:type="dxa" w:w="1271"/>
            <w:vAlign w:val="top"/>
          </w:tcPr>
          <w:p>
            <w:r>
              <w:t>C</w:t>
            </w:r>
          </w:p>
        </w:tc>
        <w:tc>
          <w:tcPr>
            <w:tcW w:type="dxa" w:w="1271"/>
            <w:vAlign w:val="top"/>
          </w:tcPr>
          <w:p>
            <w:r>
              <w:t>I</w:t>
            </w:r>
          </w:p>
        </w:tc>
        <w:tc>
          <w:tcPr>
            <w:tcW w:type="dxa" w:w="1271"/>
            <w:vAlign w:val="top"/>
          </w:tcPr>
          <w:p>
            <w:r>
              <w:t>I</w:t>
            </w:r>
          </w:p>
        </w:tc>
      </w:tr>
      <w:tr>
        <w:tc>
          <w:tcPr>
            <w:tcW w:type="dxa" w:w="1271"/>
            <w:vAlign w:val="top"/>
          </w:tcPr>
          <w:p>
            <w:r>
              <w:t>Definir ruta</w:t>
            </w:r>
          </w:p>
        </w:tc>
        <w:tc>
          <w:tcPr>
            <w:tcW w:type="dxa" w:w="1271"/>
            <w:vAlign w:val="top"/>
          </w:tcPr>
          <w:p>
            <w:r>
              <w:t>I</w:t>
            </w:r>
          </w:p>
        </w:tc>
        <w:tc>
          <w:tcPr>
            <w:tcW w:type="dxa" w:w="1271"/>
            <w:vAlign w:val="top"/>
          </w:tcPr>
          <w:p>
            <w:r>
              <w:t>C</w:t>
            </w:r>
          </w:p>
        </w:tc>
        <w:tc>
          <w:tcPr>
            <w:tcW w:type="dxa" w:w="1271"/>
            <w:vAlign w:val="top"/>
          </w:tcPr>
          <w:p>
            <w:r>
              <w:t>C</w:t>
            </w:r>
          </w:p>
        </w:tc>
        <w:tc>
          <w:tcPr>
            <w:tcW w:type="dxa" w:w="1271"/>
            <w:vAlign w:val="top"/>
          </w:tcPr>
          <w:p>
            <w:r>
              <w:t>A/R</w:t>
            </w:r>
          </w:p>
        </w:tc>
        <w:tc>
          <w:tcPr>
            <w:tcW w:type="dxa" w:w="1271"/>
            <w:vAlign w:val="top"/>
          </w:tcPr>
          <w:p>
            <w:r>
              <w:t>C</w:t>
            </w:r>
          </w:p>
        </w:tc>
        <w:tc>
          <w:tcPr>
            <w:tcW w:type="dxa" w:w="1271"/>
            <w:vAlign w:val="top"/>
          </w:tcPr>
          <w:p>
            <w:r>
              <w:t>C</w:t>
            </w:r>
          </w:p>
        </w:tc>
        <w:tc>
          <w:tcPr>
            <w:tcW w:type="dxa" w:w="1271"/>
            <w:vAlign w:val="top"/>
          </w:tcPr>
          <w:p>
            <w:r>
              <w:t>I</w:t>
            </w:r>
          </w:p>
        </w:tc>
      </w:tr>
      <w:tr>
        <w:tc>
          <w:tcPr>
            <w:tcW w:type="dxa" w:w="1271"/>
            <w:vAlign w:val="top"/>
          </w:tcPr>
          <w:p>
            <w:r>
              <w:t>Homologar proveedor</w:t>
            </w:r>
          </w:p>
        </w:tc>
        <w:tc>
          <w:tcPr>
            <w:tcW w:type="dxa" w:w="1271"/>
            <w:vAlign w:val="top"/>
          </w:tcPr>
          <w:p>
            <w:r>
              <w:t>I</w:t>
            </w:r>
          </w:p>
        </w:tc>
        <w:tc>
          <w:tcPr>
            <w:tcW w:type="dxa" w:w="1271"/>
            <w:vAlign w:val="top"/>
          </w:tcPr>
          <w:p>
            <w:r>
              <w:t>C</w:t>
            </w:r>
          </w:p>
        </w:tc>
        <w:tc>
          <w:tcPr>
            <w:tcW w:type="dxa" w:w="1271"/>
            <w:vAlign w:val="top"/>
          </w:tcPr>
          <w:p>
            <w:r>
              <w:t>C</w:t>
            </w:r>
          </w:p>
        </w:tc>
        <w:tc>
          <w:tcPr>
            <w:tcW w:type="dxa" w:w="1271"/>
            <w:vAlign w:val="top"/>
          </w:tcPr>
          <w:p>
            <w:r>
              <w:t>C</w:t>
            </w:r>
          </w:p>
        </w:tc>
        <w:tc>
          <w:tcPr>
            <w:tcW w:type="dxa" w:w="1271"/>
            <w:vAlign w:val="top"/>
          </w:tcPr>
          <w:p>
            <w:r>
              <w:t>A</w:t>
            </w:r>
          </w:p>
        </w:tc>
        <w:tc>
          <w:tcPr>
            <w:tcW w:type="dxa" w:w="1271"/>
            <w:vAlign w:val="top"/>
          </w:tcPr>
          <w:p>
            <w:r>
              <w:t>R</w:t>
            </w:r>
          </w:p>
        </w:tc>
        <w:tc>
          <w:tcPr>
            <w:tcW w:type="dxa" w:w="1271"/>
            <w:vAlign w:val="top"/>
          </w:tcPr>
          <w:p>
            <w:r>
              <w:t>I</w:t>
            </w:r>
          </w:p>
        </w:tc>
      </w:tr>
      <w:tr>
        <w:tc>
          <w:tcPr>
            <w:tcW w:type="dxa" w:w="1271"/>
            <w:vAlign w:val="top"/>
          </w:tcPr>
          <w:p>
            <w:r>
              <w:t>Publicar integración</w:t>
            </w:r>
          </w:p>
        </w:tc>
        <w:tc>
          <w:tcPr>
            <w:tcW w:type="dxa" w:w="1271"/>
            <w:vAlign w:val="top"/>
          </w:tcPr>
          <w:p>
            <w:r>
              <w:t>I</w:t>
            </w:r>
          </w:p>
        </w:tc>
        <w:tc>
          <w:tcPr>
            <w:tcW w:type="dxa" w:w="1271"/>
            <w:vAlign w:val="top"/>
          </w:tcPr>
          <w:p>
            <w:r>
              <w:t>I</w:t>
            </w:r>
          </w:p>
        </w:tc>
        <w:tc>
          <w:tcPr>
            <w:tcW w:type="dxa" w:w="1271"/>
            <w:vAlign w:val="top"/>
          </w:tcPr>
          <w:p>
            <w:r>
              <w:t>C</w:t>
            </w:r>
          </w:p>
        </w:tc>
        <w:tc>
          <w:tcPr>
            <w:tcW w:type="dxa" w:w="1271"/>
            <w:vAlign w:val="top"/>
          </w:tcPr>
          <w:p>
            <w:r>
              <w:t>C</w:t>
            </w:r>
          </w:p>
        </w:tc>
        <w:tc>
          <w:tcPr>
            <w:tcW w:type="dxa" w:w="1271"/>
            <w:vAlign w:val="top"/>
          </w:tcPr>
          <w:p>
            <w:r>
              <w:t>C</w:t>
            </w:r>
          </w:p>
        </w:tc>
        <w:tc>
          <w:tcPr>
            <w:tcW w:type="dxa" w:w="1271"/>
            <w:vAlign w:val="top"/>
          </w:tcPr>
          <w:p>
            <w:r>
              <w:t>C</w:t>
            </w:r>
          </w:p>
        </w:tc>
        <w:tc>
          <w:tcPr>
            <w:tcW w:type="dxa" w:w="1271"/>
            <w:vAlign w:val="top"/>
          </w:tcPr>
          <w:p>
            <w:r>
              <w:t>A/R</w:t>
            </w:r>
          </w:p>
        </w:tc>
      </w:tr>
      <w:tr>
        <w:tc>
          <w:tcPr>
            <w:tcW w:type="dxa" w:w="1271"/>
            <w:vAlign w:val="top"/>
          </w:tcPr>
          <w:p>
            <w:r>
              <w:t>Cerrar as-built</w:t>
            </w:r>
          </w:p>
        </w:tc>
        <w:tc>
          <w:tcPr>
            <w:tcW w:type="dxa" w:w="1271"/>
            <w:vAlign w:val="top"/>
          </w:tcPr>
          <w:p>
            <w:r>
              <w:t>I</w:t>
            </w:r>
          </w:p>
        </w:tc>
        <w:tc>
          <w:tcPr>
            <w:tcW w:type="dxa" w:w="1271"/>
            <w:vAlign w:val="top"/>
          </w:tcPr>
          <w:p>
            <w:r>
              <w:t>C</w:t>
            </w:r>
          </w:p>
        </w:tc>
        <w:tc>
          <w:tcPr>
            <w:tcW w:type="dxa" w:w="1271"/>
            <w:vAlign w:val="top"/>
          </w:tcPr>
          <w:p>
            <w:r>
              <w:t>A</w:t>
            </w:r>
          </w:p>
        </w:tc>
        <w:tc>
          <w:tcPr>
            <w:tcW w:type="dxa" w:w="1271"/>
            <w:vAlign w:val="top"/>
          </w:tcPr>
          <w:p>
            <w:r>
              <w:t>R</w:t>
            </w:r>
          </w:p>
        </w:tc>
        <w:tc>
          <w:tcPr>
            <w:tcW w:type="dxa" w:w="1271"/>
            <w:vAlign w:val="top"/>
          </w:tcPr>
          <w:p>
            <w:r>
              <w:t>R</w:t>
            </w:r>
          </w:p>
        </w:tc>
        <w:tc>
          <w:tcPr>
            <w:tcW w:type="dxa" w:w="1271"/>
            <w:vAlign w:val="top"/>
          </w:tcPr>
          <w:p>
            <w:r>
              <w:t>I</w:t>
            </w:r>
          </w:p>
        </w:tc>
        <w:tc>
          <w:tcPr>
            <w:tcW w:type="dxa" w:w="1271"/>
            <w:vAlign w:val="top"/>
          </w:tcPr>
          <w:p>
            <w:r>
              <w:t>I</w:t>
            </w:r>
          </w:p>
        </w:tc>
      </w:tr>
    </w:tbl>
    <w:p/>
    <w:p>
      <w:pPr>
        <w:pStyle w:val="Heading1"/>
      </w:pPr>
      <w:r>
        <w:t>60. Plan de implementación detallado</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9EAD3"/>
            <w:vAlign w:val="center"/>
          </w:tcPr>
          <w:p>
            <w:r>
              <w:rPr>
                <w:b/>
              </w:rPr>
              <w:t>Iteración</w:t>
            </w:r>
          </w:p>
        </w:tc>
        <w:tc>
          <w:tcPr>
            <w:tcW w:type="dxa" w:w="3389"/>
            <w:shd w:fill="D9EAD3"/>
            <w:vAlign w:val="center"/>
          </w:tcPr>
          <w:p>
            <w:r>
              <w:rPr>
                <w:b/>
              </w:rPr>
              <w:t>Alcance</w:t>
            </w:r>
          </w:p>
        </w:tc>
        <w:tc>
          <w:tcPr>
            <w:tcW w:type="dxa" w:w="3389"/>
            <w:shd w:fill="D9EAD3"/>
            <w:vAlign w:val="center"/>
          </w:tcPr>
          <w:p>
            <w:r>
              <w:rPr>
                <w:b/>
              </w:rPr>
              <w:t>Resultado</w:t>
            </w:r>
          </w:p>
        </w:tc>
      </w:tr>
      <w:tr>
        <w:tc>
          <w:tcPr>
            <w:tcW w:type="dxa" w:w="3389"/>
            <w:vAlign w:val="top"/>
          </w:tcPr>
          <w:p>
            <w:r>
              <w:t>I1</w:t>
            </w:r>
          </w:p>
        </w:tc>
        <w:tc>
          <w:tcPr>
            <w:tcW w:type="dxa" w:w="3389"/>
            <w:vAlign w:val="top"/>
          </w:tcPr>
          <w:p>
            <w:r>
              <w:t>ProductSnapshot, identidad, revisiones y almacenamiento</w:t>
            </w:r>
          </w:p>
        </w:tc>
        <w:tc>
          <w:tcPr>
            <w:tcW w:type="dxa" w:w="3389"/>
            <w:vAlign w:val="top"/>
          </w:tcPr>
          <w:p>
            <w:r>
              <w:t>Contrato de datos y auditoría</w:t>
            </w:r>
          </w:p>
        </w:tc>
      </w:tr>
      <w:tr>
        <w:tc>
          <w:tcPr>
            <w:tcW w:type="dxa" w:w="3389"/>
            <w:vAlign w:val="top"/>
          </w:tcPr>
          <w:p>
            <w:r>
              <w:t>I2</w:t>
            </w:r>
          </w:p>
        </w:tc>
        <w:tc>
          <w:tcPr>
            <w:tcW w:type="dxa" w:w="3389"/>
            <w:vAlign w:val="top"/>
          </w:tcPr>
          <w:p>
            <w:r>
              <w:t>Kernel CAD y geometrías base</w:t>
            </w:r>
          </w:p>
        </w:tc>
        <w:tc>
          <w:tcPr>
            <w:tcW w:type="dxa" w:w="3389"/>
            <w:vAlign w:val="top"/>
          </w:tcPr>
          <w:p>
            <w:r>
              <w:t>STEP/GLB de familias principales</w:t>
            </w:r>
          </w:p>
        </w:tc>
      </w:tr>
      <w:tr>
        <w:tc>
          <w:tcPr>
            <w:tcW w:type="dxa" w:w="3389"/>
            <w:vAlign w:val="top"/>
          </w:tcPr>
          <w:p>
            <w:r>
              <w:t>I3</w:t>
            </w:r>
          </w:p>
        </w:tc>
        <w:tc>
          <w:tcPr>
            <w:tcW w:type="dxa" w:w="3389"/>
            <w:vAlign w:val="top"/>
          </w:tcPr>
          <w:p>
            <w:r>
              <w:t>DXF, desarrollos y reglas de chapa</w:t>
            </w:r>
          </w:p>
        </w:tc>
        <w:tc>
          <w:tcPr>
            <w:tcW w:type="dxa" w:w="3389"/>
            <w:vAlign w:val="top"/>
          </w:tcPr>
          <w:p>
            <w:r>
              <w:t>Paquete de corte y plegado</w:t>
            </w:r>
          </w:p>
        </w:tc>
      </w:tr>
      <w:tr>
        <w:tc>
          <w:tcPr>
            <w:tcW w:type="dxa" w:w="3389"/>
            <w:vAlign w:val="top"/>
          </w:tcPr>
          <w:p>
            <w:r>
              <w:t>I4</w:t>
            </w:r>
          </w:p>
        </w:tc>
        <w:tc>
          <w:tcPr>
            <w:tcW w:type="dxa" w:w="3389"/>
            <w:vAlign w:val="top"/>
          </w:tcPr>
          <w:p>
            <w:r>
              <w:t>Motor de planos y cajetines</w:t>
            </w:r>
          </w:p>
        </w:tc>
        <w:tc>
          <w:tcPr>
            <w:tcW w:type="dxa" w:w="3389"/>
            <w:vAlign w:val="top"/>
          </w:tcPr>
          <w:p>
            <w:r>
              <w:t>Planos automáticos iniciales</w:t>
            </w:r>
          </w:p>
        </w:tc>
      </w:tr>
      <w:tr>
        <w:tc>
          <w:tcPr>
            <w:tcW w:type="dxa" w:w="3389"/>
            <w:vAlign w:val="top"/>
          </w:tcPr>
          <w:p>
            <w:r>
              <w:t>I5</w:t>
            </w:r>
          </w:p>
        </w:tc>
        <w:tc>
          <w:tcPr>
            <w:tcW w:type="dxa" w:w="3389"/>
            <w:vAlign w:val="top"/>
          </w:tcPr>
          <w:p>
            <w:r>
              <w:t>EBOM/MBOM/PBOM y reconciliación</w:t>
            </w:r>
          </w:p>
        </w:tc>
        <w:tc>
          <w:tcPr>
            <w:tcW w:type="dxa" w:w="3389"/>
            <w:vAlign w:val="top"/>
          </w:tcPr>
          <w:p>
            <w:r>
              <w:t>BOM industrial consistente</w:t>
            </w:r>
          </w:p>
        </w:tc>
      </w:tr>
      <w:tr>
        <w:tc>
          <w:tcPr>
            <w:tcW w:type="dxa" w:w="3389"/>
            <w:vAlign w:val="top"/>
          </w:tcPr>
          <w:p>
            <w:r>
              <w:t>I6</w:t>
            </w:r>
          </w:p>
        </w:tc>
        <w:tc>
          <w:tcPr>
            <w:tcW w:type="dxa" w:w="3389"/>
            <w:vAlign w:val="top"/>
          </w:tcPr>
          <w:p>
            <w:r>
              <w:t>Rutas, costes y make-or-buy</w:t>
            </w:r>
          </w:p>
        </w:tc>
        <w:tc>
          <w:tcPr>
            <w:tcW w:type="dxa" w:w="3389"/>
            <w:vAlign w:val="top"/>
          </w:tcPr>
          <w:p>
            <w:r>
              <w:t>Coste industrial liberado</w:t>
            </w:r>
          </w:p>
        </w:tc>
      </w:tr>
      <w:tr>
        <w:tc>
          <w:tcPr>
            <w:tcW w:type="dxa" w:w="3389"/>
            <w:vAlign w:val="top"/>
          </w:tcPr>
          <w:p>
            <w:r>
              <w:t>I7</w:t>
            </w:r>
          </w:p>
        </w:tc>
        <w:tc>
          <w:tcPr>
            <w:tcW w:type="dxa" w:w="3389"/>
            <w:vAlign w:val="top"/>
          </w:tcPr>
          <w:p>
            <w:r>
              <w:t>Calidad, CTQ, dossier y as-built</w:t>
            </w:r>
          </w:p>
        </w:tc>
        <w:tc>
          <w:tcPr>
            <w:tcW w:type="dxa" w:w="3389"/>
            <w:vAlign w:val="top"/>
          </w:tcPr>
          <w:p>
            <w:r>
              <w:t>Trazabilidad completa</w:t>
            </w:r>
          </w:p>
        </w:tc>
      </w:tr>
      <w:tr>
        <w:tc>
          <w:tcPr>
            <w:tcW w:type="dxa" w:w="3389"/>
            <w:vAlign w:val="top"/>
          </w:tcPr>
          <w:p>
            <w:r>
              <w:t>I8</w:t>
            </w:r>
          </w:p>
        </w:tc>
        <w:tc>
          <w:tcPr>
            <w:tcW w:type="dxa" w:w="3389"/>
            <w:vAlign w:val="top"/>
          </w:tcPr>
          <w:p>
            <w:r>
              <w:t>Proveedor, embalaje, logística y montaje</w:t>
            </w:r>
          </w:p>
        </w:tc>
        <w:tc>
          <w:tcPr>
            <w:tcW w:type="dxa" w:w="3389"/>
            <w:vAlign w:val="top"/>
          </w:tcPr>
          <w:p>
            <w:r>
              <w:t>Paquete externo operativo</w:t>
            </w:r>
          </w:p>
        </w:tc>
      </w:tr>
      <w:tr>
        <w:tc>
          <w:tcPr>
            <w:tcW w:type="dxa" w:w="3389"/>
            <w:vAlign w:val="top"/>
          </w:tcPr>
          <w:p>
            <w:r>
              <w:t>I9</w:t>
            </w:r>
          </w:p>
        </w:tc>
        <w:tc>
          <w:tcPr>
            <w:tcW w:type="dxa" w:w="3389"/>
            <w:vAlign w:val="top"/>
          </w:tcPr>
          <w:p>
            <w:r>
              <w:t>ERP/PDM/QMS/SolidWorks</w:t>
            </w:r>
          </w:p>
        </w:tc>
        <w:tc>
          <w:tcPr>
            <w:tcW w:type="dxa" w:w="3389"/>
            <w:vAlign w:val="top"/>
          </w:tcPr>
          <w:p>
            <w:r>
              <w:t>Integraciones transaccionales</w:t>
            </w:r>
          </w:p>
        </w:tc>
      </w:tr>
      <w:tr>
        <w:tc>
          <w:tcPr>
            <w:tcW w:type="dxa" w:w="3389"/>
            <w:vAlign w:val="top"/>
          </w:tcPr>
          <w:p>
            <w:r>
              <w:t>I10</w:t>
            </w:r>
          </w:p>
        </w:tc>
        <w:tc>
          <w:tcPr>
            <w:tcW w:type="dxa" w:w="3389"/>
            <w:vAlign w:val="top"/>
          </w:tcPr>
          <w:p>
            <w:r>
              <w:t>Gates, firma, seguridad y piloto</w:t>
            </w:r>
          </w:p>
        </w:tc>
        <w:tc>
          <w:tcPr>
            <w:tcW w:type="dxa" w:w="3389"/>
            <w:vAlign w:val="top"/>
          </w:tcPr>
          <w:p>
            <w:r>
              <w:t>Liberación industrial piloto</w:t>
            </w:r>
          </w:p>
        </w:tc>
      </w:tr>
      <w:tr>
        <w:tc>
          <w:tcPr>
            <w:tcW w:type="dxa" w:w="3389"/>
            <w:vAlign w:val="top"/>
          </w:tcPr>
          <w:p>
            <w:r>
              <w:t>I11</w:t>
            </w:r>
          </w:p>
        </w:tc>
        <w:tc>
          <w:tcPr>
            <w:tcW w:type="dxa" w:w="3389"/>
            <w:vAlign w:val="top"/>
          </w:tcPr>
          <w:p>
            <w:r>
              <w:t>Regresión, rendimiento y hardening</w:t>
            </w:r>
          </w:p>
        </w:tc>
        <w:tc>
          <w:tcPr>
            <w:tcW w:type="dxa" w:w="3389"/>
            <w:vAlign w:val="top"/>
          </w:tcPr>
          <w:p>
            <w:r>
              <w:t>Candidato a producción</w:t>
            </w:r>
          </w:p>
        </w:tc>
      </w:tr>
      <w:tr>
        <w:tc>
          <w:tcPr>
            <w:tcW w:type="dxa" w:w="3389"/>
            <w:vAlign w:val="top"/>
          </w:tcPr>
          <w:p>
            <w:r>
              <w:t>I12</w:t>
            </w:r>
          </w:p>
        </w:tc>
        <w:tc>
          <w:tcPr>
            <w:tcW w:type="dxa" w:w="3389"/>
            <w:vAlign w:val="top"/>
          </w:tcPr>
          <w:p>
            <w:r>
              <w:t>Despliegue y mejora continua</w:t>
            </w:r>
          </w:p>
        </w:tc>
        <w:tc>
          <w:tcPr>
            <w:tcW w:type="dxa" w:w="3389"/>
            <w:vAlign w:val="top"/>
          </w:tcPr>
          <w:p>
            <w:r>
              <w:t>Operación controlada</w:t>
            </w:r>
          </w:p>
        </w:tc>
      </w:tr>
    </w:tbl>
    <w:p/>
    <w:p>
      <w:pPr>
        <w:pStyle w:val="Heading1"/>
      </w:pPr>
      <w:r>
        <w:t>61. Decisiones que deben congelarse antes de v1.0</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9EAD3"/>
            <w:vAlign w:val="center"/>
          </w:tcPr>
          <w:p>
            <w:r>
              <w:rPr>
                <w:b/>
              </w:rPr>
              <w:t>Decisión</w:t>
            </w:r>
          </w:p>
        </w:tc>
        <w:tc>
          <w:tcPr>
            <w:tcW w:type="dxa" w:w="3389"/>
            <w:shd w:fill="D9EAD3"/>
            <w:vAlign w:val="center"/>
          </w:tcPr>
          <w:p>
            <w:r>
              <w:rPr>
                <w:b/>
              </w:rPr>
              <w:t>Opciones</w:t>
            </w:r>
          </w:p>
        </w:tc>
        <w:tc>
          <w:tcPr>
            <w:tcW w:type="dxa" w:w="3389"/>
            <w:shd w:fill="D9EAD3"/>
            <w:vAlign w:val="center"/>
          </w:tcPr>
          <w:p>
            <w:r>
              <w:rPr>
                <w:b/>
              </w:rPr>
              <w:t>Responsable propuesto</w:t>
            </w:r>
          </w:p>
        </w:tc>
      </w:tr>
      <w:tr>
        <w:tc>
          <w:tcPr>
            <w:tcW w:type="dxa" w:w="3389"/>
            <w:vAlign w:val="top"/>
          </w:tcPr>
          <w:p>
            <w:r>
              <w:t>Kernel CAD</w:t>
            </w:r>
          </w:p>
        </w:tc>
        <w:tc>
          <w:tcPr>
            <w:tcW w:type="dxa" w:w="3389"/>
            <w:vAlign w:val="top"/>
          </w:tcPr>
          <w:p>
            <w:r>
              <w:t>OpenCascade/comercial/híbrido</w:t>
            </w:r>
          </w:p>
        </w:tc>
        <w:tc>
          <w:tcPr>
            <w:tcW w:type="dxa" w:w="3389"/>
            <w:vAlign w:val="top"/>
          </w:tcPr>
          <w:p>
            <w:r>
              <w:t>IT + Ingeniería</w:t>
            </w:r>
          </w:p>
        </w:tc>
      </w:tr>
      <w:tr>
        <w:tc>
          <w:tcPr>
            <w:tcW w:type="dxa" w:w="3389"/>
            <w:vAlign w:val="top"/>
          </w:tcPr>
          <w:p>
            <w:r>
              <w:t>Formato STEP</w:t>
            </w:r>
          </w:p>
        </w:tc>
        <w:tc>
          <w:tcPr>
            <w:tcW w:type="dxa" w:w="3389"/>
            <w:vAlign w:val="top"/>
          </w:tcPr>
          <w:p>
            <w:r>
              <w:t>AP242 obligatorio; AP214 compatibilidad</w:t>
            </w:r>
          </w:p>
        </w:tc>
        <w:tc>
          <w:tcPr>
            <w:tcW w:type="dxa" w:w="3389"/>
            <w:vAlign w:val="top"/>
          </w:tcPr>
          <w:p>
            <w:r>
              <w:t>Ingeniería</w:t>
            </w:r>
          </w:p>
        </w:tc>
      </w:tr>
      <w:tr>
        <w:tc>
          <w:tcPr>
            <w:tcW w:type="dxa" w:w="3389"/>
            <w:vAlign w:val="top"/>
          </w:tcPr>
          <w:p>
            <w:r>
              <w:t>PDM/PLM objetivo</w:t>
            </w:r>
          </w:p>
        </w:tc>
        <w:tc>
          <w:tcPr>
            <w:tcW w:type="dxa" w:w="3389"/>
            <w:vAlign w:val="top"/>
          </w:tcPr>
          <w:p>
            <w:r>
              <w:t>3DEXPERIENCE u otra arquitectura</w:t>
            </w:r>
          </w:p>
        </w:tc>
        <w:tc>
          <w:tcPr>
            <w:tcW w:type="dxa" w:w="3389"/>
            <w:vAlign w:val="top"/>
          </w:tcPr>
          <w:p>
            <w:r>
              <w:t>Dirección Técnica + IT</w:t>
            </w:r>
          </w:p>
        </w:tc>
      </w:tr>
      <w:tr>
        <w:tc>
          <w:tcPr>
            <w:tcW w:type="dxa" w:w="3389"/>
            <w:vAlign w:val="top"/>
          </w:tcPr>
          <w:p>
            <w:r>
              <w:t>Sistema propietario de BOM</w:t>
            </w:r>
          </w:p>
        </w:tc>
        <w:tc>
          <w:tcPr>
            <w:tcW w:type="dxa" w:w="3389"/>
            <w:vAlign w:val="top"/>
          </w:tcPr>
          <w:p>
            <w:r>
              <w:t>Salvi Studio/ERP/PLM</w:t>
            </w:r>
          </w:p>
        </w:tc>
        <w:tc>
          <w:tcPr>
            <w:tcW w:type="dxa" w:w="3389"/>
            <w:vAlign w:val="top"/>
          </w:tcPr>
          <w:p>
            <w:r>
              <w:t>Dirección Operaciones</w:t>
            </w:r>
          </w:p>
        </w:tc>
      </w:tr>
      <w:tr>
        <w:tc>
          <w:tcPr>
            <w:tcW w:type="dxa" w:w="3389"/>
            <w:vAlign w:val="top"/>
          </w:tcPr>
          <w:p>
            <w:r>
              <w:t>Codificación</w:t>
            </w:r>
          </w:p>
        </w:tc>
        <w:tc>
          <w:tcPr>
            <w:tcW w:type="dxa" w:w="3389"/>
            <w:vAlign w:val="top"/>
          </w:tcPr>
          <w:p>
            <w:r>
              <w:t>Esquema propuesto o corporativo existente</w:t>
            </w:r>
          </w:p>
        </w:tc>
        <w:tc>
          <w:tcPr>
            <w:tcW w:type="dxa" w:w="3389"/>
            <w:vAlign w:val="top"/>
          </w:tcPr>
          <w:p>
            <w:r>
              <w:t>Oficina Técnica</w:t>
            </w:r>
          </w:p>
        </w:tc>
      </w:tr>
      <w:tr>
        <w:tc>
          <w:tcPr>
            <w:tcW w:type="dxa" w:w="3389"/>
            <w:vAlign w:val="top"/>
          </w:tcPr>
          <w:p>
            <w:r>
              <w:t>Estándar GD&amp;T</w:t>
            </w:r>
          </w:p>
        </w:tc>
        <w:tc>
          <w:tcPr>
            <w:tcW w:type="dxa" w:w="3389"/>
            <w:vAlign w:val="top"/>
          </w:tcPr>
          <w:p>
            <w:r>
              <w:t>ISO GPS y reglas corporativas</w:t>
            </w:r>
          </w:p>
        </w:tc>
        <w:tc>
          <w:tcPr>
            <w:tcW w:type="dxa" w:w="3389"/>
            <w:vAlign w:val="top"/>
          </w:tcPr>
          <w:p>
            <w:r>
              <w:t>Calidad + Ingeniería</w:t>
            </w:r>
          </w:p>
        </w:tc>
      </w:tr>
      <w:tr>
        <w:tc>
          <w:tcPr>
            <w:tcW w:type="dxa" w:w="3389"/>
            <w:vAlign w:val="top"/>
          </w:tcPr>
          <w:p>
            <w:r>
              <w:t>Plantillas y firmas</w:t>
            </w:r>
          </w:p>
        </w:tc>
        <w:tc>
          <w:tcPr>
            <w:tcW w:type="dxa" w:w="3389"/>
            <w:vAlign w:val="top"/>
          </w:tcPr>
          <w:p>
            <w:r>
              <w:t>Por mercado y destinatario</w:t>
            </w:r>
          </w:p>
        </w:tc>
        <w:tc>
          <w:tcPr>
            <w:tcW w:type="dxa" w:w="3389"/>
            <w:vAlign w:val="top"/>
          </w:tcPr>
          <w:p>
            <w:r>
              <w:t>Calidad + Legal</w:t>
            </w:r>
          </w:p>
        </w:tc>
      </w:tr>
      <w:tr>
        <w:tc>
          <w:tcPr>
            <w:tcW w:type="dxa" w:w="3389"/>
            <w:vAlign w:val="top"/>
          </w:tcPr>
          <w:p>
            <w:r>
              <w:t>RACI y gates</w:t>
            </w:r>
          </w:p>
        </w:tc>
        <w:tc>
          <w:tcPr>
            <w:tcW w:type="dxa" w:w="3389"/>
            <w:vAlign w:val="top"/>
          </w:tcPr>
          <w:p>
            <w:r>
              <w:t>Aprobadores y excepciones</w:t>
            </w:r>
          </w:p>
        </w:tc>
        <w:tc>
          <w:tcPr>
            <w:tcW w:type="dxa" w:w="3389"/>
            <w:vAlign w:val="top"/>
          </w:tcPr>
          <w:p>
            <w:r>
              <w:t>Dirección</w:t>
            </w:r>
          </w:p>
        </w:tc>
      </w:tr>
      <w:tr>
        <w:tc>
          <w:tcPr>
            <w:tcW w:type="dxa" w:w="3389"/>
            <w:vAlign w:val="top"/>
          </w:tcPr>
          <w:p>
            <w:r>
              <w:t>Costes y tarifas</w:t>
            </w:r>
          </w:p>
        </w:tc>
        <w:tc>
          <w:tcPr>
            <w:tcW w:type="dxa" w:w="3389"/>
            <w:vAlign w:val="top"/>
          </w:tcPr>
          <w:p>
            <w:r>
              <w:t>Fuente, actualización y permisos</w:t>
            </w:r>
          </w:p>
        </w:tc>
        <w:tc>
          <w:tcPr>
            <w:tcW w:type="dxa" w:w="3389"/>
            <w:vAlign w:val="top"/>
          </w:tcPr>
          <w:p>
            <w:r>
              <w:t>Finanzas + Operaciones</w:t>
            </w:r>
          </w:p>
        </w:tc>
      </w:tr>
      <w:tr>
        <w:tc>
          <w:tcPr>
            <w:tcW w:type="dxa" w:w="3389"/>
            <w:vAlign w:val="top"/>
          </w:tcPr>
          <w:p>
            <w:r>
              <w:t>Portal proveedor</w:t>
            </w:r>
          </w:p>
        </w:tc>
        <w:tc>
          <w:tcPr>
            <w:tcW w:type="dxa" w:w="3389"/>
            <w:vAlign w:val="top"/>
          </w:tcPr>
          <w:p>
            <w:r>
              <w:t>Interno o plataforma externa</w:t>
            </w:r>
          </w:p>
        </w:tc>
        <w:tc>
          <w:tcPr>
            <w:tcW w:type="dxa" w:w="3389"/>
            <w:vAlign w:val="top"/>
          </w:tcPr>
          <w:p>
            <w:r>
              <w:t>Compras + IT</w:t>
            </w:r>
          </w:p>
        </w:tc>
      </w:tr>
    </w:tbl>
    <w:p/>
    <w:p>
      <w:pPr>
        <w:pStyle w:val="Heading1"/>
      </w:pPr>
      <w:r>
        <w:t>Anexo C. Esquema mínimo de BOM</w:t>
      </w:r>
    </w:p>
    <w:p>
      <w:pPr>
        <w:ind w:left="283"/>
      </w:pPr>
      <w:r>
        <w:rPr>
          <w:rFonts w:ascii="Consolas" w:hAnsi="Consolas"/>
          <w:sz w:val="16"/>
        </w:rPr>
        <w:t>{</w:t>
        <w:br/>
        <w:t xml:space="preserve">  "bom_id": "BOM-ASM-TC-00032-MFG",</w:t>
        <w:br/>
        <w:t xml:space="preserve">  "revision": "03",</w:t>
        <w:br/>
        <w:t xml:space="preserve">  "view": "MBOM",</w:t>
        <w:br/>
        <w:t xml:space="preserve">  "effectivity": {"from":"2026-07-01"},</w:t>
        <w:br/>
        <w:t xml:space="preserve">  "lines": [{</w:t>
        <w:br/>
        <w:t xml:space="preserve">    "line_no": 10,</w:t>
        <w:br/>
        <w:t xml:space="preserve">    "part_no": "PRT-TC-00125",</w:t>
        <w:br/>
        <w:t xml:space="preserve">    "quantity": 1,</w:t>
        <w:br/>
        <w:t xml:space="preserve">    "uom": "EA",</w:t>
        <w:br/>
        <w:t xml:space="preserve">    "make_buy": "MAKE",</w:t>
        <w:br/>
        <w:t xml:space="preserve">    "source_feature_ids": ["FTR-..."],</w:t>
        <w:br/>
        <w:t xml:space="preserve">    "criticality": "STRUCTURAL"</w:t>
        <w:br/>
        <w:t xml:space="preserve">  }]</w:t>
        <w:br/>
        <w:t>}</w:t>
      </w:r>
    </w:p>
    <w:p>
      <w:pPr>
        <w:pStyle w:val="Heading1"/>
      </w:pPr>
      <w:r>
        <w:t>Anexo D. Esquema mínimo de operación de fabricación</w:t>
      </w:r>
    </w:p>
    <w:p>
      <w:pPr>
        <w:ind w:left="283"/>
      </w:pPr>
      <w:r>
        <w:rPr>
          <w:rFonts w:ascii="Consolas" w:hAnsi="Consolas"/>
          <w:sz w:val="16"/>
        </w:rPr>
        <w:t>{</w:t>
        <w:br/>
        <w:t xml:space="preserve">  "operation_code": "OP-WELD-LONG",</w:t>
        <w:br/>
        <w:t xml:space="preserve">  "sequence": 40,</w:t>
        <w:br/>
        <w:t xml:space="preserve">  "work_center": "WELD-01",</w:t>
        <w:br/>
        <w:t xml:space="preserve">  "inputs": ["PRT-SHELL-001"],</w:t>
        <w:br/>
        <w:t xml:space="preserve">  "wps_id": "WPS-135-S355-01",</w:t>
        <w:br/>
        <w:t xml:space="preserve">  "parameters": {"process":"MAG","length_mm":11800},</w:t>
        <w:br/>
        <w:t xml:space="preserve">  "inspection_characteristics": ["CTQ-WELD-001"],</w:t>
        <w:br/>
        <w:t xml:space="preserve">  "standard_time_min": 48</w:t>
        <w:br/>
        <w:t>}</w:t>
      </w:r>
    </w:p>
    <w:p>
      <w:pPr>
        <w:pStyle w:val="Heading1"/>
      </w:pPr>
      <w:r>
        <w:t>Anexo E. Lista de comprobación para liberación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9EAD3"/>
            <w:vAlign w:val="center"/>
          </w:tcPr>
          <w:p>
            <w:r>
              <w:rPr>
                <w:b/>
              </w:rPr>
              <w:t>Nº</w:t>
            </w:r>
          </w:p>
        </w:tc>
        <w:tc>
          <w:tcPr>
            <w:tcW w:type="dxa" w:w="3389"/>
            <w:shd w:fill="D9EAD3"/>
            <w:vAlign w:val="center"/>
          </w:tcPr>
          <w:p>
            <w:r>
              <w:rPr>
                <w:b/>
              </w:rPr>
              <w:t>Comprobación</w:t>
            </w:r>
          </w:p>
        </w:tc>
        <w:tc>
          <w:tcPr>
            <w:tcW w:type="dxa" w:w="3389"/>
            <w:shd w:fill="D9EAD3"/>
            <w:vAlign w:val="center"/>
          </w:tcPr>
          <w:p>
            <w:r>
              <w:rPr>
                <w:b/>
              </w:rPr>
              <w:t>Resultado</w:t>
            </w:r>
          </w:p>
        </w:tc>
      </w:tr>
      <w:tr>
        <w:tc>
          <w:tcPr>
            <w:tcW w:type="dxa" w:w="3389"/>
            <w:vAlign w:val="top"/>
          </w:tcPr>
          <w:p>
            <w:r>
              <w:t>1</w:t>
            </w:r>
          </w:p>
        </w:tc>
        <w:tc>
          <w:tcPr>
            <w:tcW w:type="dxa" w:w="3389"/>
            <w:vAlign w:val="top"/>
          </w:tcPr>
          <w:p>
            <w:r>
              <w:t>ProductSnapshot aprobado y congelado</w:t>
            </w:r>
          </w:p>
        </w:tc>
        <w:tc>
          <w:tcPr>
            <w:tcW w:type="dxa" w:w="3389"/>
            <w:vAlign w:val="top"/>
          </w:tcPr>
          <w:p>
            <w:r>
              <w:t>OK / NOK / N.A.</w:t>
            </w:r>
          </w:p>
        </w:tc>
      </w:tr>
      <w:tr>
        <w:tc>
          <w:tcPr>
            <w:tcW w:type="dxa" w:w="3389"/>
            <w:vAlign w:val="top"/>
          </w:tcPr>
          <w:p>
            <w:r>
              <w:t>2</w:t>
            </w:r>
          </w:p>
        </w:tc>
        <w:tc>
          <w:tcPr>
            <w:tcW w:type="dxa" w:w="3389"/>
            <w:vAlign w:val="top"/>
          </w:tcPr>
          <w:p>
            <w:r>
              <w:t>Geometría reconstruida sin errores</w:t>
            </w:r>
          </w:p>
        </w:tc>
        <w:tc>
          <w:tcPr>
            <w:tcW w:type="dxa" w:w="3389"/>
            <w:vAlign w:val="top"/>
          </w:tcPr>
          <w:p>
            <w:r>
              <w:t>OK / NOK / N.A.</w:t>
            </w:r>
          </w:p>
        </w:tc>
      </w:tr>
      <w:tr>
        <w:tc>
          <w:tcPr>
            <w:tcW w:type="dxa" w:w="3389"/>
            <w:vAlign w:val="top"/>
          </w:tcPr>
          <w:p>
            <w:r>
              <w:t>3</w:t>
            </w:r>
          </w:p>
        </w:tc>
        <w:tc>
          <w:tcPr>
            <w:tcW w:type="dxa" w:w="3389"/>
            <w:vAlign w:val="top"/>
          </w:tcPr>
          <w:p>
            <w:r>
              <w:t>Cálculo estructural vigente</w:t>
            </w:r>
          </w:p>
        </w:tc>
        <w:tc>
          <w:tcPr>
            <w:tcW w:type="dxa" w:w="3389"/>
            <w:vAlign w:val="top"/>
          </w:tcPr>
          <w:p>
            <w:r>
              <w:t>OK / NOK / N.A.</w:t>
            </w:r>
          </w:p>
        </w:tc>
      </w:tr>
      <w:tr>
        <w:tc>
          <w:tcPr>
            <w:tcW w:type="dxa" w:w="3389"/>
            <w:vAlign w:val="top"/>
          </w:tcPr>
          <w:p>
            <w:r>
              <w:t>4</w:t>
            </w:r>
          </w:p>
        </w:tc>
        <w:tc>
          <w:tcPr>
            <w:tcW w:type="dxa" w:w="3389"/>
            <w:vAlign w:val="top"/>
          </w:tcPr>
          <w:p>
            <w:r>
              <w:t>Materiales y espesores confirmados</w:t>
            </w:r>
          </w:p>
        </w:tc>
        <w:tc>
          <w:tcPr>
            <w:tcW w:type="dxa" w:w="3389"/>
            <w:vAlign w:val="top"/>
          </w:tcPr>
          <w:p>
            <w:r>
              <w:t>OK / NOK / N.A.</w:t>
            </w:r>
          </w:p>
        </w:tc>
      </w:tr>
      <w:tr>
        <w:tc>
          <w:tcPr>
            <w:tcW w:type="dxa" w:w="3389"/>
            <w:vAlign w:val="top"/>
          </w:tcPr>
          <w:p>
            <w:r>
              <w:t>5</w:t>
            </w:r>
          </w:p>
        </w:tc>
        <w:tc>
          <w:tcPr>
            <w:tcW w:type="dxa" w:w="3389"/>
            <w:vAlign w:val="top"/>
          </w:tcPr>
          <w:p>
            <w:r>
              <w:t>Planos sin referencias rotas</w:t>
            </w:r>
          </w:p>
        </w:tc>
        <w:tc>
          <w:tcPr>
            <w:tcW w:type="dxa" w:w="3389"/>
            <w:vAlign w:val="top"/>
          </w:tcPr>
          <w:p>
            <w:r>
              <w:t>OK / NOK / N.A.</w:t>
            </w:r>
          </w:p>
        </w:tc>
      </w:tr>
      <w:tr>
        <w:tc>
          <w:tcPr>
            <w:tcW w:type="dxa" w:w="3389"/>
            <w:vAlign w:val="top"/>
          </w:tcPr>
          <w:p>
            <w:r>
              <w:t>6</w:t>
            </w:r>
          </w:p>
        </w:tc>
        <w:tc>
          <w:tcPr>
            <w:tcW w:type="dxa" w:w="3389"/>
            <w:vAlign w:val="top"/>
          </w:tcPr>
          <w:p>
            <w:r>
              <w:t>BOM reconciliada con CAD</w:t>
            </w:r>
          </w:p>
        </w:tc>
        <w:tc>
          <w:tcPr>
            <w:tcW w:type="dxa" w:w="3389"/>
            <w:vAlign w:val="top"/>
          </w:tcPr>
          <w:p>
            <w:r>
              <w:t>OK / NOK / N.A.</w:t>
            </w:r>
          </w:p>
        </w:tc>
      </w:tr>
      <w:tr>
        <w:tc>
          <w:tcPr>
            <w:tcW w:type="dxa" w:w="3389"/>
            <w:vAlign w:val="top"/>
          </w:tcPr>
          <w:p>
            <w:r>
              <w:t>7</w:t>
            </w:r>
          </w:p>
        </w:tc>
        <w:tc>
          <w:tcPr>
            <w:tcW w:type="dxa" w:w="3389"/>
            <w:vAlign w:val="top"/>
          </w:tcPr>
          <w:p>
            <w:r>
              <w:t>Rutas y centros de trabajo válidos</w:t>
            </w:r>
          </w:p>
        </w:tc>
        <w:tc>
          <w:tcPr>
            <w:tcW w:type="dxa" w:w="3389"/>
            <w:vAlign w:val="top"/>
          </w:tcPr>
          <w:p>
            <w:r>
              <w:t>OK / NOK / N.A.</w:t>
            </w:r>
          </w:p>
        </w:tc>
      </w:tr>
      <w:tr>
        <w:tc>
          <w:tcPr>
            <w:tcW w:type="dxa" w:w="3389"/>
            <w:vAlign w:val="top"/>
          </w:tcPr>
          <w:p>
            <w:r>
              <w:t>8</w:t>
            </w:r>
          </w:p>
        </w:tc>
        <w:tc>
          <w:tcPr>
            <w:tcW w:type="dxa" w:w="3389"/>
            <w:vAlign w:val="top"/>
          </w:tcPr>
          <w:p>
            <w:r>
              <w:t>Proveedor o planta con capacidad aprobada</w:t>
            </w:r>
          </w:p>
        </w:tc>
        <w:tc>
          <w:tcPr>
            <w:tcW w:type="dxa" w:w="3389"/>
            <w:vAlign w:val="top"/>
          </w:tcPr>
          <w:p>
            <w:r>
              <w:t>OK / NOK / N.A.</w:t>
            </w:r>
          </w:p>
        </w:tc>
      </w:tr>
      <w:tr>
        <w:tc>
          <w:tcPr>
            <w:tcW w:type="dxa" w:w="3389"/>
            <w:vAlign w:val="top"/>
          </w:tcPr>
          <w:p>
            <w:r>
              <w:t>9</w:t>
            </w:r>
          </w:p>
        </w:tc>
        <w:tc>
          <w:tcPr>
            <w:tcW w:type="dxa" w:w="3389"/>
            <w:vAlign w:val="top"/>
          </w:tcPr>
          <w:p>
            <w:r>
              <w:t>WPS y END definidos</w:t>
            </w:r>
          </w:p>
        </w:tc>
        <w:tc>
          <w:tcPr>
            <w:tcW w:type="dxa" w:w="3389"/>
            <w:vAlign w:val="top"/>
          </w:tcPr>
          <w:p>
            <w:r>
              <w:t>OK / NOK / N.A.</w:t>
            </w:r>
          </w:p>
        </w:tc>
      </w:tr>
      <w:tr>
        <w:tc>
          <w:tcPr>
            <w:tcW w:type="dxa" w:w="3389"/>
            <w:vAlign w:val="top"/>
          </w:tcPr>
          <w:p>
            <w:r>
              <w:t>10</w:t>
            </w:r>
          </w:p>
        </w:tc>
        <w:tc>
          <w:tcPr>
            <w:tcW w:type="dxa" w:w="3389"/>
            <w:vAlign w:val="top"/>
          </w:tcPr>
          <w:p>
            <w:r>
              <w:t>CTQ y plan de control publicados</w:t>
            </w:r>
          </w:p>
        </w:tc>
        <w:tc>
          <w:tcPr>
            <w:tcW w:type="dxa" w:w="3389"/>
            <w:vAlign w:val="top"/>
          </w:tcPr>
          <w:p>
            <w:r>
              <w:t>OK / NOK / N.A.</w:t>
            </w:r>
          </w:p>
        </w:tc>
      </w:tr>
      <w:tr>
        <w:tc>
          <w:tcPr>
            <w:tcW w:type="dxa" w:w="3389"/>
            <w:vAlign w:val="top"/>
          </w:tcPr>
          <w:p>
            <w:r>
              <w:t>11</w:t>
            </w:r>
          </w:p>
        </w:tc>
        <w:tc>
          <w:tcPr>
            <w:tcW w:type="dxa" w:w="3389"/>
            <w:vAlign w:val="top"/>
          </w:tcPr>
          <w:p>
            <w:r>
              <w:t>Coste industrial calculado</w:t>
            </w:r>
          </w:p>
        </w:tc>
        <w:tc>
          <w:tcPr>
            <w:tcW w:type="dxa" w:w="3389"/>
            <w:vAlign w:val="top"/>
          </w:tcPr>
          <w:p>
            <w:r>
              <w:t>OK / NOK / N.A.</w:t>
            </w:r>
          </w:p>
        </w:tc>
      </w:tr>
      <w:tr>
        <w:tc>
          <w:tcPr>
            <w:tcW w:type="dxa" w:w="3389"/>
            <w:vAlign w:val="top"/>
          </w:tcPr>
          <w:p>
            <w:r>
              <w:t>12</w:t>
            </w:r>
          </w:p>
        </w:tc>
        <w:tc>
          <w:tcPr>
            <w:tcW w:type="dxa" w:w="3389"/>
            <w:vAlign w:val="top"/>
          </w:tcPr>
          <w:p>
            <w:r>
              <w:t>Embalaje y transporte definidos</w:t>
            </w:r>
          </w:p>
        </w:tc>
        <w:tc>
          <w:tcPr>
            <w:tcW w:type="dxa" w:w="3389"/>
            <w:vAlign w:val="top"/>
          </w:tcPr>
          <w:p>
            <w:r>
              <w:t>OK / NOK / N.A.</w:t>
            </w:r>
          </w:p>
        </w:tc>
      </w:tr>
      <w:tr>
        <w:tc>
          <w:tcPr>
            <w:tcW w:type="dxa" w:w="3389"/>
            <w:vAlign w:val="top"/>
          </w:tcPr>
          <w:p>
            <w:r>
              <w:t>13</w:t>
            </w:r>
          </w:p>
        </w:tc>
        <w:tc>
          <w:tcPr>
            <w:tcW w:type="dxa" w:w="3389"/>
            <w:vAlign w:val="top"/>
          </w:tcPr>
          <w:p>
            <w:r>
              <w:t>Documentos cliente y proveedor generados</w:t>
            </w:r>
          </w:p>
        </w:tc>
        <w:tc>
          <w:tcPr>
            <w:tcW w:type="dxa" w:w="3389"/>
            <w:vAlign w:val="top"/>
          </w:tcPr>
          <w:p>
            <w:r>
              <w:t>OK / NOK / N.A.</w:t>
            </w:r>
          </w:p>
        </w:tc>
      </w:tr>
      <w:tr>
        <w:tc>
          <w:tcPr>
            <w:tcW w:type="dxa" w:w="3389"/>
            <w:vAlign w:val="top"/>
          </w:tcPr>
          <w:p>
            <w:r>
              <w:t>14</w:t>
            </w:r>
          </w:p>
        </w:tc>
        <w:tc>
          <w:tcPr>
            <w:tcW w:type="dxa" w:w="3389"/>
            <w:vAlign w:val="top"/>
          </w:tcPr>
          <w:p>
            <w:r>
              <w:t>Permisos y confidencialidad correctos</w:t>
            </w:r>
          </w:p>
        </w:tc>
        <w:tc>
          <w:tcPr>
            <w:tcW w:type="dxa" w:w="3389"/>
            <w:vAlign w:val="top"/>
          </w:tcPr>
          <w:p>
            <w:r>
              <w:t>OK / NOK / N.A.</w:t>
            </w:r>
          </w:p>
        </w:tc>
      </w:tr>
      <w:tr>
        <w:tc>
          <w:tcPr>
            <w:tcW w:type="dxa" w:w="3389"/>
            <w:vAlign w:val="top"/>
          </w:tcPr>
          <w:p>
            <w:r>
              <w:t>15</w:t>
            </w:r>
          </w:p>
        </w:tc>
        <w:tc>
          <w:tcPr>
            <w:tcW w:type="dxa" w:w="3389"/>
            <w:vAlign w:val="top"/>
          </w:tcPr>
          <w:p>
            <w:r>
              <w:t>Hashes y firmas válidos</w:t>
            </w:r>
          </w:p>
        </w:tc>
        <w:tc>
          <w:tcPr>
            <w:tcW w:type="dxa" w:w="3389"/>
            <w:vAlign w:val="top"/>
          </w:tcPr>
          <w:p>
            <w:r>
              <w:t>OK / NOK / N.A.</w:t>
            </w:r>
          </w:p>
        </w:tc>
      </w:tr>
      <w:tr>
        <w:tc>
          <w:tcPr>
            <w:tcW w:type="dxa" w:w="3389"/>
            <w:vAlign w:val="top"/>
          </w:tcPr>
          <w:p>
            <w:r>
              <w:t>16</w:t>
            </w:r>
          </w:p>
        </w:tc>
        <w:tc>
          <w:tcPr>
            <w:tcW w:type="dxa" w:w="3389"/>
            <w:vAlign w:val="top"/>
          </w:tcPr>
          <w:p>
            <w:r>
              <w:t>Integraciones ERP/PDM/QMS confirmadas</w:t>
            </w:r>
          </w:p>
        </w:tc>
        <w:tc>
          <w:tcPr>
            <w:tcW w:type="dxa" w:w="3389"/>
            <w:vAlign w:val="top"/>
          </w:tcPr>
          <w:p>
            <w:r>
              <w:t>OK / NOK / N.A.</w:t>
            </w:r>
          </w:p>
        </w:tc>
      </w:tr>
      <w:tr>
        <w:tc>
          <w:tcPr>
            <w:tcW w:type="dxa" w:w="3389"/>
            <w:vAlign w:val="top"/>
          </w:tcPr>
          <w:p>
            <w:r>
              <w:t>17</w:t>
            </w:r>
          </w:p>
        </w:tc>
        <w:tc>
          <w:tcPr>
            <w:tcW w:type="dxa" w:w="3389"/>
            <w:vAlign w:val="top"/>
          </w:tcPr>
          <w:p>
            <w:r>
              <w:t>Paquete liberado sin artefactos obsoletos</w:t>
            </w:r>
          </w:p>
        </w:tc>
        <w:tc>
          <w:tcPr>
            <w:tcW w:type="dxa" w:w="3389"/>
            <w:vAlign w:val="top"/>
          </w:tcPr>
          <w:p>
            <w:r>
              <w:t>OK / NOK / N.A.</w:t>
            </w:r>
          </w:p>
        </w:tc>
      </w:tr>
      <w:tr>
        <w:tc>
          <w:tcPr>
            <w:tcW w:type="dxa" w:w="3389"/>
            <w:vAlign w:val="top"/>
          </w:tcPr>
          <w:p>
            <w:r>
              <w:t>18</w:t>
            </w:r>
          </w:p>
        </w:tc>
        <w:tc>
          <w:tcPr>
            <w:tcW w:type="dxa" w:w="3389"/>
            <w:vAlign w:val="top"/>
          </w:tcPr>
          <w:p>
            <w:r>
              <w:t>Dossier as-built previsto</w:t>
            </w:r>
          </w:p>
        </w:tc>
        <w:tc>
          <w:tcPr>
            <w:tcW w:type="dxa" w:w="3389"/>
            <w:vAlign w:val="top"/>
          </w:tcPr>
          <w:p>
            <w:r>
              <w:t>OK / NOK / N.A.</w:t>
            </w:r>
          </w:p>
        </w:tc>
      </w:tr>
    </w:tbl>
    <w:p/>
    <w:p>
      <w:pPr>
        <w:pStyle w:val="Heading1"/>
      </w:pPr>
      <w:r>
        <w:t>Anexo F. Glosario industrial mínimo</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AD3"/>
            <w:vAlign w:val="center"/>
          </w:tcPr>
          <w:p>
            <w:r>
              <w:rPr>
                <w:b/>
              </w:rPr>
              <w:t>Término</w:t>
            </w:r>
          </w:p>
        </w:tc>
        <w:tc>
          <w:tcPr>
            <w:tcW w:type="dxa" w:w="5083"/>
            <w:shd w:fill="D9EAD3"/>
            <w:vAlign w:val="center"/>
          </w:tcPr>
          <w:p>
            <w:r>
              <w:rPr>
                <w:b/>
              </w:rPr>
              <w:t>Definición</w:t>
            </w:r>
          </w:p>
        </w:tc>
      </w:tr>
      <w:tr>
        <w:tc>
          <w:tcPr>
            <w:tcW w:type="dxa" w:w="5083"/>
            <w:vAlign w:val="top"/>
          </w:tcPr>
          <w:p>
            <w:r>
              <w:t>EBOM</w:t>
            </w:r>
          </w:p>
        </w:tc>
        <w:tc>
          <w:tcPr>
            <w:tcW w:type="dxa" w:w="5083"/>
            <w:vAlign w:val="top"/>
          </w:tcPr>
          <w:p>
            <w:r>
              <w:t>Lista de materiales orientada a función y diseño</w:t>
            </w:r>
          </w:p>
        </w:tc>
      </w:tr>
      <w:tr>
        <w:tc>
          <w:tcPr>
            <w:tcW w:type="dxa" w:w="5083"/>
            <w:vAlign w:val="top"/>
          </w:tcPr>
          <w:p>
            <w:r>
              <w:t>MBOM</w:t>
            </w:r>
          </w:p>
        </w:tc>
        <w:tc>
          <w:tcPr>
            <w:tcW w:type="dxa" w:w="5083"/>
            <w:vAlign w:val="top"/>
          </w:tcPr>
          <w:p>
            <w:r>
              <w:t>Lista de materiales orientada a fabricación y montaje</w:t>
            </w:r>
          </w:p>
        </w:tc>
      </w:tr>
      <w:tr>
        <w:tc>
          <w:tcPr>
            <w:tcW w:type="dxa" w:w="5083"/>
            <w:vAlign w:val="top"/>
          </w:tcPr>
          <w:p>
            <w:r>
              <w:t>PBOM</w:t>
            </w:r>
          </w:p>
        </w:tc>
        <w:tc>
          <w:tcPr>
            <w:tcW w:type="dxa" w:w="5083"/>
            <w:vAlign w:val="top"/>
          </w:tcPr>
          <w:p>
            <w:r>
              <w:t>Lista de compra y suministro</w:t>
            </w:r>
          </w:p>
        </w:tc>
      </w:tr>
      <w:tr>
        <w:tc>
          <w:tcPr>
            <w:tcW w:type="dxa" w:w="5083"/>
            <w:vAlign w:val="top"/>
          </w:tcPr>
          <w:p>
            <w:r>
              <w:t>SBOM</w:t>
            </w:r>
          </w:p>
        </w:tc>
        <w:tc>
          <w:tcPr>
            <w:tcW w:type="dxa" w:w="5083"/>
            <w:vAlign w:val="top"/>
          </w:tcPr>
          <w:p>
            <w:r>
              <w:t>Lista de expedición y embalaje</w:t>
            </w:r>
          </w:p>
        </w:tc>
      </w:tr>
      <w:tr>
        <w:tc>
          <w:tcPr>
            <w:tcW w:type="dxa" w:w="5083"/>
            <w:vAlign w:val="top"/>
          </w:tcPr>
          <w:p>
            <w:r>
              <w:t>MBD</w:t>
            </w:r>
          </w:p>
        </w:tc>
        <w:tc>
          <w:tcPr>
            <w:tcW w:type="dxa" w:w="5083"/>
            <w:vAlign w:val="top"/>
          </w:tcPr>
          <w:p>
            <w:r>
              <w:t>Definición basada en modelo 3D</w:t>
            </w:r>
          </w:p>
        </w:tc>
      </w:tr>
      <w:tr>
        <w:tc>
          <w:tcPr>
            <w:tcW w:type="dxa" w:w="5083"/>
            <w:vAlign w:val="top"/>
          </w:tcPr>
          <w:p>
            <w:r>
              <w:t>PMI</w:t>
            </w:r>
          </w:p>
        </w:tc>
        <w:tc>
          <w:tcPr>
            <w:tcW w:type="dxa" w:w="5083"/>
            <w:vAlign w:val="top"/>
          </w:tcPr>
          <w:p>
            <w:r>
              <w:t>Información de producto y fabricación asociada al modelo</w:t>
            </w:r>
          </w:p>
        </w:tc>
      </w:tr>
      <w:tr>
        <w:tc>
          <w:tcPr>
            <w:tcW w:type="dxa" w:w="5083"/>
            <w:vAlign w:val="top"/>
          </w:tcPr>
          <w:p>
            <w:r>
              <w:t>CTQ</w:t>
            </w:r>
          </w:p>
        </w:tc>
        <w:tc>
          <w:tcPr>
            <w:tcW w:type="dxa" w:w="5083"/>
            <w:vAlign w:val="top"/>
          </w:tcPr>
          <w:p>
            <w:r>
              <w:t>Característica crítica para la calidad</w:t>
            </w:r>
          </w:p>
        </w:tc>
      </w:tr>
      <w:tr>
        <w:tc>
          <w:tcPr>
            <w:tcW w:type="dxa" w:w="5083"/>
            <w:vAlign w:val="top"/>
          </w:tcPr>
          <w:p>
            <w:r>
              <w:t>ECR/ECO</w:t>
            </w:r>
          </w:p>
        </w:tc>
        <w:tc>
          <w:tcPr>
            <w:tcW w:type="dxa" w:w="5083"/>
            <w:vAlign w:val="top"/>
          </w:tcPr>
          <w:p>
            <w:r>
              <w:t>Solicitud/orden formal de cambio de ingeniería</w:t>
            </w:r>
          </w:p>
        </w:tc>
      </w:tr>
      <w:tr>
        <w:tc>
          <w:tcPr>
            <w:tcW w:type="dxa" w:w="5083"/>
            <w:vAlign w:val="top"/>
          </w:tcPr>
          <w:p>
            <w:r>
              <w:t>Effectivity</w:t>
            </w:r>
          </w:p>
        </w:tc>
        <w:tc>
          <w:tcPr>
            <w:tcW w:type="dxa" w:w="5083"/>
            <w:vAlign w:val="top"/>
          </w:tcPr>
          <w:p>
            <w:r>
              <w:t>Condición temporal, por lote o número de serie de una revisión</w:t>
            </w:r>
          </w:p>
        </w:tc>
      </w:tr>
      <w:tr>
        <w:tc>
          <w:tcPr>
            <w:tcW w:type="dxa" w:w="5083"/>
            <w:vAlign w:val="top"/>
          </w:tcPr>
          <w:p>
            <w:r>
              <w:t>Golden master</w:t>
            </w:r>
          </w:p>
        </w:tc>
        <w:tc>
          <w:tcPr>
            <w:tcW w:type="dxa" w:w="5083"/>
            <w:vAlign w:val="top"/>
          </w:tcPr>
          <w:p>
            <w:r>
              <w:t>Artefacto validado usado para pruebas de regresión</w:t>
            </w:r>
          </w:p>
        </w:tc>
      </w:tr>
      <w:tr>
        <w:tc>
          <w:tcPr>
            <w:tcW w:type="dxa" w:w="5083"/>
            <w:vAlign w:val="top"/>
          </w:tcPr>
          <w:p>
            <w:r>
              <w:t>As-built</w:t>
            </w:r>
          </w:p>
        </w:tc>
        <w:tc>
          <w:tcPr>
            <w:tcW w:type="dxa" w:w="5083"/>
            <w:vAlign w:val="top"/>
          </w:tcPr>
          <w:p>
            <w:r>
              <w:t>Configuración real finalmente fabricada e inspeccionada</w:t>
            </w:r>
          </w:p>
        </w:tc>
      </w:tr>
      <w:tr>
        <w:tc>
          <w:tcPr>
            <w:tcW w:type="dxa" w:w="5083"/>
            <w:vAlign w:val="top"/>
          </w:tcPr>
          <w:p>
            <w:r>
              <w:t>ReleasePackage</w:t>
            </w:r>
          </w:p>
        </w:tc>
        <w:tc>
          <w:tcPr>
            <w:tcW w:type="dxa" w:w="5083"/>
            <w:vAlign w:val="top"/>
          </w:tcPr>
          <w:p>
            <w:r>
              <w:t>Paquete inmutable de liberación industrial</w:t>
            </w:r>
          </w:p>
        </w:tc>
      </w:tr>
    </w:tbl>
    <w:p/>
    <w:sectPr w:rsidR="00FC693F" w:rsidRPr="0006063C" w:rsidSect="00034616">
      <w:headerReference w:type="default" r:id="rId9"/>
      <w:footerReference w:type="default" r:id="rId10"/>
      <w:pgSz w:w="12240" w:h="15840"/>
      <w:pgMar w:top="936" w:right="1037" w:bottom="936" w:left="1037"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4"/>
      </w:rPr>
      <w:t xml:space="preserve">Uso interno · Salvi Lighting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SALVI STUDIO · COLUMNS  |  FASE 14 · CAD, BOM Y DOCUMENTACIÓN INDUSTRIAL  |  v0.3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00" w:after="6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60" w:after="60"/>
      <w:outlineLvl w:val="2"/>
    </w:pPr>
    <w:rPr>
      <w:rFonts w:asciiTheme="majorHAnsi" w:eastAsiaTheme="majorEastAsia" w:hAnsiTheme="majorHAnsi" w:cstheme="majorBidi" w:ascii="Arial" w:hAnsi="Arial"/>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before="200"/>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Small">
    <w:name w:val="CoverSmall"/>
    <w:rPr>
      <w:rFonts w:ascii="Arial" w:hAnsi="Arial"/>
      <w:b/>
      <w:sz w:val="20"/>
    </w:rPr>
  </w:style>
  <w:style w:type="paragraph" w:customStyle="1" w:styleId="TableText">
    <w:name w:val="TableText"/>
    <w:rPr>
      <w:rFonts w:ascii="Arial" w:hAnsi="Arial"/>
      <w:sz w:val="15"/>
    </w:rPr>
  </w:style>
  <w:style w:type="paragraph" w:customStyle="1" w:styleId="CaptionSmall">
    <w:name w:val="CaptionSmall"/>
    <w:rPr>
      <w:rFonts w:ascii="Arial" w:hAnsi="Arial"/>
      <w:i/>
      <w:color w:val="5A5A5A"/>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Salvi Studio Columns - Fase 14 CAD, BOM y documentacion industrial v0.3</dc:title>
  <dc:subject>Especificacion tecnica completa de industrializacion digital</dc:subject>
  <dc:creator>Salvi Lighting</dc:creator>
  <cp:keywords>Salvi Studio, Columns, CAD, STEP, DXF, BOM, fabricación, planos, documentación industrial</cp:keywords>
  <dc:description>Version 0.3 completada y ampliada en julio de 2026.</dc:description>
  <cp:lastModifiedBy/>
  <cp:revision>1</cp:revision>
  <dcterms:created xsi:type="dcterms:W3CDTF">2013-12-23T23:15:00Z</dcterms:created>
  <dcterms:modified xsi:type="dcterms:W3CDTF">2013-12-23T23:15:00Z</dcterms:modified>
  <cp:category/>
</cp:coreProperties>
</file>