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Arial" w:hAnsi="Arial"/>
          <w:b/>
          <w:sz w:val="28"/>
        </w:rPr>
        <w:t>SALVI STUDIO</w:t>
      </w:r>
    </w:p>
    <w:p>
      <w:pPr>
        <w:spacing w:before="1300" w:after="0"/>
      </w:pPr>
      <w:r>
        <w:rPr>
          <w:rFonts w:ascii="Arial" w:hAnsi="Arial"/>
          <w:b/>
          <w:sz w:val="72"/>
        </w:rPr>
        <w:t>COLUMNS</w:t>
      </w:r>
    </w:p>
    <w:p>
      <w:pPr>
        <w:spacing w:before="200" w:after="0"/>
      </w:pPr>
      <w:r>
        <w:rPr>
          <w:rFonts w:ascii="Arial" w:hAnsi="Arial"/>
          <w:b/>
          <w:sz w:val="48"/>
        </w:rPr>
        <w:t>FASE 15</w:t>
      </w:r>
    </w:p>
    <w:p>
      <w:pPr>
        <w:spacing w:before="280"/>
      </w:pPr>
      <w:r>
        <w:rPr>
          <w:rFonts w:ascii="Arial" w:hAnsi="Arial"/>
          <w:b/>
          <w:sz w:val="36"/>
        </w:rPr>
        <w:t>Informes, validación documental y liberación</w:t>
      </w:r>
    </w:p>
    <w:p>
      <w:pPr>
        <w:spacing w:before="200"/>
      </w:pPr>
      <w:r>
        <w:rPr>
          <w:rFonts w:ascii="Arial" w:hAnsi="Arial"/>
          <w:sz w:val="24"/>
        </w:rPr>
        <w:t>Especificación técnica funcional, documental y de arquitectura</w:t>
      </w:r>
    </w:p>
    <w:p>
      <w:pPr>
        <w:spacing w:before="3000"/>
      </w:pPr>
      <w:r>
        <w:t>Versión 0.2 · Julio 2026</w:t>
      </w:r>
    </w:p>
    <w:p>
      <w:r>
        <w:rPr>
          <w:rFonts w:ascii="Arial" w:hAnsi="Arial"/>
          <w:color w:val="666666"/>
          <w:sz w:val="18"/>
        </w:rPr>
        <w:t>Uso interno · Salvi Lighting</w:t>
      </w:r>
    </w:p>
    <w:p>
      <w:r>
        <w:br w:type="page"/>
      </w:r>
    </w:p>
    <w:p>
      <w:pPr>
        <w:pStyle w:val="Heading1"/>
        <w:keepNext/>
      </w:pPr>
      <w:r>
        <w:t>Control del documento</w:t>
      </w:r>
    </w:p>
    <w:tbl>
      <w:tblPr>
        <w:tblStyle w:val="TableGrid"/>
        <w:tblW w:type="auto" w:w="0"/>
        <w:jc w:val="center"/>
        <w:tblLook w:firstColumn="1" w:firstRow="1" w:lastColumn="0" w:lastRow="0" w:noHBand="0" w:noVBand="1" w:val="04A0"/>
      </w:tblPr>
      <w:tblGrid>
        <w:gridCol w:w="5083"/>
        <w:gridCol w:w="5083"/>
      </w:tblGrid>
      <w:tr>
        <w:tc>
          <w:tcPr>
            <w:tcW w:type="dxa" w:w="2835"/>
            <w:vAlign w:val="center"/>
            <w:shd w:fill="111111"/>
          </w:tcPr>
          <w:p>
            <w:r>
              <w:t>Campo</w:t>
            </w:r>
          </w:p>
        </w:tc>
        <w:tc>
          <w:tcPr>
            <w:tcW w:type="dxa" w:w="6236"/>
            <w:vAlign w:val="center"/>
            <w:shd w:fill="111111"/>
          </w:tcPr>
          <w:p>
            <w:r>
              <w:t>Valor</w:t>
            </w:r>
          </w:p>
        </w:tc>
      </w:tr>
      <w:tr>
        <w:tc>
          <w:tcPr>
            <w:tcW w:type="dxa" w:w="2835"/>
            <w:vAlign w:val="center"/>
          </w:tcPr>
          <w:p>
            <w:r>
              <w:t>Documento</w:t>
            </w:r>
          </w:p>
        </w:tc>
        <w:tc>
          <w:tcPr>
            <w:tcW w:type="dxa" w:w="6236"/>
            <w:vAlign w:val="center"/>
          </w:tcPr>
          <w:p>
            <w:r>
              <w:t>Salvi Studio · Columns · Fase 15</w:t>
            </w:r>
          </w:p>
        </w:tc>
      </w:tr>
      <w:tr>
        <w:tc>
          <w:tcPr>
            <w:tcW w:type="dxa" w:w="2835"/>
            <w:vAlign w:val="center"/>
            <w:shd w:fill="F7F7F7"/>
          </w:tcPr>
          <w:p>
            <w:r>
              <w:t>Título</w:t>
            </w:r>
          </w:p>
        </w:tc>
        <w:tc>
          <w:tcPr>
            <w:tcW w:type="dxa" w:w="6236"/>
            <w:vAlign w:val="center"/>
            <w:shd w:fill="F7F7F7"/>
          </w:tcPr>
          <w:p>
            <w:r>
              <w:t>Informes, validación documental y liberación</w:t>
            </w:r>
          </w:p>
        </w:tc>
      </w:tr>
      <w:tr>
        <w:tc>
          <w:tcPr>
            <w:tcW w:type="dxa" w:w="2835"/>
            <w:vAlign w:val="center"/>
          </w:tcPr>
          <w:p>
            <w:r>
              <w:t>Versión</w:t>
            </w:r>
          </w:p>
        </w:tc>
        <w:tc>
          <w:tcPr>
            <w:tcW w:type="dxa" w:w="6236"/>
            <w:vAlign w:val="center"/>
          </w:tcPr>
          <w:p>
            <w:r>
              <w:t>0.2</w:t>
            </w:r>
          </w:p>
        </w:tc>
      </w:tr>
      <w:tr>
        <w:tc>
          <w:tcPr>
            <w:tcW w:type="dxa" w:w="2835"/>
            <w:vAlign w:val="center"/>
            <w:shd w:fill="F7F7F7"/>
          </w:tcPr>
          <w:p>
            <w:r>
              <w:t>Fecha</w:t>
            </w:r>
          </w:p>
        </w:tc>
        <w:tc>
          <w:tcPr>
            <w:tcW w:type="dxa" w:w="6236"/>
            <w:vAlign w:val="center"/>
            <w:shd w:fill="F7F7F7"/>
          </w:tcPr>
          <w:p>
            <w:r>
              <w:t>Julio 2026</w:t>
            </w:r>
          </w:p>
        </w:tc>
      </w:tr>
      <w:tr>
        <w:tc>
          <w:tcPr>
            <w:tcW w:type="dxa" w:w="2835"/>
            <w:vAlign w:val="center"/>
          </w:tcPr>
          <w:p>
            <w:r>
              <w:t>Clasificación</w:t>
            </w:r>
          </w:p>
        </w:tc>
        <w:tc>
          <w:tcPr>
            <w:tcW w:type="dxa" w:w="6236"/>
            <w:vAlign w:val="center"/>
          </w:tcPr>
          <w:p>
            <w:r>
              <w:t>Uso interno · Salvi Lighting</w:t>
            </w:r>
          </w:p>
        </w:tc>
      </w:tr>
      <w:tr>
        <w:tc>
          <w:tcPr>
            <w:tcW w:type="dxa" w:w="2835"/>
            <w:vAlign w:val="center"/>
            <w:shd w:fill="F7F7F7"/>
          </w:tcPr>
          <w:p>
            <w:r>
              <w:t>Propietario funcional</w:t>
            </w:r>
          </w:p>
        </w:tc>
        <w:tc>
          <w:tcPr>
            <w:tcW w:type="dxa" w:w="6236"/>
            <w:vAlign w:val="center"/>
            <w:shd w:fill="F7F7F7"/>
          </w:tcPr>
          <w:p>
            <w:r>
              <w:t>Oficina Técnica / Producto Digital</w:t>
            </w:r>
          </w:p>
        </w:tc>
      </w:tr>
      <w:tr>
        <w:tc>
          <w:tcPr>
            <w:tcW w:type="dxa" w:w="2835"/>
            <w:vAlign w:val="center"/>
          </w:tcPr>
          <w:p>
            <w:r>
              <w:t>Aprobación prevista</w:t>
            </w:r>
          </w:p>
        </w:tc>
        <w:tc>
          <w:tcPr>
            <w:tcW w:type="dxa" w:w="6236"/>
            <w:vAlign w:val="center"/>
          </w:tcPr>
          <w:p>
            <w:r>
              <w:t>Dirección Técnica, Calidad y Dirección de Producto</w:t>
            </w:r>
          </w:p>
        </w:tc>
      </w:tr>
      <w:tr>
        <w:tc>
          <w:tcPr>
            <w:tcW w:type="dxa" w:w="2835"/>
            <w:vAlign w:val="center"/>
            <w:shd w:fill="F7F7F7"/>
          </w:tcPr>
          <w:p>
            <w:r>
              <w:t>Estado</w:t>
            </w:r>
          </w:p>
        </w:tc>
        <w:tc>
          <w:tcPr>
            <w:tcW w:type="dxa" w:w="6236"/>
            <w:vAlign w:val="center"/>
            <w:shd w:fill="F7F7F7"/>
          </w:tcPr>
          <w:p>
            <w:r>
              <w:t>Borrador técnico para revisión</w:t>
            </w:r>
          </w:p>
        </w:tc>
      </w:tr>
    </w:tbl>
    <w:p>
      <w:pPr>
        <w:spacing w:after="0"/>
      </w:pPr>
    </w:p>
    <w:p>
      <w:pPr>
        <w:pStyle w:val="Heading2"/>
        <w:keepNext/>
      </w:pPr>
      <w:r>
        <w:t>Historial de cambios</w:t>
      </w:r>
    </w:p>
    <w:tbl>
      <w:tblPr>
        <w:tblStyle w:val="TableGrid"/>
        <w:tblW w:type="auto" w:w="0"/>
        <w:jc w:val="center"/>
        <w:tblLook w:firstColumn="1" w:firstRow="1" w:lastColumn="0" w:lastRow="0" w:noHBand="0" w:noVBand="1" w:val="04A0"/>
      </w:tblPr>
      <w:tblGrid>
        <w:gridCol w:w="3389"/>
        <w:gridCol w:w="3389"/>
        <w:gridCol w:w="3389"/>
      </w:tblGrid>
      <w:tr>
        <w:tc>
          <w:tcPr>
            <w:tcW w:type="dxa" w:w="1134"/>
            <w:vAlign w:val="center"/>
            <w:shd w:fill="111111"/>
          </w:tcPr>
          <w:p>
            <w:r>
              <w:t>Versión</w:t>
            </w:r>
          </w:p>
        </w:tc>
        <w:tc>
          <w:tcPr>
            <w:tcW w:type="dxa" w:w="1701"/>
            <w:vAlign w:val="center"/>
            <w:shd w:fill="111111"/>
          </w:tcPr>
          <w:p>
            <w:r>
              <w:t>Fecha</w:t>
            </w:r>
          </w:p>
        </w:tc>
        <w:tc>
          <w:tcPr>
            <w:tcW w:type="dxa" w:w="6236"/>
            <w:vAlign w:val="center"/>
            <w:shd w:fill="111111"/>
          </w:tcPr>
          <w:p>
            <w:r>
              <w:t>Descripción</w:t>
            </w:r>
          </w:p>
        </w:tc>
      </w:tr>
      <w:tr>
        <w:tc>
          <w:tcPr>
            <w:tcW w:type="dxa" w:w="1134"/>
            <w:vAlign w:val="center"/>
          </w:tcPr>
          <w:p>
            <w:r>
              <w:t>0.2</w:t>
            </w:r>
          </w:p>
        </w:tc>
        <w:tc>
          <w:tcPr>
            <w:tcW w:type="dxa" w:w="1701"/>
            <w:vAlign w:val="center"/>
          </w:tcPr>
          <w:p>
            <w:r>
              <w:t>Julio 2026</w:t>
            </w:r>
          </w:p>
        </w:tc>
        <w:tc>
          <w:tcPr>
            <w:tcW w:type="dxa" w:w="6236"/>
            <w:vAlign w:val="center"/>
          </w:tcPr>
          <w:p>
            <w:r>
              <w:t>Primera especificación integral de informes, validación documental, estados M0–M4, gates, aprobación y liberación.</w:t>
            </w:r>
          </w:p>
        </w:tc>
      </w:tr>
      <w:tr>
        <w:tc>
          <w:tcPr>
            <w:tcW w:type="dxa" w:w="3389"/>
          </w:tcPr>
          <w:p>
            <w:r>
              <w:t>0.2</w:t>
            </w:r>
          </w:p>
        </w:tc>
        <w:tc>
          <w:tcPr>
            <w:tcW w:type="dxa" w:w="3389"/>
          </w:tcPr>
          <w:p>
            <w:r>
              <w:t>Julio 2026</w:t>
            </w:r>
          </w:p>
        </w:tc>
        <w:tc>
          <w:tcPr>
            <w:tcW w:type="dxa" w:w="3389"/>
          </w:tcPr>
          <w:p>
            <w:r>
              <w:t>Revisión ampliada: contratos documentales ejecutables, trazabilidad de campo, diff semántico, firma y verificación, accesibilidad, distribución, SLA, evidencia regulatoria y 300 casos de aceptación.</w:t>
            </w:r>
          </w:p>
        </w:tc>
      </w:tr>
    </w:tbl>
    <w:p>
      <w:pPr>
        <w:spacing w:after="0"/>
      </w:pPr>
    </w:p>
    <w:p>
      <w:pPr>
        <w:pStyle w:val="Heading2"/>
        <w:keepNext/>
      </w:pPr>
      <w:r>
        <w:t>Objetivo del documento</w:t>
      </w:r>
    </w:p>
    <w:p>
      <w:pPr>
        <w:spacing w:after="100" w:line="252" w:lineRule="auto"/>
      </w:pPr>
      <w:r>
        <w:t>Definir con precisión cómo Salvi Studio · Columns transforma una solución calculada y documentada en un expediente comprensible, verificable, aprobable y liberable. La fase cubre la generación de informes, la validación cruzada de datos, la revisión humana, los estados de madurez, la firma y la distribución controlada de entregables.</w:t>
      </w:r>
    </w:p>
    <w:p>
      <w:pPr>
        <w:pStyle w:val="Heading2"/>
        <w:keepNext/>
      </w:pPr>
      <w:r>
        <w:t>Relación con otras fases</w:t>
      </w:r>
    </w:p>
    <w:p>
      <w:pPr>
        <w:spacing w:after="100" w:line="252" w:lineRule="auto"/>
      </w:pPr>
      <w:r>
        <w:t>Esta fase recibe snapshots congelados de geometría, acciones, cálculo, materiales, detalles locales, uniones, base, cimentación, catálogo, optimización y documentación industrial. No recalcula la estructura ni modifica resultados técnicos: valida su coherencia, los presenta y gobierna su aprobación y liberación.</w:t>
      </w:r>
    </w:p>
    <w:p>
      <w:pPr>
        <w:pStyle w:val="Heading1"/>
        <w:keepNext/>
      </w:pPr>
      <w:r>
        <w:t>Índice funcional</w:t>
      </w:r>
    </w:p>
    <w:p>
      <w:pPr>
        <w:spacing w:after="100" w:line="252" w:lineRule="auto"/>
      </w:pPr>
      <w:r>
        <w:t>1. Resumen ejecutivo</w:t>
      </w:r>
    </w:p>
    <w:p>
      <w:pPr>
        <w:spacing w:after="100" w:line="252" w:lineRule="auto"/>
      </w:pPr>
      <w:r>
        <w:t>2. Principios de diseño</w:t>
      </w:r>
    </w:p>
    <w:p>
      <w:pPr>
        <w:spacing w:after="100" w:line="252" w:lineRule="auto"/>
      </w:pPr>
      <w:r>
        <w:t>3. Alcance y exclusiones</w:t>
      </w:r>
    </w:p>
    <w:p>
      <w:pPr>
        <w:spacing w:after="100" w:line="252" w:lineRule="auto"/>
      </w:pPr>
      <w:r>
        <w:t>4. Usuarios, roles y segregación</w:t>
      </w:r>
    </w:p>
    <w:p>
      <w:pPr>
        <w:spacing w:after="100" w:line="252" w:lineRule="auto"/>
      </w:pPr>
      <w:r>
        <w:t>5. Estados de madurez M0–M4</w:t>
      </w:r>
    </w:p>
    <w:p>
      <w:pPr>
        <w:spacing w:after="100" w:line="252" w:lineRule="auto"/>
      </w:pPr>
      <w:r>
        <w:t>6. Arquitectura del expediente</w:t>
      </w:r>
    </w:p>
    <w:p>
      <w:pPr>
        <w:spacing w:after="100" w:line="252" w:lineRule="auto"/>
      </w:pPr>
      <w:r>
        <w:t>7. Motor documental</w:t>
      </w:r>
    </w:p>
    <w:p>
      <w:pPr>
        <w:spacing w:after="100" w:line="252" w:lineRule="auto"/>
      </w:pPr>
      <w:r>
        <w:t>8. Informe comercial y cliente resumido</w:t>
      </w:r>
    </w:p>
    <w:p>
      <w:pPr>
        <w:spacing w:after="100" w:line="252" w:lineRule="auto"/>
      </w:pPr>
      <w:r>
        <w:t>9. Informe técnico extenso para cliente</w:t>
      </w:r>
    </w:p>
    <w:p>
      <w:pPr>
        <w:spacing w:after="100" w:line="252" w:lineRule="auto"/>
      </w:pPr>
      <w:r>
        <w:t>10. Memoria completa de cálculo</w:t>
      </w:r>
    </w:p>
    <w:p>
      <w:pPr>
        <w:spacing w:after="100" w:line="252" w:lineRule="auto"/>
      </w:pPr>
      <w:r>
        <w:t>11. Informe de producción y subcontratación</w:t>
      </w:r>
    </w:p>
    <w:p>
      <w:pPr>
        <w:spacing w:after="100" w:line="252" w:lineRule="auto"/>
      </w:pPr>
      <w:r>
        <w:t>12. Informes de calidad, montaje y conformidad</w:t>
      </w:r>
    </w:p>
    <w:p>
      <w:pPr>
        <w:spacing w:after="100" w:line="252" w:lineRule="auto"/>
      </w:pPr>
      <w:r>
        <w:t>13. Validación automática de coherencia</w:t>
      </w:r>
    </w:p>
    <w:p>
      <w:pPr>
        <w:spacing w:after="100" w:line="252" w:lineRule="auto"/>
      </w:pPr>
      <w:r>
        <w:t>14. Revisión humana y workflow de aprobación</w:t>
      </w:r>
    </w:p>
    <w:p>
      <w:pPr>
        <w:spacing w:after="100" w:line="252" w:lineRule="auto"/>
      </w:pPr>
      <w:r>
        <w:t>15. Firma, sellado, hash y autenticidad</w:t>
      </w:r>
    </w:p>
    <w:p>
      <w:pPr>
        <w:spacing w:after="100" w:line="252" w:lineRule="auto"/>
      </w:pPr>
      <w:r>
        <w:t>16. Gestión de revisiones y cambios</w:t>
      </w:r>
    </w:p>
    <w:p>
      <w:pPr>
        <w:spacing w:after="100" w:line="252" w:lineRule="auto"/>
      </w:pPr>
      <w:r>
        <w:t>17. Inteligencia artificial controlada</w:t>
      </w:r>
    </w:p>
    <w:p>
      <w:pPr>
        <w:spacing w:after="100" w:line="252" w:lineRule="auto"/>
      </w:pPr>
      <w:r>
        <w:t>18. Multilingüismo, unidades y terminología</w:t>
      </w:r>
    </w:p>
    <w:p>
      <w:pPr>
        <w:spacing w:after="100" w:line="252" w:lineRule="auto"/>
      </w:pPr>
      <w:r>
        <w:t>19. Privacidad, redacción y distribución</w:t>
      </w:r>
    </w:p>
    <w:p>
      <w:pPr>
        <w:spacing w:after="100" w:line="252" w:lineRule="auto"/>
      </w:pPr>
      <w:r>
        <w:t>20. Experiencia de usuario</w:t>
      </w:r>
    </w:p>
    <w:p>
      <w:pPr>
        <w:spacing w:after="100" w:line="252" w:lineRule="auto"/>
      </w:pPr>
      <w:r>
        <w:t>21. Modelo de datos</w:t>
      </w:r>
    </w:p>
    <w:p>
      <w:pPr>
        <w:spacing w:after="100" w:line="252" w:lineRule="auto"/>
      </w:pPr>
      <w:r>
        <w:t>22. Backend, API y eventos</w:t>
      </w:r>
    </w:p>
    <w:p>
      <w:pPr>
        <w:spacing w:after="100" w:line="252" w:lineRule="auto"/>
      </w:pPr>
      <w:r>
        <w:t>23. Rendimiento, resiliencia y archivo</w:t>
      </w:r>
    </w:p>
    <w:p>
      <w:pPr>
        <w:spacing w:after="100" w:line="252" w:lineRule="auto"/>
      </w:pPr>
      <w:r>
        <w:t>24. Estrategia de pruebas y aceptación</w:t>
      </w:r>
    </w:p>
    <w:p>
      <w:pPr>
        <w:spacing w:after="100" w:line="252" w:lineRule="auto"/>
      </w:pPr>
      <w:r>
        <w:t>25. Entregables y criterios de cierre</w:t>
      </w:r>
    </w:p>
    <w:p>
      <w:pPr/>
      <w:r>
        <w:t>26. Contrato documental ejecutable y trazabilidad de campo</w:t>
      </w:r>
    </w:p>
    <w:p>
      <w:pPr/>
      <w:r>
        <w:t>27. Catálogo de datos críticos y reglas de presentación</w:t>
      </w:r>
    </w:p>
    <w:p>
      <w:pPr/>
      <w:r>
        <w:t>28. Comparador semántico y análisis de impacto</w:t>
      </w:r>
    </w:p>
    <w:p>
      <w:pPr/>
      <w:r>
        <w:t>29. Evidencia regulatoria, conformidad y jurisdicciones</w:t>
      </w:r>
    </w:p>
    <w:p>
      <w:pPr/>
      <w:r>
        <w:t>30. Firma electrónica, identidad y verificación externa</w:t>
      </w:r>
    </w:p>
    <w:p>
      <w:pPr/>
      <w:r>
        <w:t>31. Distribución, portales y control de destinatarios</w:t>
      </w:r>
    </w:p>
    <w:p>
      <w:pPr/>
      <w:r>
        <w:t>32. Accesibilidad, renderizado y calidad visual</w:t>
      </w:r>
    </w:p>
    <w:p>
      <w:pPr/>
      <w:r>
        <w:t>33. Operación, SLA, escalado y continuidad</w:t>
      </w:r>
    </w:p>
    <w:p>
      <w:pPr/>
      <w:r>
        <w:t>34. Seguridad documental, DLP y protección del know-how</w:t>
      </w:r>
    </w:p>
    <w:p>
      <w:pPr/>
      <w:r>
        <w:t>35. Validación avanzada y casos de aceptación AC15-181 a AC15-300</w:t>
      </w:r>
    </w:p>
    <w:p>
      <w:pPr>
        <w:spacing w:after="100" w:line="252" w:lineRule="auto"/>
      </w:pPr>
      <w:r>
        <w:t>Anexos A–J</w:t>
      </w:r>
    </w:p>
    <w:p>
      <w:r>
        <w:br w:type="page"/>
      </w:r>
    </w:p>
    <w:p>
      <w:pPr>
        <w:pStyle w:val="Heading1"/>
        <w:keepNext/>
      </w:pPr>
      <w:r>
        <w:t>1. Resumen ejecutivo</w:t>
      </w:r>
    </w:p>
    <w:p>
      <w:pPr>
        <w:spacing w:after="100" w:line="252" w:lineRule="auto"/>
      </w:pPr>
      <w:r>
        <w:t>La Fase 15 es el punto de control entre “el sistema ha calculado” y “Salvi autoriza el uso del resultado”. Un cálculo correcto puede quedar invalidado por un informe incompleto, una revisión equivocada, una mezcla de versiones, una hipótesis no confirmada o una distribución no controlada. Por ello, esta fase debe funcionar como un sistema de aseguramiento documental y de liberación, no como un simple generador de PDF.</w:t>
      </w:r>
    </w:p>
    <w:p>
      <w:pPr>
        <w:spacing w:after="100" w:line="252" w:lineRule="auto"/>
      </w:pPr>
      <w:r>
        <w:t>Todo entregable se construirá desde un ReleaseSnapshot inmutable que referencie el ProductSnapshot, el AnalysisSnapshot, las bibliotecas normativas y de materiales, las evidencias de validación y las decisiones de aprobación. El informe nunca reconstruirá datos mediante consultas “en vivo” a tablas que puedan haber cambiado.</w:t>
      </w:r>
    </w:p>
    <w:p>
      <w:pPr>
        <w:spacing w:after="100" w:line="252" w:lineRule="auto"/>
      </w:pPr>
      <w:r>
        <w:t>La liberación se realizará por gates objetivos. Un documento podrá existir como borrador, pero no podrá presentarse como validado, apto para cliente o apto para fabricación hasta superar los controles correspondientes y disponer de las aprobaciones exigidas.</w:t>
      </w:r>
    </w:p>
    <w:p>
      <w:pPr>
        <w:pStyle w:val="Heading2"/>
        <w:keepNext/>
      </w:pPr>
      <w:r>
        <w:t>1.1 Resultado de la fase</w:t>
      </w:r>
    </w:p>
    <w:p>
      <w:pPr>
        <w:pStyle w:val="ListBullet"/>
        <w:spacing w:after="40"/>
      </w:pPr>
      <w:r>
        <w:t>Expediente único, indexado y versionado por solución y revisión.</w:t>
      </w:r>
    </w:p>
    <w:p>
      <w:pPr>
        <w:pStyle w:val="ListBullet"/>
        <w:spacing w:after="40"/>
      </w:pPr>
      <w:r>
        <w:t>Informe resumido para cliente y técnico comercial.</w:t>
      </w:r>
    </w:p>
    <w:p>
      <w:pPr>
        <w:pStyle w:val="ListBullet"/>
        <w:spacing w:after="40"/>
      </w:pPr>
      <w:r>
        <w:t>Informe técnico extenso para cliente o ingeniería externa.</w:t>
      </w:r>
    </w:p>
    <w:p>
      <w:pPr>
        <w:pStyle w:val="ListBullet"/>
        <w:spacing w:after="40"/>
      </w:pPr>
      <w:r>
        <w:t>Memoria completa de cálculo con entradas, fórmulas, resultados y trazabilidad.</w:t>
      </w:r>
    </w:p>
    <w:p>
      <w:pPr>
        <w:pStyle w:val="ListBullet"/>
        <w:spacing w:after="40"/>
      </w:pPr>
      <w:r>
        <w:t>Informe de producción, subcontratación, montaje, calidad y conformidad.</w:t>
      </w:r>
    </w:p>
    <w:p>
      <w:pPr>
        <w:pStyle w:val="ListBullet"/>
        <w:spacing w:after="40"/>
      </w:pPr>
      <w:r>
        <w:t>Registro de validaciones automáticas, revisiones humanas y aprobaciones.</w:t>
      </w:r>
    </w:p>
    <w:p>
      <w:pPr>
        <w:pStyle w:val="ListBullet"/>
        <w:spacing w:after="40"/>
      </w:pPr>
      <w:r>
        <w:t>Paquete firmado con hash, estado, idioma, fecha, alcance y limitaciones.</w:t>
      </w:r>
    </w:p>
    <w:p>
      <w:pPr>
        <w:pStyle w:val="ListBullet"/>
        <w:spacing w:after="40"/>
      </w:pPr>
      <w:r>
        <w:t>Archivo histórico íntegro y reproducible.</w:t>
      </w:r>
    </w:p>
    <w:p>
      <w:pPr>
        <w:pStyle w:val="Heading2"/>
        <w:keepNext/>
      </w:pPr>
      <w:r>
        <w:t>1.2 Regla central</w:t>
      </w:r>
    </w:p>
    <w:p>
      <w:pPr>
        <w:spacing w:after="100" w:line="252" w:lineRule="auto"/>
      </w:pPr>
      <w:r>
        <w:t>Ningún documento liberado podrá combinar datos procedentes de snapshots diferentes. Si cambia cualquier dato crítico, el expediente afectado quedará obsoleto y deberá regenerarse, revalidarse y, cuando corresponda, aprobarse de nuevo.</w:t>
      </w:r>
    </w:p>
    <w:p>
      <w:pPr>
        <w:pStyle w:val="Heading1"/>
        <w:keepNext/>
      </w:pPr>
      <w:r>
        <w:t>2. Principios de diseño</w:t>
      </w:r>
    </w:p>
    <w:tbl>
      <w:tblPr>
        <w:tblStyle w:val="TableGrid"/>
        <w:tblW w:type="auto" w:w="0"/>
        <w:jc w:val="center"/>
        <w:tblLook w:firstColumn="1" w:firstRow="1" w:lastColumn="0" w:lastRow="0" w:noHBand="0" w:noVBand="1" w:val="04A0"/>
      </w:tblPr>
      <w:tblGrid>
        <w:gridCol w:w="5083"/>
        <w:gridCol w:w="5083"/>
      </w:tblGrid>
      <w:tr>
        <w:tc>
          <w:tcPr>
            <w:tcW w:type="dxa" w:w="2268"/>
            <w:vAlign w:val="center"/>
            <w:shd w:fill="111111"/>
          </w:tcPr>
          <w:p>
            <w:r>
              <w:t>Principio</w:t>
            </w:r>
          </w:p>
        </w:tc>
        <w:tc>
          <w:tcPr>
            <w:tcW w:type="dxa" w:w="6803"/>
            <w:vAlign w:val="center"/>
            <w:shd w:fill="111111"/>
          </w:tcPr>
          <w:p>
            <w:r>
              <w:t>Requisito obligatorio</w:t>
            </w:r>
          </w:p>
        </w:tc>
      </w:tr>
      <w:tr>
        <w:tc>
          <w:tcPr>
            <w:tcW w:type="dxa" w:w="2268"/>
            <w:vAlign w:val="center"/>
          </w:tcPr>
          <w:p>
            <w:r>
              <w:t>Fuente única</w:t>
            </w:r>
          </w:p>
        </w:tc>
        <w:tc>
          <w:tcPr>
            <w:tcW w:type="dxa" w:w="6803"/>
            <w:vAlign w:val="center"/>
          </w:tcPr>
          <w:p>
            <w:r>
              <w:t>Todos los artefactos proceden de un ReleaseSnapshot inmutable.</w:t>
            </w:r>
          </w:p>
        </w:tc>
      </w:tr>
      <w:tr>
        <w:tc>
          <w:tcPr>
            <w:tcW w:type="dxa" w:w="2268"/>
            <w:vAlign w:val="center"/>
            <w:shd w:fill="F7F7F7"/>
          </w:tcPr>
          <w:p>
            <w:r>
              <w:t>Trazabilidad</w:t>
            </w:r>
          </w:p>
        </w:tc>
        <w:tc>
          <w:tcPr>
            <w:tcW w:type="dxa" w:w="6803"/>
            <w:vAlign w:val="center"/>
            <w:shd w:fill="F7F7F7"/>
          </w:tcPr>
          <w:p>
            <w:r>
              <w:t>Cada cifra debe poder rastrearse hasta entrada, cálculo, cláusula, tabla, curva o decisión.</w:t>
            </w:r>
          </w:p>
        </w:tc>
      </w:tr>
      <w:tr>
        <w:tc>
          <w:tcPr>
            <w:tcW w:type="dxa" w:w="2268"/>
            <w:vAlign w:val="center"/>
          </w:tcPr>
          <w:p>
            <w:r>
              <w:t>No ambigüedad</w:t>
            </w:r>
          </w:p>
        </w:tc>
        <w:tc>
          <w:tcPr>
            <w:tcW w:type="dxa" w:w="6803"/>
            <w:vAlign w:val="center"/>
          </w:tcPr>
          <w:p>
            <w:r>
              <w:t>Estado, alcance, limitaciones y responsable visibles en cada documento.</w:t>
            </w:r>
          </w:p>
        </w:tc>
      </w:tr>
      <w:tr>
        <w:tc>
          <w:tcPr>
            <w:tcW w:type="dxa" w:w="2268"/>
            <w:vAlign w:val="center"/>
            <w:shd w:fill="F7F7F7"/>
          </w:tcPr>
          <w:p>
            <w:r>
              <w:t>Separación de funciones</w:t>
            </w:r>
          </w:p>
        </w:tc>
        <w:tc>
          <w:tcPr>
            <w:tcW w:type="dxa" w:w="6803"/>
            <w:vAlign w:val="center"/>
            <w:shd w:fill="F7F7F7"/>
          </w:tcPr>
          <w:p>
            <w:r>
              <w:t>La IA redacta; los motores deterministas calculan; las personas aprueban.</w:t>
            </w:r>
          </w:p>
        </w:tc>
      </w:tr>
      <w:tr>
        <w:tc>
          <w:tcPr>
            <w:tcW w:type="dxa" w:w="2268"/>
            <w:vAlign w:val="center"/>
          </w:tcPr>
          <w:p>
            <w:r>
              <w:t>Reproducibilidad</w:t>
            </w:r>
          </w:p>
        </w:tc>
        <w:tc>
          <w:tcPr>
            <w:tcW w:type="dxa" w:w="6803"/>
            <w:vAlign w:val="center"/>
          </w:tcPr>
          <w:p>
            <w:r>
              <w:t>La misma entrada y versión de motor produce el mismo contenido técnico.</w:t>
            </w:r>
          </w:p>
        </w:tc>
      </w:tr>
      <w:tr>
        <w:tc>
          <w:tcPr>
            <w:tcW w:type="dxa" w:w="2268"/>
            <w:vAlign w:val="center"/>
            <w:shd w:fill="F7F7F7"/>
          </w:tcPr>
          <w:p>
            <w:r>
              <w:t>Defensa en profundidad</w:t>
            </w:r>
          </w:p>
        </w:tc>
        <w:tc>
          <w:tcPr>
            <w:tcW w:type="dxa" w:w="6803"/>
            <w:vAlign w:val="center"/>
            <w:shd w:fill="F7F7F7"/>
          </w:tcPr>
          <w:p>
            <w:r>
              <w:t>Validación automática, revisión humana y gates de liberación.</w:t>
            </w:r>
          </w:p>
        </w:tc>
      </w:tr>
      <w:tr>
        <w:tc>
          <w:tcPr>
            <w:tcW w:type="dxa" w:w="2268"/>
            <w:vAlign w:val="center"/>
          </w:tcPr>
          <w:p>
            <w:r>
              <w:t>Mínimo privilegio</w:t>
            </w:r>
          </w:p>
        </w:tc>
        <w:tc>
          <w:tcPr>
            <w:tcW w:type="dxa" w:w="6803"/>
            <w:vAlign w:val="center"/>
          </w:tcPr>
          <w:p>
            <w:r>
              <w:t>Costes, márgenes, proveedores y know-how solo se muestran a perfiles autorizados.</w:t>
            </w:r>
          </w:p>
        </w:tc>
      </w:tr>
      <w:tr>
        <w:tc>
          <w:tcPr>
            <w:tcW w:type="dxa" w:w="2268"/>
            <w:vAlign w:val="center"/>
            <w:shd w:fill="F7F7F7"/>
          </w:tcPr>
          <w:p>
            <w:r>
              <w:t>Conservación histórica</w:t>
            </w:r>
          </w:p>
        </w:tc>
        <w:tc>
          <w:tcPr>
            <w:tcW w:type="dxa" w:w="6803"/>
            <w:vAlign w:val="center"/>
            <w:shd w:fill="F7F7F7"/>
          </w:tcPr>
          <w:p>
            <w:r>
              <w:t>Ningún documento liberado se sobrescribe; se sustituye mediante nueva revisión.</w:t>
            </w:r>
          </w:p>
        </w:tc>
      </w:tr>
      <w:tr>
        <w:tc>
          <w:tcPr>
            <w:tcW w:type="dxa" w:w="2268"/>
            <w:vAlign w:val="center"/>
          </w:tcPr>
          <w:p>
            <w:r>
              <w:t>Explicabilidad</w:t>
            </w:r>
          </w:p>
        </w:tc>
        <w:tc>
          <w:tcPr>
            <w:tcW w:type="dxa" w:w="6803"/>
            <w:vAlign w:val="center"/>
          </w:tcPr>
          <w:p>
            <w:r>
              <w:t>Todo fallo de gate indicará causa, evidencia y acción correctiva.</w:t>
            </w:r>
          </w:p>
        </w:tc>
      </w:tr>
      <w:tr>
        <w:tc>
          <w:tcPr>
            <w:tcW w:type="dxa" w:w="2268"/>
            <w:vAlign w:val="center"/>
            <w:shd w:fill="F7F7F7"/>
          </w:tcPr>
          <w:p>
            <w:r>
              <w:t>Uso proporcional</w:t>
            </w:r>
          </w:p>
        </w:tc>
        <w:tc>
          <w:tcPr>
            <w:tcW w:type="dxa" w:w="6803"/>
            <w:vAlign w:val="center"/>
            <w:shd w:fill="F7F7F7"/>
          </w:tcPr>
          <w:p>
            <w:r>
              <w:t>El nivel documental se adapta al uso comercial, técnico, producción o regulatorio.</w:t>
            </w:r>
          </w:p>
        </w:tc>
      </w:tr>
    </w:tbl>
    <w:p>
      <w:pPr>
        <w:spacing w:after="0"/>
      </w:pPr>
    </w:p>
    <w:p>
      <w:pPr>
        <w:pStyle w:val="Heading1"/>
        <w:keepNext/>
      </w:pPr>
      <w:r>
        <w:t>3. Alcance y exclusiones</w:t>
      </w:r>
    </w:p>
    <w:p>
      <w:pPr>
        <w:pStyle w:val="Heading2"/>
        <w:keepNext/>
      </w:pPr>
      <w:r>
        <w:t>3.1 Incluido</w:t>
      </w:r>
    </w:p>
    <w:p>
      <w:pPr>
        <w:pStyle w:val="ListBullet"/>
        <w:spacing w:after="40"/>
      </w:pPr>
      <w:r>
        <w:t>Configuración de paquetes documentales por mercado, cliente, idioma, material y madurez.</w:t>
      </w:r>
    </w:p>
    <w:p>
      <w:pPr>
        <w:pStyle w:val="ListBullet"/>
        <w:spacing w:after="40"/>
      </w:pPr>
      <w:r>
        <w:t>Generación DOCX/PDF/A, anexos CSV/XLSX, imágenes, STEP/DXF/GLB y ficheros auxiliares.</w:t>
      </w:r>
    </w:p>
    <w:p>
      <w:pPr>
        <w:pStyle w:val="ListBullet"/>
        <w:spacing w:after="40"/>
      </w:pPr>
      <w:r>
        <w:t>Composición de informes a partir de bloques estructurados y plantillas versionadas.</w:t>
      </w:r>
    </w:p>
    <w:p>
      <w:pPr>
        <w:pStyle w:val="ListBullet"/>
        <w:spacing w:after="40"/>
      </w:pPr>
      <w:r>
        <w:t>Validaciones de coherencia técnica, documental, gráfica, lingüística y de permisos.</w:t>
      </w:r>
    </w:p>
    <w:p>
      <w:pPr>
        <w:pStyle w:val="ListBullet"/>
        <w:spacing w:after="40"/>
      </w:pPr>
      <w:r>
        <w:t>Workflow de revisión, comentarios, rechazo, corrección, aprobación y liberación.</w:t>
      </w:r>
    </w:p>
    <w:p>
      <w:pPr>
        <w:pStyle w:val="ListBullet"/>
        <w:spacing w:after="40"/>
      </w:pPr>
      <w:r>
        <w:t>Firma electrónica futura, sellado de tiempo, hashes y código verificable.</w:t>
      </w:r>
    </w:p>
    <w:p>
      <w:pPr>
        <w:pStyle w:val="ListBullet"/>
        <w:spacing w:after="40"/>
      </w:pPr>
      <w:r>
        <w:t>Archivo, búsqueda, distribución y revocación controlada.</w:t>
      </w:r>
    </w:p>
    <w:p>
      <w:pPr>
        <w:pStyle w:val="ListBullet"/>
        <w:spacing w:after="40"/>
      </w:pPr>
      <w:r>
        <w:t>Comparación entre revisiones y generación automática de change log.</w:t>
      </w:r>
    </w:p>
    <w:p>
      <w:pPr>
        <w:pStyle w:val="Heading2"/>
        <w:keepNext/>
      </w:pPr>
      <w:r>
        <w:t>3.2 No incluido</w:t>
      </w:r>
    </w:p>
    <w:p>
      <w:pPr>
        <w:pStyle w:val="ListBullet"/>
        <w:spacing w:after="40"/>
      </w:pPr>
      <w:r>
        <w:t>Recálculo estructural o sustitución de las Fases 3–11.</w:t>
      </w:r>
    </w:p>
    <w:p>
      <w:pPr>
        <w:pStyle w:val="ListBullet"/>
        <w:spacing w:after="40"/>
      </w:pPr>
      <w:r>
        <w:t>Decisión automática final de conformidad regulatoria sin validación de responsable competente.</w:t>
      </w:r>
    </w:p>
    <w:p>
      <w:pPr>
        <w:pStyle w:val="ListBullet"/>
        <w:spacing w:after="40"/>
      </w:pPr>
      <w:r>
        <w:t>Firma profesional colegiada automática.</w:t>
      </w:r>
    </w:p>
    <w:p>
      <w:pPr>
        <w:pStyle w:val="ListBullet"/>
        <w:spacing w:after="40"/>
      </w:pPr>
      <w:r>
        <w:t>Interpretación jurídica libre de contratos o reglamentos.</w:t>
      </w:r>
    </w:p>
    <w:p>
      <w:pPr>
        <w:pStyle w:val="ListBullet"/>
        <w:spacing w:after="40"/>
      </w:pPr>
      <w:r>
        <w:t>Edición manual de números técnicos en documentos liberados.</w:t>
      </w:r>
    </w:p>
    <w:p>
      <w:pPr>
        <w:pStyle w:val="ListBullet"/>
        <w:spacing w:after="40"/>
      </w:pPr>
      <w:r>
        <w:t>Publicación externa sin autorización y sin política de distribución.</w:t>
      </w:r>
    </w:p>
    <w:p>
      <w:pPr>
        <w:pStyle w:val="Heading1"/>
        <w:keepNext/>
      </w:pPr>
      <w:r>
        <w:t>4. Usuarios, roles y segregación</w:t>
      </w:r>
    </w:p>
    <w:tbl>
      <w:tblPr>
        <w:tblStyle w:val="TableGrid"/>
        <w:tblW w:type="auto" w:w="0"/>
        <w:jc w:val="center"/>
        <w:tblLook w:firstColumn="1" w:firstRow="1" w:lastColumn="0" w:lastRow="0" w:noHBand="0" w:noVBand="1" w:val="04A0"/>
      </w:tblPr>
      <w:tblGrid>
        <w:gridCol w:w="3389"/>
        <w:gridCol w:w="3389"/>
        <w:gridCol w:w="3389"/>
      </w:tblGrid>
      <w:tr>
        <w:tc>
          <w:tcPr>
            <w:tcW w:type="dxa" w:w="1814"/>
            <w:vAlign w:val="center"/>
            <w:shd w:fill="111111"/>
          </w:tcPr>
          <w:p>
            <w:r>
              <w:t>Rol</w:t>
            </w:r>
          </w:p>
        </w:tc>
        <w:tc>
          <w:tcPr>
            <w:tcW w:type="dxa" w:w="3628"/>
            <w:vAlign w:val="center"/>
            <w:shd w:fill="111111"/>
          </w:tcPr>
          <w:p>
            <w:r>
              <w:t>Responsabilidades principales</w:t>
            </w:r>
          </w:p>
        </w:tc>
        <w:tc>
          <w:tcPr>
            <w:tcW w:type="dxa" w:w="3628"/>
            <w:vAlign w:val="center"/>
            <w:shd w:fill="111111"/>
          </w:tcPr>
          <w:p>
            <w:r>
              <w:t>Restricciones</w:t>
            </w:r>
          </w:p>
        </w:tc>
      </w:tr>
      <w:tr>
        <w:tc>
          <w:tcPr>
            <w:tcW w:type="dxa" w:w="1814"/>
            <w:vAlign w:val="center"/>
          </w:tcPr>
          <w:p>
            <w:r>
              <w:t>Técnico comercial</w:t>
            </w:r>
          </w:p>
        </w:tc>
        <w:tc>
          <w:tcPr>
            <w:tcW w:type="dxa" w:w="3628"/>
            <w:vAlign w:val="center"/>
          </w:tcPr>
          <w:p>
            <w:r>
              <w:t>Solicitar informe resumido, revisar configuración y compartir versión autorizada.</w:t>
            </w:r>
          </w:p>
        </w:tc>
        <w:tc>
          <w:tcPr>
            <w:tcW w:type="dxa" w:w="3628"/>
            <w:vAlign w:val="center"/>
          </w:tcPr>
          <w:p>
            <w:r>
              <w:t>No aprueba cálculo ni accede a coste interno salvo permiso.</w:t>
            </w:r>
          </w:p>
        </w:tc>
      </w:tr>
      <w:tr>
        <w:tc>
          <w:tcPr>
            <w:tcW w:type="dxa" w:w="1814"/>
            <w:vAlign w:val="center"/>
            <w:shd w:fill="F7F7F7"/>
          </w:tcPr>
          <w:p>
            <w:r>
              <w:t>Ingeniero de producto</w:t>
            </w:r>
          </w:p>
        </w:tc>
        <w:tc>
          <w:tcPr>
            <w:tcW w:type="dxa" w:w="3628"/>
            <w:vAlign w:val="center"/>
            <w:shd w:fill="F7F7F7"/>
          </w:tcPr>
          <w:p>
            <w:r>
              <w:t>Revisar entradas, resultados, inconsistencias y documentación técnica.</w:t>
            </w:r>
          </w:p>
        </w:tc>
        <w:tc>
          <w:tcPr>
            <w:tcW w:type="dxa" w:w="3628"/>
            <w:vAlign w:val="center"/>
            <w:shd w:fill="F7F7F7"/>
          </w:tcPr>
          <w:p>
            <w:r>
              <w:t>No libera solo cuando el workflow exige segunda aprobación.</w:t>
            </w:r>
          </w:p>
        </w:tc>
      </w:tr>
      <w:tr>
        <w:tc>
          <w:tcPr>
            <w:tcW w:type="dxa" w:w="1814"/>
            <w:vAlign w:val="center"/>
          </w:tcPr>
          <w:p>
            <w:r>
              <w:t>Oficina Técnica</w:t>
            </w:r>
          </w:p>
        </w:tc>
        <w:tc>
          <w:tcPr>
            <w:tcW w:type="dxa" w:w="3628"/>
            <w:vAlign w:val="center"/>
          </w:tcPr>
          <w:p>
            <w:r>
              <w:t>Validar cálculo, hipótesis, dominio normativo y memoria.</w:t>
            </w:r>
          </w:p>
        </w:tc>
        <w:tc>
          <w:tcPr>
            <w:tcW w:type="dxa" w:w="3628"/>
            <w:vAlign w:val="center"/>
          </w:tcPr>
          <w:p>
            <w:r>
              <w:t>Debe resolver bloqueos técnicos antes de M3/M4.</w:t>
            </w:r>
          </w:p>
        </w:tc>
      </w:tr>
      <w:tr>
        <w:tc>
          <w:tcPr>
            <w:tcW w:type="dxa" w:w="1814"/>
            <w:vAlign w:val="center"/>
            <w:shd w:fill="F7F7F7"/>
          </w:tcPr>
          <w:p>
            <w:r>
              <w:t>Producción</w:t>
            </w:r>
          </w:p>
        </w:tc>
        <w:tc>
          <w:tcPr>
            <w:tcW w:type="dxa" w:w="3628"/>
            <w:vAlign w:val="center"/>
            <w:shd w:fill="F7F7F7"/>
          </w:tcPr>
          <w:p>
            <w:r>
              <w:t>Revisar fabricabilidad, planos, BOM e instrucciones.</w:t>
            </w:r>
          </w:p>
        </w:tc>
        <w:tc>
          <w:tcPr>
            <w:tcW w:type="dxa" w:w="3628"/>
            <w:vAlign w:val="center"/>
            <w:shd w:fill="F7F7F7"/>
          </w:tcPr>
          <w:p>
            <w:r>
              <w:t>No modifica diseño estructural en expediente.</w:t>
            </w:r>
          </w:p>
        </w:tc>
      </w:tr>
      <w:tr>
        <w:tc>
          <w:tcPr>
            <w:tcW w:type="dxa" w:w="1814"/>
            <w:vAlign w:val="center"/>
          </w:tcPr>
          <w:p>
            <w:r>
              <w:t>Calidad</w:t>
            </w:r>
          </w:p>
        </w:tc>
        <w:tc>
          <w:tcPr>
            <w:tcW w:type="dxa" w:w="3628"/>
            <w:vAlign w:val="center"/>
          </w:tcPr>
          <w:p>
            <w:r>
              <w:t>Revisar CTQ, inspecciones, certificados y evidencias.</w:t>
            </w:r>
          </w:p>
        </w:tc>
        <w:tc>
          <w:tcPr>
            <w:tcW w:type="dxa" w:w="3628"/>
            <w:vAlign w:val="center"/>
          </w:tcPr>
          <w:p>
            <w:r>
              <w:t>Puede bloquear liberación industrial.</w:t>
            </w:r>
          </w:p>
        </w:tc>
      </w:tr>
      <w:tr>
        <w:tc>
          <w:tcPr>
            <w:tcW w:type="dxa" w:w="1814"/>
            <w:vAlign w:val="center"/>
            <w:shd w:fill="F7F7F7"/>
          </w:tcPr>
          <w:p>
            <w:r>
              <w:t>Administrador documental</w:t>
            </w:r>
          </w:p>
        </w:tc>
        <w:tc>
          <w:tcPr>
            <w:tcW w:type="dxa" w:w="3628"/>
            <w:vAlign w:val="center"/>
            <w:shd w:fill="F7F7F7"/>
          </w:tcPr>
          <w:p>
            <w:r>
              <w:t>Gestionar plantillas, glosarios, permisos y archivo.</w:t>
            </w:r>
          </w:p>
        </w:tc>
        <w:tc>
          <w:tcPr>
            <w:tcW w:type="dxa" w:w="3628"/>
            <w:vAlign w:val="center"/>
            <w:shd w:fill="F7F7F7"/>
          </w:tcPr>
          <w:p>
            <w:r>
              <w:t>No altera datos técnicos calculados.</w:t>
            </w:r>
          </w:p>
        </w:tc>
      </w:tr>
      <w:tr>
        <w:tc>
          <w:tcPr>
            <w:tcW w:type="dxa" w:w="1814"/>
            <w:vAlign w:val="center"/>
          </w:tcPr>
          <w:p>
            <w:r>
              <w:t>Dirección Técnica</w:t>
            </w:r>
          </w:p>
        </w:tc>
        <w:tc>
          <w:tcPr>
            <w:tcW w:type="dxa" w:w="3628"/>
            <w:vAlign w:val="center"/>
          </w:tcPr>
          <w:p>
            <w:r>
              <w:t>Aprobar excepciones, métodos especiales y liberaciones críticas.</w:t>
            </w:r>
          </w:p>
        </w:tc>
        <w:tc>
          <w:tcPr>
            <w:tcW w:type="dxa" w:w="3628"/>
            <w:vAlign w:val="center"/>
          </w:tcPr>
          <w:p>
            <w:r>
              <w:t>Toda excepción queda auditada.</w:t>
            </w:r>
          </w:p>
        </w:tc>
      </w:tr>
      <w:tr>
        <w:tc>
          <w:tcPr>
            <w:tcW w:type="dxa" w:w="1814"/>
            <w:vAlign w:val="center"/>
            <w:shd w:fill="F7F7F7"/>
          </w:tcPr>
          <w:p>
            <w:r>
              <w:t>Auditor/lector</w:t>
            </w:r>
          </w:p>
        </w:tc>
        <w:tc>
          <w:tcPr>
            <w:tcW w:type="dxa" w:w="3628"/>
            <w:vAlign w:val="center"/>
            <w:shd w:fill="F7F7F7"/>
          </w:tcPr>
          <w:p>
            <w:r>
              <w:t>Consultar expediente y trazabilidad.</w:t>
            </w:r>
          </w:p>
        </w:tc>
        <w:tc>
          <w:tcPr>
            <w:tcW w:type="dxa" w:w="3628"/>
            <w:vAlign w:val="center"/>
            <w:shd w:fill="F7F7F7"/>
          </w:tcPr>
          <w:p>
            <w:r>
              <w:t>Acceso de solo lectura y limitado por clasificación.</w:t>
            </w:r>
          </w:p>
        </w:tc>
      </w:tr>
    </w:tbl>
    <w:p>
      <w:pPr>
        <w:spacing w:after="0"/>
      </w:pPr>
    </w:p>
    <w:p>
      <w:pPr>
        <w:pStyle w:val="Heading2"/>
        <w:keepNext/>
      </w:pPr>
      <w:r>
        <w:t>4.1 Matriz de cuatro ojos</w:t>
      </w:r>
    </w:p>
    <w:p>
      <w:pPr>
        <w:spacing w:after="100" w:line="252" w:lineRule="auto"/>
      </w:pPr>
      <w:r>
        <w:t>Los entregables M3 y M4 requerirán al menos dos funciones distintas cuando el cálculo sea especial, exceda 20 m, incluya catenarias, utilice un método no estándar, contenga una excepción normativa o derive en fabricación. El sistema impedirá que la misma persona sea autor y único aprobador.</w:t>
      </w:r>
    </w:p>
    <w:p>
      <w:pPr>
        <w:pStyle w:val="Heading1"/>
        <w:keepNext/>
      </w:pPr>
      <w:r>
        <w:t>5. Estados de madurez M0–M4</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01"/>
            <w:vAlign w:val="center"/>
            <w:shd w:fill="111111"/>
          </w:tcPr>
          <w:p>
            <w:r>
              <w:t>Estado</w:t>
            </w:r>
          </w:p>
        </w:tc>
        <w:tc>
          <w:tcPr>
            <w:tcW w:type="dxa" w:w="2268"/>
            <w:vAlign w:val="center"/>
            <w:shd w:fill="111111"/>
          </w:tcPr>
          <w:p>
            <w:r>
              <w:t>Significado</w:t>
            </w:r>
          </w:p>
        </w:tc>
        <w:tc>
          <w:tcPr>
            <w:tcW w:type="dxa" w:w="2835"/>
            <w:vAlign w:val="center"/>
            <w:shd w:fill="111111"/>
          </w:tcPr>
          <w:p>
            <w:r>
              <w:t>Uso permitido</w:t>
            </w:r>
          </w:p>
        </w:tc>
        <w:tc>
          <w:tcPr>
            <w:tcW w:type="dxa" w:w="2268"/>
            <w:vAlign w:val="center"/>
            <w:shd w:fill="111111"/>
          </w:tcPr>
          <w:p>
            <w:r>
              <w:t>Aprobación mínima</w:t>
            </w:r>
          </w:p>
        </w:tc>
      </w:tr>
      <w:tr>
        <w:tc>
          <w:tcPr>
            <w:tcW w:type="dxa" w:w="1701"/>
            <w:vAlign w:val="center"/>
          </w:tcPr>
          <w:p>
            <w:r>
              <w:t>M0 · Borrador</w:t>
            </w:r>
          </w:p>
        </w:tc>
        <w:tc>
          <w:tcPr>
            <w:tcW w:type="dxa" w:w="2268"/>
            <w:vAlign w:val="center"/>
          </w:tcPr>
          <w:p>
            <w:r>
              <w:t>Datos incompletos o no confirmados.</w:t>
            </w:r>
          </w:p>
        </w:tc>
        <w:tc>
          <w:tcPr>
            <w:tcW w:type="dxa" w:w="2835"/>
            <w:vAlign w:val="center"/>
          </w:tcPr>
          <w:p>
            <w:r>
              <w:t>Trabajo interno; no compartir.</w:t>
            </w:r>
          </w:p>
        </w:tc>
        <w:tc>
          <w:tcPr>
            <w:tcW w:type="dxa" w:w="2268"/>
            <w:vAlign w:val="center"/>
          </w:tcPr>
          <w:p>
            <w:r>
              <w:t>Ninguna.</w:t>
            </w:r>
          </w:p>
        </w:tc>
      </w:tr>
      <w:tr>
        <w:tc>
          <w:tcPr>
            <w:tcW w:type="dxa" w:w="1701"/>
            <w:vAlign w:val="center"/>
            <w:shd w:fill="F7F7F7"/>
          </w:tcPr>
          <w:p>
            <w:r>
              <w:t>M1 · Predimensionamiento</w:t>
            </w:r>
          </w:p>
        </w:tc>
        <w:tc>
          <w:tcPr>
            <w:tcW w:type="dxa" w:w="2268"/>
            <w:vAlign w:val="center"/>
            <w:shd w:fill="F7F7F7"/>
          </w:tcPr>
          <w:p>
            <w:r>
              <w:t>Solución preliminar con hipótesis conservadoras.</w:t>
            </w:r>
          </w:p>
        </w:tc>
        <w:tc>
          <w:tcPr>
            <w:tcW w:type="dxa" w:w="2835"/>
            <w:vAlign w:val="center"/>
            <w:shd w:fill="F7F7F7"/>
          </w:tcPr>
          <w:p>
            <w:r>
              <w:t>Oferta y estudio interno con advertencia.</w:t>
            </w:r>
          </w:p>
        </w:tc>
        <w:tc>
          <w:tcPr>
            <w:tcW w:type="dxa" w:w="2268"/>
            <w:vAlign w:val="center"/>
            <w:shd w:fill="F7F7F7"/>
          </w:tcPr>
          <w:p>
            <w:r>
              <w:t>Técnico responsable.</w:t>
            </w:r>
          </w:p>
        </w:tc>
      </w:tr>
      <w:tr>
        <w:tc>
          <w:tcPr>
            <w:tcW w:type="dxa" w:w="1701"/>
            <w:vAlign w:val="center"/>
          </w:tcPr>
          <w:p>
            <w:r>
              <w:t>M2 · Cálculo interno</w:t>
            </w:r>
          </w:p>
        </w:tc>
        <w:tc>
          <w:tcPr>
            <w:tcW w:type="dxa" w:w="2268"/>
            <w:vAlign w:val="center"/>
          </w:tcPr>
          <w:p>
            <w:r>
              <w:t>Cálculo completo ejecutado y coherencia automática superada.</w:t>
            </w:r>
          </w:p>
        </w:tc>
        <w:tc>
          <w:tcPr>
            <w:tcW w:type="dxa" w:w="2835"/>
            <w:vAlign w:val="center"/>
          </w:tcPr>
          <w:p>
            <w:r>
              <w:t>Revisión interna; no apto para fabricación.</w:t>
            </w:r>
          </w:p>
        </w:tc>
        <w:tc>
          <w:tcPr>
            <w:tcW w:type="dxa" w:w="2268"/>
            <w:vAlign w:val="center"/>
          </w:tcPr>
          <w:p>
            <w:r>
              <w:t>Ingeniero de producto.</w:t>
            </w:r>
          </w:p>
        </w:tc>
      </w:tr>
      <w:tr>
        <w:tc>
          <w:tcPr>
            <w:tcW w:type="dxa" w:w="1701"/>
            <w:vAlign w:val="center"/>
            <w:shd w:fill="F7F7F7"/>
          </w:tcPr>
          <w:p>
            <w:r>
              <w:t>M3 · Validado OT</w:t>
            </w:r>
          </w:p>
        </w:tc>
        <w:tc>
          <w:tcPr>
            <w:tcW w:type="dxa" w:w="2268"/>
            <w:vAlign w:val="center"/>
            <w:shd w:fill="F7F7F7"/>
          </w:tcPr>
          <w:p>
            <w:r>
              <w:t>Cálculo y documentación revisados por Oficina Técnica.</w:t>
            </w:r>
          </w:p>
        </w:tc>
        <w:tc>
          <w:tcPr>
            <w:tcW w:type="dxa" w:w="2835"/>
            <w:vAlign w:val="center"/>
            <w:shd w:fill="F7F7F7"/>
          </w:tcPr>
          <w:p>
            <w:r>
              <w:t>Entrega técnica a cliente, licitación o ingeniería externa.</w:t>
            </w:r>
          </w:p>
        </w:tc>
        <w:tc>
          <w:tcPr>
            <w:tcW w:type="dxa" w:w="2268"/>
            <w:vAlign w:val="center"/>
            <w:shd w:fill="F7F7F7"/>
          </w:tcPr>
          <w:p>
            <w:r>
              <w:t>Oficina Técnica.</w:t>
            </w:r>
          </w:p>
        </w:tc>
      </w:tr>
      <w:tr>
        <w:tc>
          <w:tcPr>
            <w:tcW w:type="dxa" w:w="1701"/>
            <w:vAlign w:val="center"/>
          </w:tcPr>
          <w:p>
            <w:r>
              <w:t>M4 · Liberado</w:t>
            </w:r>
          </w:p>
        </w:tc>
        <w:tc>
          <w:tcPr>
            <w:tcW w:type="dxa" w:w="2268"/>
            <w:vAlign w:val="center"/>
          </w:tcPr>
          <w:p>
            <w:r>
              <w:t>Producto, planos y paquete industrial aprobados.</w:t>
            </w:r>
          </w:p>
        </w:tc>
        <w:tc>
          <w:tcPr>
            <w:tcW w:type="dxa" w:w="2835"/>
            <w:vAlign w:val="center"/>
          </w:tcPr>
          <w:p>
            <w:r>
              <w:t>Fabricación, compra, subcontratación y montaje.</w:t>
            </w:r>
          </w:p>
        </w:tc>
        <w:tc>
          <w:tcPr>
            <w:tcW w:type="dxa" w:w="2268"/>
            <w:vAlign w:val="center"/>
          </w:tcPr>
          <w:p>
            <w:r>
              <w:t>OT + Producción/Calidad según alcance.</w:t>
            </w:r>
          </w:p>
        </w:tc>
      </w:tr>
    </w:tbl>
    <w:p>
      <w:pPr>
        <w:spacing w:after="0"/>
      </w:pPr>
    </w:p>
    <w:p>
      <w:pPr>
        <w:pStyle w:val="Heading2"/>
        <w:keepNext/>
      </w:pPr>
      <w:r>
        <w:t>5.1 Transiciones permitidas</w:t>
      </w:r>
    </w:p>
    <w:tbl>
      <w:tblPr>
        <w:tblStyle w:val="TableGrid"/>
        <w:tblW w:type="auto" w:w="0"/>
        <w:jc w:val="center"/>
        <w:tblLook w:firstColumn="1" w:firstRow="1" w:lastColumn="0" w:lastRow="0" w:noHBand="0" w:noVBand="1" w:val="04A0"/>
      </w:tblPr>
      <w:tblGrid>
        <w:gridCol w:w="3389"/>
        <w:gridCol w:w="3389"/>
        <w:gridCol w:w="3389"/>
      </w:tblGrid>
      <w:tr>
        <w:tc>
          <w:tcPr>
            <w:tcW w:type="dxa" w:w="1701"/>
            <w:vAlign w:val="center"/>
            <w:shd w:fill="111111"/>
          </w:tcPr>
          <w:p>
            <w:r>
              <w:t>Origen</w:t>
            </w:r>
          </w:p>
        </w:tc>
        <w:tc>
          <w:tcPr>
            <w:tcW w:type="dxa" w:w="1701"/>
            <w:vAlign w:val="center"/>
            <w:shd w:fill="111111"/>
          </w:tcPr>
          <w:p>
            <w:r>
              <w:t>Destino</w:t>
            </w:r>
          </w:p>
        </w:tc>
        <w:tc>
          <w:tcPr>
            <w:tcW w:type="dxa" w:w="5669"/>
            <w:vAlign w:val="center"/>
            <w:shd w:fill="111111"/>
          </w:tcPr>
          <w:p>
            <w:r>
              <w:t>Condición</w:t>
            </w:r>
          </w:p>
        </w:tc>
      </w:tr>
      <w:tr>
        <w:tc>
          <w:tcPr>
            <w:tcW w:type="dxa" w:w="1701"/>
            <w:vAlign w:val="center"/>
          </w:tcPr>
          <w:p>
            <w:r>
              <w:t>M0</w:t>
            </w:r>
          </w:p>
        </w:tc>
        <w:tc>
          <w:tcPr>
            <w:tcW w:type="dxa" w:w="1701"/>
            <w:vAlign w:val="center"/>
          </w:tcPr>
          <w:p>
            <w:r>
              <w:t>M1</w:t>
            </w:r>
          </w:p>
        </w:tc>
        <w:tc>
          <w:tcPr>
            <w:tcW w:type="dxa" w:w="5669"/>
            <w:vAlign w:val="center"/>
          </w:tcPr>
          <w:p>
            <w:r>
              <w:t>Datos mínimos, hipótesis visibles y resultado preliminar válido.</w:t>
            </w:r>
          </w:p>
        </w:tc>
      </w:tr>
      <w:tr>
        <w:tc>
          <w:tcPr>
            <w:tcW w:type="dxa" w:w="1701"/>
            <w:vAlign w:val="center"/>
            <w:shd w:fill="F7F7F7"/>
          </w:tcPr>
          <w:p>
            <w:r>
              <w:t>M1</w:t>
            </w:r>
          </w:p>
        </w:tc>
        <w:tc>
          <w:tcPr>
            <w:tcW w:type="dxa" w:w="1701"/>
            <w:vAlign w:val="center"/>
            <w:shd w:fill="F7F7F7"/>
          </w:tcPr>
          <w:p>
            <w:r>
              <w:t>M2</w:t>
            </w:r>
          </w:p>
        </w:tc>
        <w:tc>
          <w:tcPr>
            <w:tcW w:type="dxa" w:w="5669"/>
            <w:vAlign w:val="center"/>
            <w:shd w:fill="F7F7F7"/>
          </w:tcPr>
          <w:p>
            <w:r>
              <w:t>Entradas confirmadas, cálculo completo y sin bloqueos.</w:t>
            </w:r>
          </w:p>
        </w:tc>
      </w:tr>
      <w:tr>
        <w:tc>
          <w:tcPr>
            <w:tcW w:type="dxa" w:w="1701"/>
            <w:vAlign w:val="center"/>
          </w:tcPr>
          <w:p>
            <w:r>
              <w:t>M2</w:t>
            </w:r>
          </w:p>
        </w:tc>
        <w:tc>
          <w:tcPr>
            <w:tcW w:type="dxa" w:w="1701"/>
            <w:vAlign w:val="center"/>
          </w:tcPr>
          <w:p>
            <w:r>
              <w:t>M3</w:t>
            </w:r>
          </w:p>
        </w:tc>
        <w:tc>
          <w:tcPr>
            <w:tcW w:type="dxa" w:w="5669"/>
            <w:vAlign w:val="center"/>
          </w:tcPr>
          <w:p>
            <w:r>
              <w:t>Revisión OT aprobada y observaciones cerradas.</w:t>
            </w:r>
          </w:p>
        </w:tc>
      </w:tr>
      <w:tr>
        <w:tc>
          <w:tcPr>
            <w:tcW w:type="dxa" w:w="1701"/>
            <w:vAlign w:val="center"/>
            <w:shd w:fill="F7F7F7"/>
          </w:tcPr>
          <w:p>
            <w:r>
              <w:t>M3</w:t>
            </w:r>
          </w:p>
        </w:tc>
        <w:tc>
          <w:tcPr>
            <w:tcW w:type="dxa" w:w="1701"/>
            <w:vAlign w:val="center"/>
            <w:shd w:fill="F7F7F7"/>
          </w:tcPr>
          <w:p>
            <w:r>
              <w:t>M4</w:t>
            </w:r>
          </w:p>
        </w:tc>
        <w:tc>
          <w:tcPr>
            <w:tcW w:type="dxa" w:w="5669"/>
            <w:vAlign w:val="center"/>
            <w:shd w:fill="F7F7F7"/>
          </w:tcPr>
          <w:p>
            <w:r>
              <w:t>CAD/BOM/producción y calidad superan gates.</w:t>
            </w:r>
          </w:p>
        </w:tc>
      </w:tr>
      <w:tr>
        <w:tc>
          <w:tcPr>
            <w:tcW w:type="dxa" w:w="1701"/>
            <w:vAlign w:val="center"/>
          </w:tcPr>
          <w:p>
            <w:r>
              <w:t>Cualquiera</w:t>
            </w:r>
          </w:p>
        </w:tc>
        <w:tc>
          <w:tcPr>
            <w:tcW w:type="dxa" w:w="1701"/>
            <w:vAlign w:val="center"/>
          </w:tcPr>
          <w:p>
            <w:r>
              <w:t>Obsoleto</w:t>
            </w:r>
          </w:p>
        </w:tc>
        <w:tc>
          <w:tcPr>
            <w:tcW w:type="dxa" w:w="5669"/>
            <w:vAlign w:val="center"/>
          </w:tcPr>
          <w:p>
            <w:r>
              <w:t>Cambio crítico o biblioteca invalidada.</w:t>
            </w:r>
          </w:p>
        </w:tc>
      </w:tr>
      <w:tr>
        <w:tc>
          <w:tcPr>
            <w:tcW w:type="dxa" w:w="1701"/>
            <w:vAlign w:val="center"/>
            <w:shd w:fill="F7F7F7"/>
          </w:tcPr>
          <w:p>
            <w:r>
              <w:t>M3/M4</w:t>
            </w:r>
          </w:p>
        </w:tc>
        <w:tc>
          <w:tcPr>
            <w:tcW w:type="dxa" w:w="1701"/>
            <w:vAlign w:val="center"/>
            <w:shd w:fill="F7F7F7"/>
          </w:tcPr>
          <w:p>
            <w:r>
              <w:t>Revisión nueva</w:t>
            </w:r>
          </w:p>
        </w:tc>
        <w:tc>
          <w:tcPr>
            <w:tcW w:type="dxa" w:w="5669"/>
            <w:vAlign w:val="center"/>
            <w:shd w:fill="F7F7F7"/>
          </w:tcPr>
          <w:p>
            <w:r>
              <w:t>Cambio controlado; nunca se sobrescribe la revisión previa.</w:t>
            </w:r>
          </w:p>
        </w:tc>
      </w:tr>
    </w:tbl>
    <w:p>
      <w:pPr>
        <w:spacing w:after="0"/>
      </w:pPr>
    </w:p>
    <w:p>
      <w:pPr>
        <w:pStyle w:val="Heading2"/>
        <w:keepNext/>
      </w:pPr>
      <w:r>
        <w:t>5.2 Reglas de retroceso</w:t>
      </w:r>
    </w:p>
    <w:p>
      <w:pPr>
        <w:spacing w:after="100" w:line="252" w:lineRule="auto"/>
      </w:pPr>
      <w:r>
        <w:t>Un cambio en geometría, cargas, material, norma, combinación, refuerzo, unión, base o cimentación devolverá como mínimo el expediente a M2 pendiente. Un cambio puramente lingüístico podrá mantener la madurez si el contenido técnico y el hash semántico permanecen idénticos.</w:t>
      </w:r>
    </w:p>
    <w:p>
      <w:pPr>
        <w:pStyle w:val="Heading1"/>
        <w:keepNext/>
      </w:pPr>
      <w:r>
        <w:t>6. Arquitectura del expediente</w:t>
      </w:r>
    </w:p>
    <w:p>
      <w:pPr>
        <w:spacing w:after="100" w:line="252" w:lineRule="auto"/>
      </w:pPr>
      <w:r>
        <w:t>El expediente se estructurará como un manifiesto firmado que referencia artefactos, snapshots, aprobaciones y evidencias. El manifiesto será la puerta de entrada para cualquier auditoría o reproducción.</w:t>
      </w:r>
    </w:p>
    <w:tbl>
      <w:tblPr>
        <w:tblStyle w:val="TableGrid"/>
        <w:tblW w:type="auto" w:w="0"/>
        <w:jc w:val="center"/>
        <w:tblLook w:firstColumn="1" w:firstRow="1" w:lastColumn="0" w:lastRow="0" w:noHBand="0" w:noVBand="1" w:val="04A0"/>
      </w:tblPr>
      <w:tblGrid>
        <w:gridCol w:w="5083"/>
        <w:gridCol w:w="5083"/>
      </w:tblGrid>
      <w:tr>
        <w:tc>
          <w:tcPr>
            <w:tcW w:type="dxa" w:w="2268"/>
            <w:vAlign w:val="center"/>
            <w:shd w:fill="111111"/>
          </w:tcPr>
          <w:p>
            <w:r>
              <w:t>Objeto</w:t>
            </w:r>
          </w:p>
        </w:tc>
        <w:tc>
          <w:tcPr>
            <w:tcW w:type="dxa" w:w="6803"/>
            <w:vAlign w:val="center"/>
            <w:shd w:fill="111111"/>
          </w:tcPr>
          <w:p>
            <w:r>
              <w:t>Contenido mínimo</w:t>
            </w:r>
          </w:p>
        </w:tc>
      </w:tr>
      <w:tr>
        <w:tc>
          <w:tcPr>
            <w:tcW w:type="dxa" w:w="2268"/>
            <w:vAlign w:val="center"/>
          </w:tcPr>
          <w:p>
            <w:r>
              <w:t>ReleaseSnapshot</w:t>
            </w:r>
          </w:p>
        </w:tc>
        <w:tc>
          <w:tcPr>
            <w:tcW w:type="dxa" w:w="6803"/>
            <w:vAlign w:val="center"/>
          </w:tcPr>
          <w:p>
            <w:r>
              <w:t>Identificadores, revisiones, hashes, motores, bibliotecas, normas, idioma, mercado y clasificación.</w:t>
            </w:r>
          </w:p>
        </w:tc>
      </w:tr>
      <w:tr>
        <w:tc>
          <w:tcPr>
            <w:tcW w:type="dxa" w:w="2268"/>
            <w:vAlign w:val="center"/>
            <w:shd w:fill="F7F7F7"/>
          </w:tcPr>
          <w:p>
            <w:r>
              <w:t>DocumentManifest</w:t>
            </w:r>
          </w:p>
        </w:tc>
        <w:tc>
          <w:tcPr>
            <w:tcW w:type="dxa" w:w="6803"/>
            <w:vAlign w:val="center"/>
            <w:shd w:fill="F7F7F7"/>
          </w:tcPr>
          <w:p>
            <w:r>
              <w:t>Lista de documentos, formato, plantilla, hash, estado, destinatario y restricciones.</w:t>
            </w:r>
          </w:p>
        </w:tc>
      </w:tr>
      <w:tr>
        <w:tc>
          <w:tcPr>
            <w:tcW w:type="dxa" w:w="2268"/>
            <w:vAlign w:val="center"/>
          </w:tcPr>
          <w:p>
            <w:r>
              <w:t>EvidenceManifest</w:t>
            </w:r>
          </w:p>
        </w:tc>
        <w:tc>
          <w:tcPr>
            <w:tcW w:type="dxa" w:w="6803"/>
            <w:vAlign w:val="center"/>
          </w:tcPr>
          <w:p>
            <w:r>
              <w:t>Ensayos, certificados, cálculos externos, revisiones y validaciones asociadas.</w:t>
            </w:r>
          </w:p>
        </w:tc>
      </w:tr>
      <w:tr>
        <w:tc>
          <w:tcPr>
            <w:tcW w:type="dxa" w:w="2268"/>
            <w:vAlign w:val="center"/>
            <w:shd w:fill="F7F7F7"/>
          </w:tcPr>
          <w:p>
            <w:r>
              <w:t>ApprovalRecord</w:t>
            </w:r>
          </w:p>
        </w:tc>
        <w:tc>
          <w:tcPr>
            <w:tcW w:type="dxa" w:w="6803"/>
            <w:vAlign w:val="center"/>
            <w:shd w:fill="F7F7F7"/>
          </w:tcPr>
          <w:p>
            <w:r>
              <w:t>Aprobador, rol, decisión, fecha, comentario, alcance y firma.</w:t>
            </w:r>
          </w:p>
        </w:tc>
      </w:tr>
      <w:tr>
        <w:tc>
          <w:tcPr>
            <w:tcW w:type="dxa" w:w="2268"/>
            <w:vAlign w:val="center"/>
          </w:tcPr>
          <w:p>
            <w:r>
              <w:t>DistributionRecord</w:t>
            </w:r>
          </w:p>
        </w:tc>
        <w:tc>
          <w:tcPr>
            <w:tcW w:type="dxa" w:w="6803"/>
            <w:vAlign w:val="center"/>
          </w:tcPr>
          <w:p>
            <w:r>
              <w:t>Destinatario, canal, fecha, versión, caducidad y revocación.</w:t>
            </w:r>
          </w:p>
        </w:tc>
      </w:tr>
      <w:tr>
        <w:tc>
          <w:tcPr>
            <w:tcW w:type="dxa" w:w="2268"/>
            <w:vAlign w:val="center"/>
            <w:shd w:fill="F7F7F7"/>
          </w:tcPr>
          <w:p>
            <w:r>
              <w:t>ChangeSet</w:t>
            </w:r>
          </w:p>
        </w:tc>
        <w:tc>
          <w:tcPr>
            <w:tcW w:type="dxa" w:w="6803"/>
            <w:vAlign w:val="center"/>
            <w:shd w:fill="F7F7F7"/>
          </w:tcPr>
          <w:p>
            <w:r>
              <w:t>Diferencias técnicas, documentales y de madurez respecto a revisión anterior.</w:t>
            </w:r>
          </w:p>
        </w:tc>
      </w:tr>
    </w:tbl>
    <w:p>
      <w:pPr>
        <w:spacing w:after="0"/>
      </w:pPr>
    </w:p>
    <w:p>
      <w:pPr>
        <w:pStyle w:val="Heading2"/>
        <w:keepNext/>
      </w:pPr>
      <w:r>
        <w:t>6.1 Estructura de carpetas lógica</w:t>
      </w:r>
    </w:p>
    <w:p>
      <w:pPr>
        <w:pStyle w:val="ListNumber"/>
        <w:spacing w:after="40"/>
      </w:pPr>
      <w:r>
        <w:t>00_Manifest y resumen de liberación.</w:t>
      </w:r>
    </w:p>
    <w:p>
      <w:pPr>
        <w:pStyle w:val="ListNumber"/>
        <w:spacing w:after="40"/>
      </w:pPr>
      <w:r>
        <w:t>01_Cliente: informe resumido y técnico.</w:t>
      </w:r>
    </w:p>
    <w:p>
      <w:pPr>
        <w:pStyle w:val="ListNumber"/>
        <w:spacing w:after="40"/>
      </w:pPr>
      <w:r>
        <w:t>02_Cálculo: memoria, anexos y resultados.</w:t>
      </w:r>
    </w:p>
    <w:p>
      <w:pPr>
        <w:pStyle w:val="ListNumber"/>
        <w:spacing w:after="40"/>
      </w:pPr>
      <w:r>
        <w:t>03_Producto: CAD, planos y BOM.</w:t>
      </w:r>
    </w:p>
    <w:p>
      <w:pPr>
        <w:pStyle w:val="ListNumber"/>
        <w:spacing w:after="40"/>
      </w:pPr>
      <w:r>
        <w:t>04_Producción: rutas, instrucciones y control.</w:t>
      </w:r>
    </w:p>
    <w:p>
      <w:pPr>
        <w:pStyle w:val="ListNumber"/>
        <w:spacing w:after="40"/>
      </w:pPr>
      <w:r>
        <w:t>05_Obra: cimentación, montaje, izado y recepción.</w:t>
      </w:r>
    </w:p>
    <w:p>
      <w:pPr>
        <w:pStyle w:val="ListNumber"/>
        <w:spacing w:after="40"/>
      </w:pPr>
      <w:r>
        <w:t>06_Calidad: certificados, inspecciones y as-built.</w:t>
      </w:r>
    </w:p>
    <w:p>
      <w:pPr>
        <w:pStyle w:val="ListNumber"/>
        <w:spacing w:after="40"/>
      </w:pPr>
      <w:r>
        <w:t>07_Regulatorio: DoP/CE u otros documentos aplicables.</w:t>
      </w:r>
    </w:p>
    <w:p>
      <w:pPr>
        <w:pStyle w:val="ListNumber"/>
        <w:spacing w:after="40"/>
      </w:pPr>
      <w:r>
        <w:t>08_Evidencias: ensayos, comparaciones, aprobaciones y excepciones.</w:t>
      </w:r>
    </w:p>
    <w:p>
      <w:pPr>
        <w:pStyle w:val="ListNumber"/>
        <w:spacing w:after="40"/>
      </w:pPr>
      <w:r>
        <w:t>09_Histórico: change log y documentos sustituidos.</w:t>
      </w:r>
    </w:p>
    <w:p>
      <w:pPr>
        <w:pStyle w:val="Heading1"/>
        <w:keepNext/>
      </w:pPr>
      <w:r>
        <w:t>7. Motor documental</w:t>
      </w:r>
    </w:p>
    <w:p>
      <w:pPr>
        <w:pStyle w:val="Heading2"/>
        <w:keepNext/>
      </w:pPr>
      <w:r>
        <w:t>7.1 Componentes</w:t>
      </w:r>
    </w:p>
    <w:tbl>
      <w:tblPr>
        <w:tblStyle w:val="TableGrid"/>
        <w:tblW w:type="auto" w:w="0"/>
        <w:jc w:val="center"/>
        <w:tblLook w:firstColumn="1" w:firstRow="1" w:lastColumn="0" w:lastRow="0" w:noHBand="0" w:noVBand="1" w:val="04A0"/>
      </w:tblPr>
      <w:tblGrid>
        <w:gridCol w:w="5083"/>
        <w:gridCol w:w="5083"/>
      </w:tblGrid>
      <w:tr>
        <w:tc>
          <w:tcPr>
            <w:tcW w:type="dxa" w:w="2268"/>
            <w:vAlign w:val="center"/>
            <w:shd w:fill="111111"/>
          </w:tcPr>
          <w:p>
            <w:r>
              <w:t>Componente</w:t>
            </w:r>
          </w:p>
        </w:tc>
        <w:tc>
          <w:tcPr>
            <w:tcW w:type="dxa" w:w="6803"/>
            <w:vAlign w:val="center"/>
            <w:shd w:fill="111111"/>
          </w:tcPr>
          <w:p>
            <w:r>
              <w:t>Responsabilidad</w:t>
            </w:r>
          </w:p>
        </w:tc>
      </w:tr>
      <w:tr>
        <w:tc>
          <w:tcPr>
            <w:tcW w:type="dxa" w:w="2268"/>
            <w:vAlign w:val="center"/>
          </w:tcPr>
          <w:p>
            <w:r>
              <w:t>Template Registry</w:t>
            </w:r>
          </w:p>
        </w:tc>
        <w:tc>
          <w:tcPr>
            <w:tcW w:type="dxa" w:w="6803"/>
            <w:vAlign w:val="center"/>
          </w:tcPr>
          <w:p>
            <w:r>
              <w:t>Versionar plantillas, bloques, idiomas, mercados y estados.</w:t>
            </w:r>
          </w:p>
        </w:tc>
      </w:tr>
      <w:tr>
        <w:tc>
          <w:tcPr>
            <w:tcW w:type="dxa" w:w="2268"/>
            <w:vAlign w:val="center"/>
            <w:shd w:fill="F7F7F7"/>
          </w:tcPr>
          <w:p>
            <w:r>
              <w:t>Content Resolver</w:t>
            </w:r>
          </w:p>
        </w:tc>
        <w:tc>
          <w:tcPr>
            <w:tcW w:type="dxa" w:w="6803"/>
            <w:vAlign w:val="center"/>
            <w:shd w:fill="F7F7F7"/>
          </w:tcPr>
          <w:p>
            <w:r>
              <w:t>Resolver datos solo desde snapshots aprobados.</w:t>
            </w:r>
          </w:p>
        </w:tc>
      </w:tr>
      <w:tr>
        <w:tc>
          <w:tcPr>
            <w:tcW w:type="dxa" w:w="2268"/>
            <w:vAlign w:val="center"/>
          </w:tcPr>
          <w:p>
            <w:r>
              <w:t>Rules Engine</w:t>
            </w:r>
          </w:p>
        </w:tc>
        <w:tc>
          <w:tcPr>
            <w:tcW w:type="dxa" w:w="6803"/>
            <w:vAlign w:val="center"/>
          </w:tcPr>
          <w:p>
            <w:r>
              <w:t>Seleccionar secciones, advertencias y anexos según caso.</w:t>
            </w:r>
          </w:p>
        </w:tc>
      </w:tr>
      <w:tr>
        <w:tc>
          <w:tcPr>
            <w:tcW w:type="dxa" w:w="2268"/>
            <w:vAlign w:val="center"/>
            <w:shd w:fill="F7F7F7"/>
          </w:tcPr>
          <w:p>
            <w:r>
              <w:t>Chart Engine</w:t>
            </w:r>
          </w:p>
        </w:tc>
        <w:tc>
          <w:tcPr>
            <w:tcW w:type="dxa" w:w="6803"/>
            <w:vAlign w:val="center"/>
            <w:shd w:fill="F7F7F7"/>
          </w:tcPr>
          <w:p>
            <w:r>
              <w:t>Generar tablas, gráficos, diagramas y mapas reproducibles.</w:t>
            </w:r>
          </w:p>
        </w:tc>
      </w:tr>
      <w:tr>
        <w:tc>
          <w:tcPr>
            <w:tcW w:type="dxa" w:w="2268"/>
            <w:vAlign w:val="center"/>
          </w:tcPr>
          <w:p>
            <w:r>
              <w:t>Renderer</w:t>
            </w:r>
          </w:p>
        </w:tc>
        <w:tc>
          <w:tcPr>
            <w:tcW w:type="dxa" w:w="6803"/>
            <w:vAlign w:val="center"/>
          </w:tcPr>
          <w:p>
            <w:r>
              <w:t>Crear DOCX, PDF/A, HTML y paquetes comprimidos.</w:t>
            </w:r>
          </w:p>
        </w:tc>
      </w:tr>
      <w:tr>
        <w:tc>
          <w:tcPr>
            <w:tcW w:type="dxa" w:w="2268"/>
            <w:vAlign w:val="center"/>
            <w:shd w:fill="F7F7F7"/>
          </w:tcPr>
          <w:p>
            <w:r>
              <w:t>Validator</w:t>
            </w:r>
          </w:p>
        </w:tc>
        <w:tc>
          <w:tcPr>
            <w:tcW w:type="dxa" w:w="6803"/>
            <w:vAlign w:val="center"/>
            <w:shd w:fill="F7F7F7"/>
          </w:tcPr>
          <w:p>
            <w:r>
              <w:t>Comprobar consistencia, contenido obligatorio, enlaces y permisos.</w:t>
            </w:r>
          </w:p>
        </w:tc>
      </w:tr>
      <w:tr>
        <w:tc>
          <w:tcPr>
            <w:tcW w:type="dxa" w:w="2268"/>
            <w:vAlign w:val="center"/>
          </w:tcPr>
          <w:p>
            <w:r>
              <w:t>Signer</w:t>
            </w:r>
          </w:p>
        </w:tc>
        <w:tc>
          <w:tcPr>
            <w:tcW w:type="dxa" w:w="6803"/>
            <w:vAlign w:val="center"/>
          </w:tcPr>
          <w:p>
            <w:r>
              <w:t>Aplicar hash, sello, QR/código verificable y firma futura.</w:t>
            </w:r>
          </w:p>
        </w:tc>
      </w:tr>
      <w:tr>
        <w:tc>
          <w:tcPr>
            <w:tcW w:type="dxa" w:w="2268"/>
            <w:vAlign w:val="center"/>
            <w:shd w:fill="F7F7F7"/>
          </w:tcPr>
          <w:p>
            <w:r>
              <w:t>Archive Service</w:t>
            </w:r>
          </w:p>
        </w:tc>
        <w:tc>
          <w:tcPr>
            <w:tcW w:type="dxa" w:w="6803"/>
            <w:vAlign w:val="center"/>
            <w:shd w:fill="F7F7F7"/>
          </w:tcPr>
          <w:p>
            <w:r>
              <w:t>Conservar, indexar, buscar, recuperar y revocar.</w:t>
            </w:r>
          </w:p>
        </w:tc>
      </w:tr>
    </w:tbl>
    <w:p>
      <w:pPr>
        <w:spacing w:after="0"/>
      </w:pPr>
    </w:p>
    <w:p>
      <w:pPr>
        <w:pStyle w:val="Heading2"/>
        <w:keepNext/>
      </w:pPr>
      <w:r>
        <w:t>7.2 Bloques de contenido</w:t>
      </w:r>
    </w:p>
    <w:p>
      <w:pPr>
        <w:spacing w:after="100" w:line="252" w:lineRule="auto"/>
      </w:pPr>
      <w:r>
        <w:t>Cada bloque tendrá identificador, versión, condiciones de inclusión, fuentes de datos, reglas de redondeo, idioma, responsable, criticidad y tests. Los textos normativos protegidos no se copiarán extensamente; se citará la cláusula y se explicará la lógica aplicada.</w:t>
      </w:r>
    </w:p>
    <w:p>
      <w:pPr>
        <w:pStyle w:val="Heading2"/>
        <w:keepNext/>
      </w:pPr>
      <w:r>
        <w:t>7.3 Reglas de redondeo</w:t>
      </w:r>
    </w:p>
    <w:p>
      <w:pPr>
        <w:pStyle w:val="ListBullet"/>
        <w:spacing w:after="40"/>
      </w:pPr>
      <w:r>
        <w:t>Los cálculos se ejecutan con precisión interna completa.</w:t>
      </w:r>
    </w:p>
    <w:p>
      <w:pPr>
        <w:pStyle w:val="ListBullet"/>
        <w:spacing w:after="40"/>
      </w:pPr>
      <w:r>
        <w:t>Los informes muestran precisión definida por magnitud y contexto.</w:t>
      </w:r>
    </w:p>
    <w:p>
      <w:pPr>
        <w:pStyle w:val="ListBullet"/>
        <w:spacing w:after="40"/>
      </w:pPr>
      <w:r>
        <w:t>El criterio de aceptación usa valores no redondeados.</w:t>
      </w:r>
    </w:p>
    <w:p>
      <w:pPr>
        <w:pStyle w:val="ListBullet"/>
        <w:spacing w:after="40"/>
      </w:pPr>
      <w:r>
        <w:t>Una utilización 0,9996 no podrá mostrarse como 1,00 “cumple” sin indicar el valor real y la política.</w:t>
      </w:r>
    </w:p>
    <w:p>
      <w:pPr>
        <w:pStyle w:val="ListBullet"/>
        <w:spacing w:after="40"/>
      </w:pPr>
      <w:r>
        <w:t>Unidades, separadores decimales y símbolos se adaptan al idioma sin cambiar el valor.</w:t>
      </w:r>
    </w:p>
    <w:p>
      <w:pPr>
        <w:pStyle w:val="Heading2"/>
        <w:keepNext/>
      </w:pPr>
      <w:r>
        <w:t>7.4 Gráficos y tablas</w:t>
      </w:r>
    </w:p>
    <w:p>
      <w:pPr>
        <w:spacing w:after="100" w:line="252" w:lineRule="auto"/>
      </w:pPr>
      <w:r>
        <w:t>Todos los gráficos incluirán título, unidades, leyenda, caso gobernante y referencia al snapshot. Las tablas extensas se paginarán con cabeceras repetidas. Los diagramas de esfuerzos y deformaciones conservarán escala y sentido de ejes definidos en Fase 4.</w:t>
      </w:r>
    </w:p>
    <w:p>
      <w:pPr>
        <w:pStyle w:val="Heading1"/>
        <w:keepNext/>
      </w:pPr>
      <w:r>
        <w:t>8. Informe comercial y cliente resumido</w:t>
      </w:r>
    </w:p>
    <w:p>
      <w:pPr>
        <w:spacing w:after="100" w:line="252" w:lineRule="auto"/>
      </w:pPr>
      <w:r>
        <w:t>Documento de 2 a 8 páginas orientado a decisión, sin ocultar limitaciones. No incluirá know-how de fabricación, costes internos, coeficientes propietarios ni datos de proveedores.</w:t>
      </w:r>
    </w:p>
    <w:tbl>
      <w:tblPr>
        <w:tblStyle w:val="TableGrid"/>
        <w:tblW w:type="auto" w:w="0"/>
        <w:jc w:val="center"/>
        <w:tblLook w:firstColumn="1" w:firstRow="1" w:lastColumn="0" w:lastRow="0" w:noHBand="0" w:noVBand="1" w:val="04A0"/>
      </w:tblPr>
      <w:tblGrid>
        <w:gridCol w:w="5083"/>
        <w:gridCol w:w="5083"/>
      </w:tblGrid>
      <w:tr>
        <w:tc>
          <w:tcPr>
            <w:tcW w:type="dxa" w:w="2268"/>
            <w:vAlign w:val="center"/>
            <w:shd w:fill="111111"/>
          </w:tcPr>
          <w:p>
            <w:r>
              <w:t>Sección</w:t>
            </w:r>
          </w:p>
        </w:tc>
        <w:tc>
          <w:tcPr>
            <w:tcW w:type="dxa" w:w="6803"/>
            <w:vAlign w:val="center"/>
            <w:shd w:fill="111111"/>
          </w:tcPr>
          <w:p>
            <w:r>
              <w:t>Contenido</w:t>
            </w:r>
          </w:p>
        </w:tc>
      </w:tr>
      <w:tr>
        <w:tc>
          <w:tcPr>
            <w:tcW w:type="dxa" w:w="2268"/>
            <w:vAlign w:val="center"/>
          </w:tcPr>
          <w:p>
            <w:r>
              <w:t>Portada</w:t>
            </w:r>
          </w:p>
        </w:tc>
        <w:tc>
          <w:tcPr>
            <w:tcW w:type="dxa" w:w="6803"/>
            <w:vAlign w:val="center"/>
          </w:tcPr>
          <w:p>
            <w:r>
              <w:t>Proyecto, cliente, solución, revisión, estado y fecha.</w:t>
            </w:r>
          </w:p>
        </w:tc>
      </w:tr>
      <w:tr>
        <w:tc>
          <w:tcPr>
            <w:tcW w:type="dxa" w:w="2268"/>
            <w:vAlign w:val="center"/>
            <w:shd w:fill="F7F7F7"/>
          </w:tcPr>
          <w:p>
            <w:r>
              <w:t>Resumen</w:t>
            </w:r>
          </w:p>
        </w:tc>
        <w:tc>
          <w:tcPr>
            <w:tcW w:type="dxa" w:w="6803"/>
            <w:vAlign w:val="center"/>
            <w:shd w:fill="F7F7F7"/>
          </w:tcPr>
          <w:p>
            <w:r>
              <w:t>Qué se propone, por qué, alcance y resultado.</w:t>
            </w:r>
          </w:p>
        </w:tc>
      </w:tr>
      <w:tr>
        <w:tc>
          <w:tcPr>
            <w:tcW w:type="dxa" w:w="2268"/>
            <w:vAlign w:val="center"/>
          </w:tcPr>
          <w:p>
            <w:r>
              <w:t>Configuración</w:t>
            </w:r>
          </w:p>
        </w:tc>
        <w:tc>
          <w:tcPr>
            <w:tcW w:type="dxa" w:w="6803"/>
            <w:vAlign w:val="center"/>
          </w:tcPr>
          <w:p>
            <w:r>
              <w:t>Altura, material, forma, brazos, luminarias, base y acabado.</w:t>
            </w:r>
          </w:p>
        </w:tc>
      </w:tr>
      <w:tr>
        <w:tc>
          <w:tcPr>
            <w:tcW w:type="dxa" w:w="2268"/>
            <w:vAlign w:val="center"/>
            <w:shd w:fill="F7F7F7"/>
          </w:tcPr>
          <w:p>
            <w:r>
              <w:t>Emplazamiento</w:t>
            </w:r>
          </w:p>
        </w:tc>
        <w:tc>
          <w:tcPr>
            <w:tcW w:type="dxa" w:w="6803"/>
            <w:vAlign w:val="center"/>
            <w:shd w:fill="F7F7F7"/>
          </w:tcPr>
          <w:p>
            <w:r>
              <w:t>Ubicación, viento, nieve, sismo y datos relevantes.</w:t>
            </w:r>
          </w:p>
        </w:tc>
      </w:tr>
      <w:tr>
        <w:tc>
          <w:tcPr>
            <w:tcW w:type="dxa" w:w="2268"/>
            <w:vAlign w:val="center"/>
          </w:tcPr>
          <w:p>
            <w:r>
              <w:t>Normativa</w:t>
            </w:r>
          </w:p>
        </w:tc>
        <w:tc>
          <w:tcPr>
            <w:tcW w:type="dxa" w:w="6803"/>
            <w:vAlign w:val="center"/>
          </w:tcPr>
          <w:p>
            <w:r>
              <w:t>Normas aplicadas y clasificación de ruta.</w:t>
            </w:r>
          </w:p>
        </w:tc>
      </w:tr>
      <w:tr>
        <w:tc>
          <w:tcPr>
            <w:tcW w:type="dxa" w:w="2268"/>
            <w:vAlign w:val="center"/>
            <w:shd w:fill="F7F7F7"/>
          </w:tcPr>
          <w:p>
            <w:r>
              <w:t>Resultados</w:t>
            </w:r>
          </w:p>
        </w:tc>
        <w:tc>
          <w:tcPr>
            <w:tcW w:type="dxa" w:w="6803"/>
            <w:vAlign w:val="center"/>
            <w:shd w:fill="F7F7F7"/>
          </w:tcPr>
          <w:p>
            <w:r>
              <w:t>Utilización máxima, deformación, base/cimentación y caso gobernante.</w:t>
            </w:r>
          </w:p>
        </w:tc>
      </w:tr>
      <w:tr>
        <w:tc>
          <w:tcPr>
            <w:tcW w:type="dxa" w:w="2268"/>
            <w:vAlign w:val="center"/>
          </w:tcPr>
          <w:p>
            <w:r>
              <w:t>Alternativas</w:t>
            </w:r>
          </w:p>
        </w:tc>
        <w:tc>
          <w:tcPr>
            <w:tcW w:type="dxa" w:w="6803"/>
            <w:vAlign w:val="center"/>
          </w:tcPr>
          <w:p>
            <w:r>
              <w:t>Estándar, especial o alternativas Pareto cuando proceda.</w:t>
            </w:r>
          </w:p>
        </w:tc>
      </w:tr>
      <w:tr>
        <w:tc>
          <w:tcPr>
            <w:tcW w:type="dxa" w:w="2268"/>
            <w:vAlign w:val="center"/>
            <w:shd w:fill="F7F7F7"/>
          </w:tcPr>
          <w:p>
            <w:r>
              <w:t>Limitaciones</w:t>
            </w:r>
          </w:p>
        </w:tc>
        <w:tc>
          <w:tcPr>
            <w:tcW w:type="dxa" w:w="6803"/>
            <w:vAlign w:val="center"/>
            <w:shd w:fill="F7F7F7"/>
          </w:tcPr>
          <w:p>
            <w:r>
              <w:t>Datos pendientes, exclusiones, validez y necesidad de confirmación.</w:t>
            </w:r>
          </w:p>
        </w:tc>
      </w:tr>
      <w:tr>
        <w:tc>
          <w:tcPr>
            <w:tcW w:type="dxa" w:w="2268"/>
            <w:vAlign w:val="center"/>
          </w:tcPr>
          <w:p>
            <w:r>
              <w:t>Aprobación</w:t>
            </w:r>
          </w:p>
        </w:tc>
        <w:tc>
          <w:tcPr>
            <w:tcW w:type="dxa" w:w="6803"/>
            <w:vAlign w:val="center"/>
          </w:tcPr>
          <w:p>
            <w:r>
              <w:t>Estado M1–M3 y responsable.</w:t>
            </w:r>
          </w:p>
        </w:tc>
      </w:tr>
    </w:tbl>
    <w:p>
      <w:pPr>
        <w:spacing w:after="0"/>
      </w:pPr>
    </w:p>
    <w:p>
      <w:pPr>
        <w:pStyle w:val="Heading2"/>
        <w:keepNext/>
      </w:pPr>
      <w:r>
        <w:t>8.1 Semáforo de resultado</w:t>
      </w:r>
    </w:p>
    <w:tbl>
      <w:tblPr>
        <w:tblStyle w:val="TableGrid"/>
        <w:tblW w:type="auto" w:w="0"/>
        <w:jc w:val="center"/>
        <w:tblLook w:firstColumn="1" w:firstRow="1" w:lastColumn="0" w:lastRow="0" w:noHBand="0" w:noVBand="1" w:val="04A0"/>
      </w:tblPr>
      <w:tblGrid>
        <w:gridCol w:w="5083"/>
        <w:gridCol w:w="5083"/>
      </w:tblGrid>
      <w:tr>
        <w:tc>
          <w:tcPr>
            <w:tcW w:type="dxa" w:w="2268"/>
            <w:vAlign w:val="center"/>
            <w:shd w:fill="111111"/>
          </w:tcPr>
          <w:p>
            <w:r>
              <w:t>Estado visual</w:t>
            </w:r>
          </w:p>
        </w:tc>
        <w:tc>
          <w:tcPr>
            <w:tcW w:type="dxa" w:w="6803"/>
            <w:vAlign w:val="center"/>
            <w:shd w:fill="111111"/>
          </w:tcPr>
          <w:p>
            <w:r>
              <w:t>Significado</w:t>
            </w:r>
          </w:p>
        </w:tc>
      </w:tr>
      <w:tr>
        <w:tc>
          <w:tcPr>
            <w:tcW w:type="dxa" w:w="2268"/>
            <w:vAlign w:val="center"/>
          </w:tcPr>
          <w:p>
            <w:r>
              <w:t>Verde</w:t>
            </w:r>
          </w:p>
        </w:tc>
        <w:tc>
          <w:tcPr>
            <w:tcW w:type="dxa" w:w="6803"/>
            <w:vAlign w:val="center"/>
          </w:tcPr>
          <w:p>
            <w:r>
              <w:t>Cumple y no existen reservas críticas.</w:t>
            </w:r>
          </w:p>
        </w:tc>
      </w:tr>
      <w:tr>
        <w:tc>
          <w:tcPr>
            <w:tcW w:type="dxa" w:w="2268"/>
            <w:vAlign w:val="center"/>
            <w:shd w:fill="F7F7F7"/>
          </w:tcPr>
          <w:p>
            <w:r>
              <w:t>Ámbar</w:t>
            </w:r>
          </w:p>
        </w:tc>
        <w:tc>
          <w:tcPr>
            <w:tcW w:type="dxa" w:w="6803"/>
            <w:vAlign w:val="center"/>
            <w:shd w:fill="F7F7F7"/>
          </w:tcPr>
          <w:p>
            <w:r>
              <w:t>Cumple bajo hipótesis o requiere confirmación antes de siguiente madurez.</w:t>
            </w:r>
          </w:p>
        </w:tc>
      </w:tr>
      <w:tr>
        <w:tc>
          <w:tcPr>
            <w:tcW w:type="dxa" w:w="2268"/>
            <w:vAlign w:val="center"/>
          </w:tcPr>
          <w:p>
            <w:r>
              <w:t>Rojo</w:t>
            </w:r>
          </w:p>
        </w:tc>
        <w:tc>
          <w:tcPr>
            <w:tcW w:type="dxa" w:w="6803"/>
            <w:vAlign w:val="center"/>
          </w:tcPr>
          <w:p>
            <w:r>
              <w:t>No cumple o existe bloqueo; no puede presentarse como solución válida.</w:t>
            </w:r>
          </w:p>
        </w:tc>
      </w:tr>
      <w:tr>
        <w:tc>
          <w:tcPr>
            <w:tcW w:type="dxa" w:w="2268"/>
            <w:vAlign w:val="center"/>
            <w:shd w:fill="F7F7F7"/>
          </w:tcPr>
          <w:p>
            <w:r>
              <w:t>Gris</w:t>
            </w:r>
          </w:p>
        </w:tc>
        <w:tc>
          <w:tcPr>
            <w:tcW w:type="dxa" w:w="6803"/>
            <w:vAlign w:val="center"/>
            <w:shd w:fill="F7F7F7"/>
          </w:tcPr>
          <w:p>
            <w:r>
              <w:t>No evaluado o fuera de alcance.</w:t>
            </w:r>
          </w:p>
        </w:tc>
      </w:tr>
    </w:tbl>
    <w:p>
      <w:pPr>
        <w:spacing w:after="0"/>
      </w:pPr>
    </w:p>
    <w:p>
      <w:pPr>
        <w:spacing w:after="100" w:line="252" w:lineRule="auto"/>
      </w:pPr>
      <w:r>
        <w:t>El color nunca será el único portador de información; siempre se acompañará de texto y código accesible.</w:t>
      </w:r>
    </w:p>
    <w:p>
      <w:pPr>
        <w:pStyle w:val="Heading1"/>
        <w:keepNext/>
      </w:pPr>
      <w:r>
        <w:t>9. Informe técnico extenso para cliente</w:t>
      </w:r>
    </w:p>
    <w:p>
      <w:pPr>
        <w:spacing w:after="100" w:line="252" w:lineRule="auto"/>
      </w:pPr>
      <w:r>
        <w:t>Documento técnico compartible que explica el diseño con suficiente profundidad para revisión externa, pero protege la propiedad industrial de Salvi.</w:t>
      </w:r>
    </w:p>
    <w:p>
      <w:pPr>
        <w:pStyle w:val="ListBullet"/>
        <w:spacing w:after="40"/>
      </w:pPr>
      <w:r>
        <w:t>Alcance y responsabilidades.</w:t>
      </w:r>
    </w:p>
    <w:p>
      <w:pPr>
        <w:pStyle w:val="ListBullet"/>
        <w:spacing w:after="40"/>
      </w:pPr>
      <w:r>
        <w:t>Descripción geométrica y materiales.</w:t>
      </w:r>
    </w:p>
    <w:p>
      <w:pPr>
        <w:pStyle w:val="ListBullet"/>
        <w:spacing w:after="40"/>
      </w:pPr>
      <w:r>
        <w:t>Datos de ubicación y acciones.</w:t>
      </w:r>
    </w:p>
    <w:p>
      <w:pPr>
        <w:pStyle w:val="ListBullet"/>
        <w:spacing w:after="40"/>
      </w:pPr>
      <w:r>
        <w:t>Normas, anexos nacionales y parámetros.</w:t>
      </w:r>
    </w:p>
    <w:p>
      <w:pPr>
        <w:pStyle w:val="ListBullet"/>
        <w:spacing w:after="40"/>
      </w:pPr>
      <w:r>
        <w:t>Casos y combinaciones relevantes.</w:t>
      </w:r>
    </w:p>
    <w:p>
      <w:pPr>
        <w:pStyle w:val="ListBullet"/>
        <w:spacing w:after="40"/>
      </w:pPr>
      <w:r>
        <w:t>Modelo estructural y supuestos.</w:t>
      </w:r>
    </w:p>
    <w:p>
      <w:pPr>
        <w:pStyle w:val="ListBullet"/>
        <w:spacing w:after="40"/>
      </w:pPr>
      <w:r>
        <w:t>Resultados globales y locales resumidos.</w:t>
      </w:r>
    </w:p>
    <w:p>
      <w:pPr>
        <w:pStyle w:val="ListBullet"/>
        <w:spacing w:after="40"/>
      </w:pPr>
      <w:r>
        <w:t>Verificaciones de fuste, puerta, uniones, base y cimentación.</w:t>
      </w:r>
    </w:p>
    <w:p>
      <w:pPr>
        <w:pStyle w:val="ListBullet"/>
        <w:spacing w:after="40"/>
      </w:pPr>
      <w:r>
        <w:t>Fatiga, dinámica y situaciones especiales.</w:t>
      </w:r>
    </w:p>
    <w:p>
      <w:pPr>
        <w:pStyle w:val="ListBullet"/>
        <w:spacing w:after="40"/>
      </w:pPr>
      <w:r>
        <w:t>Fabricación y protección superficial a nivel descriptivo.</w:t>
      </w:r>
    </w:p>
    <w:p>
      <w:pPr>
        <w:pStyle w:val="ListBullet"/>
        <w:spacing w:after="40"/>
      </w:pPr>
      <w:r>
        <w:t>Condiciones de instalación, uso y mantenimiento.</w:t>
      </w:r>
    </w:p>
    <w:p>
      <w:pPr>
        <w:pStyle w:val="ListBullet"/>
        <w:spacing w:after="40"/>
      </w:pPr>
      <w:r>
        <w:t>Limitaciones, incertidumbres y validez temporal.</w:t>
      </w:r>
    </w:p>
    <w:p>
      <w:pPr>
        <w:pStyle w:val="ListBullet"/>
        <w:spacing w:after="40"/>
      </w:pPr>
      <w:r>
        <w:t>Anexos seleccionados y firma de aprobación.</w:t>
      </w:r>
    </w:p>
    <w:p>
      <w:pPr>
        <w:pStyle w:val="Heading2"/>
        <w:keepNext/>
      </w:pPr>
      <w:r>
        <w:t>9.1 Protección de know-how</w:t>
      </w:r>
    </w:p>
    <w:p>
      <w:pPr>
        <w:spacing w:after="100" w:line="252" w:lineRule="auto"/>
      </w:pPr>
      <w:r>
        <w:t>Las fórmulas propietarias, costes, tiempos, proveedores, WPS completos, nesting, coeficientes internos y detalles no necesarios para la aceptación del cliente se excluirán o se sustituirán por referencias controladas.</w:t>
      </w:r>
    </w:p>
    <w:p>
      <w:pPr>
        <w:pStyle w:val="Heading1"/>
        <w:keepNext/>
      </w:pPr>
      <w:r>
        <w:t>10. Memoria completa de cálculo</w:t>
      </w:r>
    </w:p>
    <w:p>
      <w:pPr>
        <w:spacing w:after="100" w:line="252" w:lineRule="auto"/>
      </w:pPr>
      <w:r>
        <w:t>Es el documento técnico de máxima trazabilidad. Debe permitir reproducir el cálculo con la misma versión del software y bibliotecas.</w:t>
      </w:r>
    </w:p>
    <w:p>
      <w:pPr>
        <w:pStyle w:val="Heading2"/>
        <w:keepNext/>
      </w:pPr>
      <w:r>
        <w:t>10.1 Estructura mínima</w:t>
      </w:r>
    </w:p>
    <w:p>
      <w:pPr>
        <w:pStyle w:val="ListNumber"/>
        <w:spacing w:after="40"/>
      </w:pPr>
      <w:r>
        <w:t>Identificación del proyecto, revisión y estado.</w:t>
      </w:r>
    </w:p>
    <w:p>
      <w:pPr>
        <w:pStyle w:val="ListNumber"/>
        <w:spacing w:after="40"/>
      </w:pPr>
      <w:r>
        <w:t>Listado completo de entradas, unidades, estado y procedencia.</w:t>
      </w:r>
    </w:p>
    <w:p>
      <w:pPr>
        <w:pStyle w:val="ListNumber"/>
        <w:spacing w:after="40"/>
      </w:pPr>
      <w:r>
        <w:t>Normas, ediciones, anexos, cláusulas y reglas internas.</w:t>
      </w:r>
    </w:p>
    <w:p>
      <w:pPr>
        <w:pStyle w:val="ListNumber"/>
        <w:spacing w:after="40"/>
      </w:pPr>
      <w:r>
        <w:t>Geometría, secciones, tramos, discontinuidades y propiedades.</w:t>
      </w:r>
    </w:p>
    <w:p>
      <w:pPr>
        <w:pStyle w:val="ListNumber"/>
        <w:spacing w:after="40"/>
      </w:pPr>
      <w:r>
        <w:t>Materiales, espesores efectivos y parámetros resistentes.</w:t>
      </w:r>
    </w:p>
    <w:p>
      <w:pPr>
        <w:pStyle w:val="ListNumber"/>
        <w:spacing w:after="40"/>
      </w:pPr>
      <w:r>
        <w:t>Acciones, direcciones, cargas por franja y combinaciones.</w:t>
      </w:r>
    </w:p>
    <w:p>
      <w:pPr>
        <w:pStyle w:val="ListNumber"/>
        <w:spacing w:after="40"/>
      </w:pPr>
      <w:r>
        <w:t>Modelo estructural, discretización, apoyos y convergencia.</w:t>
      </w:r>
    </w:p>
    <w:p>
      <w:pPr>
        <w:pStyle w:val="ListNumber"/>
        <w:spacing w:after="40"/>
      </w:pPr>
      <w:r>
        <w:t>Esfuerzos, desplazamientos, reacciones y envolventes.</w:t>
      </w:r>
    </w:p>
    <w:p>
      <w:pPr>
        <w:pStyle w:val="ListNumber"/>
        <w:spacing w:after="40"/>
      </w:pPr>
      <w:r>
        <w:t>Verificaciones por material y componente.</w:t>
      </w:r>
    </w:p>
    <w:p>
      <w:pPr>
        <w:pStyle w:val="ListNumber"/>
        <w:spacing w:after="40"/>
      </w:pPr>
      <w:r>
        <w:t>Puerta, refuerzos, soportes, uniones, placa, pernos y cimentación.</w:t>
      </w:r>
    </w:p>
    <w:p>
      <w:pPr>
        <w:pStyle w:val="ListNumber"/>
        <w:spacing w:after="40"/>
      </w:pPr>
      <w:r>
        <w:t>Fatiga, vibración, pandeo, segundo orden y casos especiales.</w:t>
      </w:r>
    </w:p>
    <w:p>
      <w:pPr>
        <w:pStyle w:val="ListNumber"/>
        <w:spacing w:after="40"/>
      </w:pPr>
      <w:r>
        <w:t>Comparación con verificador independiente y controles de equilibrio.</w:t>
      </w:r>
    </w:p>
    <w:p>
      <w:pPr>
        <w:pStyle w:val="ListNumber"/>
        <w:spacing w:after="40"/>
      </w:pPr>
      <w:r>
        <w:t>Incidencias, warnings, overrides y excepciones.</w:t>
      </w:r>
    </w:p>
    <w:p>
      <w:pPr>
        <w:pStyle w:val="ListNumber"/>
        <w:spacing w:after="40"/>
      </w:pPr>
      <w:r>
        <w:t>Resumen de utilizaciones y componentes gobernantes.</w:t>
      </w:r>
    </w:p>
    <w:p>
      <w:pPr>
        <w:pStyle w:val="ListNumber"/>
        <w:spacing w:after="40"/>
      </w:pPr>
      <w:r>
        <w:t>Firmas, hashes, versiones de motor y reproducibilidad.</w:t>
      </w:r>
    </w:p>
    <w:p>
      <w:pPr>
        <w:pStyle w:val="Heading2"/>
        <w:keepNext/>
      </w:pPr>
      <w:r>
        <w:t>10.2 Matriz de verificaciones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020"/>
            <w:vAlign w:val="center"/>
            <w:shd w:fill="111111"/>
          </w:tcPr>
          <w:p>
            <w:r>
              <w:t>ID</w:t>
            </w:r>
          </w:p>
        </w:tc>
        <w:tc>
          <w:tcPr>
            <w:tcW w:type="dxa" w:w="1984"/>
            <w:vAlign w:val="center"/>
            <w:shd w:fill="111111"/>
          </w:tcPr>
          <w:p>
            <w:r>
              <w:t>Componente</w:t>
            </w:r>
          </w:p>
        </w:tc>
        <w:tc>
          <w:tcPr>
            <w:tcW w:type="dxa" w:w="1361"/>
            <w:vAlign w:val="center"/>
            <w:shd w:fill="111111"/>
          </w:tcPr>
          <w:p>
            <w:r>
              <w:t>Estado</w:t>
            </w:r>
          </w:p>
        </w:tc>
        <w:tc>
          <w:tcPr>
            <w:tcW w:type="dxa" w:w="1247"/>
            <w:vAlign w:val="center"/>
            <w:shd w:fill="111111"/>
          </w:tcPr>
          <w:p>
            <w:r>
              <w:t>Utilización</w:t>
            </w:r>
          </w:p>
        </w:tc>
        <w:tc>
          <w:tcPr>
            <w:tcW w:type="dxa" w:w="1701"/>
            <w:vAlign w:val="center"/>
            <w:shd w:fill="111111"/>
          </w:tcPr>
          <w:p>
            <w:r>
              <w:t>Caso gobernante</w:t>
            </w:r>
          </w:p>
        </w:tc>
        <w:tc>
          <w:tcPr>
            <w:tcW w:type="dxa" w:w="1757"/>
            <w:vAlign w:val="center"/>
            <w:shd w:fill="111111"/>
          </w:tcPr>
          <w:p>
            <w:r>
              <w:t>Fuente</w:t>
            </w:r>
          </w:p>
        </w:tc>
      </w:tr>
      <w:tr>
        <w:tc>
          <w:tcPr>
            <w:tcW w:type="dxa" w:w="1020"/>
            <w:vAlign w:val="center"/>
          </w:tcPr>
          <w:p>
            <w:r>
              <w:t>VER-001</w:t>
            </w:r>
          </w:p>
        </w:tc>
        <w:tc>
          <w:tcPr>
            <w:tcW w:type="dxa" w:w="1984"/>
            <w:vAlign w:val="center"/>
          </w:tcPr>
          <w:p>
            <w:r>
              <w:t>Fuste en base</w:t>
            </w:r>
          </w:p>
        </w:tc>
        <w:tc>
          <w:tcPr>
            <w:tcW w:type="dxa" w:w="1361"/>
            <w:vAlign w:val="center"/>
          </w:tcPr>
          <w:p>
            <w:r>
              <w:t>Cumple</w:t>
            </w:r>
          </w:p>
        </w:tc>
        <w:tc>
          <w:tcPr>
            <w:tcW w:type="dxa" w:w="1247"/>
            <w:vAlign w:val="center"/>
          </w:tcPr>
          <w:p>
            <w:r>
              <w:t>0,82</w:t>
            </w:r>
          </w:p>
        </w:tc>
        <w:tc>
          <w:tcPr>
            <w:tcW w:type="dxa" w:w="1701"/>
            <w:vAlign w:val="center"/>
          </w:tcPr>
          <w:p>
            <w:r>
              <w:t>ULS-WIND-210</w:t>
            </w:r>
          </w:p>
        </w:tc>
        <w:tc>
          <w:tcPr>
            <w:tcW w:type="dxa" w:w="1757"/>
            <w:vAlign w:val="center"/>
          </w:tcPr>
          <w:p>
            <w:r>
              <w:t>EN 40 / motor acero</w:t>
            </w:r>
          </w:p>
        </w:tc>
      </w:tr>
      <w:tr>
        <w:tc>
          <w:tcPr>
            <w:tcW w:type="dxa" w:w="1020"/>
            <w:vAlign w:val="center"/>
            <w:shd w:fill="F7F7F7"/>
          </w:tcPr>
          <w:p>
            <w:r>
              <w:t>VER-002</w:t>
            </w:r>
          </w:p>
        </w:tc>
        <w:tc>
          <w:tcPr>
            <w:tcW w:type="dxa" w:w="1984"/>
            <w:vAlign w:val="center"/>
            <w:shd w:fill="F7F7F7"/>
          </w:tcPr>
          <w:p>
            <w:r>
              <w:t>Sección de puerta</w:t>
            </w:r>
          </w:p>
        </w:tc>
        <w:tc>
          <w:tcPr>
            <w:tcW w:type="dxa" w:w="1361"/>
            <w:vAlign w:val="center"/>
            <w:shd w:fill="F7F7F7"/>
          </w:tcPr>
          <w:p>
            <w:r>
              <w:t>Cumple</w:t>
            </w:r>
          </w:p>
        </w:tc>
        <w:tc>
          <w:tcPr>
            <w:tcW w:type="dxa" w:w="1247"/>
            <w:vAlign w:val="center"/>
            <w:shd w:fill="F7F7F7"/>
          </w:tcPr>
          <w:p>
            <w:r>
              <w:t>0,91</w:t>
            </w:r>
          </w:p>
        </w:tc>
        <w:tc>
          <w:tcPr>
            <w:tcW w:type="dxa" w:w="1701"/>
            <w:vAlign w:val="center"/>
            <w:shd w:fill="F7F7F7"/>
          </w:tcPr>
          <w:p>
            <w:r>
              <w:t>ULS-WIND-030</w:t>
            </w:r>
          </w:p>
        </w:tc>
        <w:tc>
          <w:tcPr>
            <w:tcW w:type="dxa" w:w="1757"/>
            <w:vAlign w:val="center"/>
            <w:shd w:fill="F7F7F7"/>
          </w:tcPr>
          <w:p>
            <w:r>
              <w:t>Fase 8</w:t>
            </w:r>
          </w:p>
        </w:tc>
      </w:tr>
      <w:tr>
        <w:tc>
          <w:tcPr>
            <w:tcW w:type="dxa" w:w="1020"/>
            <w:vAlign w:val="center"/>
          </w:tcPr>
          <w:p>
            <w:r>
              <w:t>VER-003</w:t>
            </w:r>
          </w:p>
        </w:tc>
        <w:tc>
          <w:tcPr>
            <w:tcW w:type="dxa" w:w="1984"/>
            <w:vAlign w:val="center"/>
          </w:tcPr>
          <w:p>
            <w:r>
              <w:t>Pernos</w:t>
            </w:r>
          </w:p>
        </w:tc>
        <w:tc>
          <w:tcPr>
            <w:tcW w:type="dxa" w:w="1361"/>
            <w:vAlign w:val="center"/>
          </w:tcPr>
          <w:p>
            <w:r>
              <w:t>Cumple</w:t>
            </w:r>
          </w:p>
        </w:tc>
        <w:tc>
          <w:tcPr>
            <w:tcW w:type="dxa" w:w="1247"/>
            <w:vAlign w:val="center"/>
          </w:tcPr>
          <w:p>
            <w:r>
              <w:t>0,76</w:t>
            </w:r>
          </w:p>
        </w:tc>
        <w:tc>
          <w:tcPr>
            <w:tcW w:type="dxa" w:w="1701"/>
            <w:vAlign w:val="center"/>
          </w:tcPr>
          <w:p>
            <w:r>
              <w:t>ULS-WIND-210</w:t>
            </w:r>
          </w:p>
        </w:tc>
        <w:tc>
          <w:tcPr>
            <w:tcW w:type="dxa" w:w="1757"/>
            <w:vAlign w:val="center"/>
          </w:tcPr>
          <w:p>
            <w:r>
              <w:t>Fase 10</w:t>
            </w:r>
          </w:p>
        </w:tc>
      </w:tr>
      <w:tr>
        <w:tc>
          <w:tcPr>
            <w:tcW w:type="dxa" w:w="1020"/>
            <w:vAlign w:val="center"/>
            <w:shd w:fill="F7F7F7"/>
          </w:tcPr>
          <w:p>
            <w:r>
              <w:t>VER-004</w:t>
            </w:r>
          </w:p>
        </w:tc>
        <w:tc>
          <w:tcPr>
            <w:tcW w:type="dxa" w:w="1984"/>
            <w:vAlign w:val="center"/>
            <w:shd w:fill="F7F7F7"/>
          </w:tcPr>
          <w:p>
            <w:r>
              <w:t>Cimentación</w:t>
            </w:r>
          </w:p>
        </w:tc>
        <w:tc>
          <w:tcPr>
            <w:tcW w:type="dxa" w:w="1361"/>
            <w:vAlign w:val="center"/>
            <w:shd w:fill="F7F7F7"/>
          </w:tcPr>
          <w:p>
            <w:r>
              <w:t>Condicionado</w:t>
            </w:r>
          </w:p>
        </w:tc>
        <w:tc>
          <w:tcPr>
            <w:tcW w:type="dxa" w:w="1247"/>
            <w:vAlign w:val="center"/>
            <w:shd w:fill="F7F7F7"/>
          </w:tcPr>
          <w:p>
            <w:r>
              <w:t>0,88</w:t>
            </w:r>
          </w:p>
        </w:tc>
        <w:tc>
          <w:tcPr>
            <w:tcW w:type="dxa" w:w="1701"/>
            <w:vAlign w:val="center"/>
            <w:shd w:fill="F7F7F7"/>
          </w:tcPr>
          <w:p>
            <w:r>
              <w:t>ULS-WIND-210</w:t>
            </w:r>
          </w:p>
        </w:tc>
        <w:tc>
          <w:tcPr>
            <w:tcW w:type="dxa" w:w="1757"/>
            <w:vAlign w:val="center"/>
            <w:shd w:fill="F7F7F7"/>
          </w:tcPr>
          <w:p>
            <w:r>
              <w:t>Suelo G1 conservador</w:t>
            </w:r>
          </w:p>
        </w:tc>
      </w:tr>
    </w:tbl>
    <w:p>
      <w:pPr>
        <w:spacing w:after="0"/>
      </w:pPr>
    </w:p>
    <w:p>
      <w:pPr>
        <w:spacing w:after="100" w:line="252" w:lineRule="auto"/>
      </w:pPr>
      <w:r>
        <w:t>La tabla real será generada automáticamente y no permitirá omitir verificaciones fallidas o no evaluadas.</w:t>
      </w:r>
    </w:p>
    <w:p>
      <w:pPr>
        <w:pStyle w:val="Heading1"/>
        <w:keepNext/>
      </w:pPr>
      <w:r>
        <w:t>11. Informe de producción y subcontratación</w:t>
      </w:r>
    </w:p>
    <w:p>
      <w:pPr>
        <w:spacing w:after="100" w:line="252" w:lineRule="auto"/>
      </w:pPr>
      <w:r>
        <w:t>Documento orientado a fabricar exactamente la solución M4. No debe contener alternativas abiertas ni parámetros sin confirmar.</w:t>
      </w:r>
    </w:p>
    <w:p>
      <w:pPr>
        <w:pStyle w:val="ListBullet"/>
        <w:spacing w:after="40"/>
      </w:pPr>
      <w:r>
        <w:t>Lista de planos y CAD liberados.</w:t>
      </w:r>
    </w:p>
    <w:p>
      <w:pPr>
        <w:pStyle w:val="ListBullet"/>
        <w:spacing w:after="40"/>
      </w:pPr>
      <w:r>
        <w:t>BOM y materias primas.</w:t>
      </w:r>
    </w:p>
    <w:p>
      <w:pPr>
        <w:pStyle w:val="ListBullet"/>
        <w:spacing w:after="40"/>
      </w:pPr>
      <w:r>
        <w:t>Rutas y operaciones.</w:t>
      </w:r>
    </w:p>
    <w:p>
      <w:pPr>
        <w:pStyle w:val="ListBullet"/>
        <w:spacing w:after="40"/>
      </w:pPr>
      <w:r>
        <w:t>Soldaduras, WPS y END.</w:t>
      </w:r>
    </w:p>
    <w:p>
      <w:pPr>
        <w:pStyle w:val="ListBullet"/>
        <w:spacing w:after="40"/>
      </w:pPr>
      <w:r>
        <w:t>Tolerancias y CTQ.</w:t>
      </w:r>
    </w:p>
    <w:p>
      <w:pPr>
        <w:pStyle w:val="ListBullet"/>
        <w:spacing w:after="40"/>
      </w:pPr>
      <w:r>
        <w:t>Acabados y protección.</w:t>
      </w:r>
    </w:p>
    <w:p>
      <w:pPr>
        <w:pStyle w:val="ListBullet"/>
        <w:spacing w:after="40"/>
      </w:pPr>
      <w:r>
        <w:t>Instrucciones de pretensado cuando corresponda.</w:t>
      </w:r>
    </w:p>
    <w:p>
      <w:pPr>
        <w:pStyle w:val="ListBullet"/>
        <w:spacing w:after="40"/>
      </w:pPr>
      <w:r>
        <w:t>Utillajes, plantillas y montajes de prueba.</w:t>
      </w:r>
    </w:p>
    <w:p>
      <w:pPr>
        <w:pStyle w:val="ListBullet"/>
        <w:spacing w:after="40"/>
      </w:pPr>
      <w:r>
        <w:t>Puntos de inspección y hold points.</w:t>
      </w:r>
    </w:p>
    <w:p>
      <w:pPr>
        <w:pStyle w:val="ListBullet"/>
        <w:spacing w:after="40"/>
      </w:pPr>
      <w:r>
        <w:t>Embalaje, izado y transporte.</w:t>
      </w:r>
    </w:p>
    <w:p>
      <w:pPr>
        <w:pStyle w:val="ListBullet"/>
        <w:spacing w:after="40"/>
      </w:pPr>
      <w:r>
        <w:t>Certificados y registros exigidos.</w:t>
      </w:r>
    </w:p>
    <w:p>
      <w:pPr>
        <w:pStyle w:val="ListBullet"/>
        <w:spacing w:after="40"/>
      </w:pPr>
      <w:r>
        <w:t>Gestión de desviaciones y no conformidades.</w:t>
      </w:r>
    </w:p>
    <w:p>
      <w:pPr>
        <w:pStyle w:val="Heading2"/>
        <w:keepNext/>
      </w:pPr>
      <w:r>
        <w:t>11.1 Paquete de proveedor</w:t>
      </w:r>
    </w:p>
    <w:p>
      <w:pPr>
        <w:spacing w:after="100" w:line="252" w:lineRule="auto"/>
      </w:pPr>
      <w:r>
        <w:t>Para subcontratación se generará un paquete mínimo suficiente y protegido: especificación, planos, BOM de compra, controles, formatos de entrega y criterios de aceptación. Los costes internos, márgenes y documentación no necesaria quedarán excluidos.</w:t>
      </w:r>
    </w:p>
    <w:p>
      <w:pPr>
        <w:pStyle w:val="Heading1"/>
        <w:keepNext/>
      </w:pPr>
      <w:r>
        <w:t>12. Informes de calidad, montaje y conformidad</w:t>
      </w:r>
    </w:p>
    <w:tbl>
      <w:tblPr>
        <w:tblStyle w:val="TableGrid"/>
        <w:tblW w:type="auto" w:w="0"/>
        <w:jc w:val="center"/>
        <w:tblLook w:firstColumn="1" w:firstRow="1" w:lastColumn="0" w:lastRow="0" w:noHBand="0" w:noVBand="1" w:val="04A0"/>
      </w:tblPr>
      <w:tblGrid>
        <w:gridCol w:w="5083"/>
        <w:gridCol w:w="5083"/>
      </w:tblGrid>
      <w:tr>
        <w:tc>
          <w:tcPr>
            <w:tcW w:type="dxa" w:w="2268"/>
            <w:vAlign w:val="center"/>
            <w:shd w:fill="111111"/>
          </w:tcPr>
          <w:p>
            <w:r>
              <w:t>Informe</w:t>
            </w:r>
          </w:p>
        </w:tc>
        <w:tc>
          <w:tcPr>
            <w:tcW w:type="dxa" w:w="6803"/>
            <w:vAlign w:val="center"/>
            <w:shd w:fill="111111"/>
          </w:tcPr>
          <w:p>
            <w:r>
              <w:t>Contenido esencial</w:t>
            </w:r>
          </w:p>
        </w:tc>
      </w:tr>
      <w:tr>
        <w:tc>
          <w:tcPr>
            <w:tcW w:type="dxa" w:w="2268"/>
            <w:vAlign w:val="center"/>
          </w:tcPr>
          <w:p>
            <w:r>
              <w:t>Calidad</w:t>
            </w:r>
          </w:p>
        </w:tc>
        <w:tc>
          <w:tcPr>
            <w:tcW w:type="dxa" w:w="6803"/>
            <w:vAlign w:val="center"/>
          </w:tcPr>
          <w:p>
            <w:r>
              <w:t>Plan de inspección, CTQ, resultados, certificados, lotes, NCR y liberación.</w:t>
            </w:r>
          </w:p>
        </w:tc>
      </w:tr>
      <w:tr>
        <w:tc>
          <w:tcPr>
            <w:tcW w:type="dxa" w:w="2268"/>
            <w:vAlign w:val="center"/>
            <w:shd w:fill="F7F7F7"/>
          </w:tcPr>
          <w:p>
            <w:r>
              <w:t>Montaje</w:t>
            </w:r>
          </w:p>
        </w:tc>
        <w:tc>
          <w:tcPr>
            <w:tcW w:type="dxa" w:w="6803"/>
            <w:vAlign w:val="center"/>
            <w:shd w:fill="F7F7F7"/>
          </w:tcPr>
          <w:p>
            <w:r>
              <w:t>Cimentación, plantilla, izado, secuencia, aprietes, verticalidad y recepción.</w:t>
            </w:r>
          </w:p>
        </w:tc>
      </w:tr>
      <w:tr>
        <w:tc>
          <w:tcPr>
            <w:tcW w:type="dxa" w:w="2268"/>
            <w:vAlign w:val="center"/>
          </w:tcPr>
          <w:p>
            <w:r>
              <w:t>As-built</w:t>
            </w:r>
          </w:p>
        </w:tc>
        <w:tc>
          <w:tcPr>
            <w:tcW w:type="dxa" w:w="6803"/>
            <w:vAlign w:val="center"/>
          </w:tcPr>
          <w:p>
            <w:r>
              <w:t>Mediciones reales, materiales, lotes, desviaciones aceptadas y fotos.</w:t>
            </w:r>
          </w:p>
        </w:tc>
      </w:tr>
      <w:tr>
        <w:tc>
          <w:tcPr>
            <w:tcW w:type="dxa" w:w="2268"/>
            <w:vAlign w:val="center"/>
            <w:shd w:fill="F7F7F7"/>
          </w:tcPr>
          <w:p>
            <w:r>
              <w:t>Mantenimiento</w:t>
            </w:r>
          </w:p>
        </w:tc>
        <w:tc>
          <w:tcPr>
            <w:tcW w:type="dxa" w:w="6803"/>
            <w:vAlign w:val="center"/>
            <w:shd w:fill="F7F7F7"/>
          </w:tcPr>
          <w:p>
            <w:r>
              <w:t>Inspecciones, periodicidad, corrosión, uniones, puerta y reapriete.</w:t>
            </w:r>
          </w:p>
        </w:tc>
      </w:tr>
      <w:tr>
        <w:tc>
          <w:tcPr>
            <w:tcW w:type="dxa" w:w="2268"/>
            <w:vAlign w:val="center"/>
          </w:tcPr>
          <w:p>
            <w:r>
              <w:t>Conformidad</w:t>
            </w:r>
          </w:p>
        </w:tc>
        <w:tc>
          <w:tcPr>
            <w:tcW w:type="dxa" w:w="6803"/>
            <w:vAlign w:val="center"/>
          </w:tcPr>
          <w:p>
            <w:r>
              <w:t>Mercado, especificación aplicable, evaluación, DoP/CE u otros documentos.</w:t>
            </w:r>
          </w:p>
        </w:tc>
      </w:tr>
      <w:tr>
        <w:tc>
          <w:tcPr>
            <w:tcW w:type="dxa" w:w="2268"/>
            <w:vAlign w:val="center"/>
            <w:shd w:fill="F7F7F7"/>
          </w:tcPr>
          <w:p>
            <w:r>
              <w:t>Transporte</w:t>
            </w:r>
          </w:p>
        </w:tc>
        <w:tc>
          <w:tcPr>
            <w:tcW w:type="dxa" w:w="6803"/>
            <w:vAlign w:val="center"/>
            <w:shd w:fill="F7F7F7"/>
          </w:tcPr>
          <w:p>
            <w:r>
              <w:t>Centro de gravedad, puntos de apoyo, amarres, límites y manipulación.</w:t>
            </w:r>
          </w:p>
        </w:tc>
      </w:tr>
    </w:tbl>
    <w:p>
      <w:pPr>
        <w:spacing w:after="0"/>
      </w:pPr>
    </w:p>
    <w:p>
      <w:pPr>
        <w:pStyle w:val="Heading2"/>
        <w:keepNext/>
      </w:pPr>
      <w:r>
        <w:t>12.1 Regla regulatoria</w:t>
      </w:r>
    </w:p>
    <w:p>
      <w:pPr>
        <w:spacing w:after="100" w:line="252" w:lineRule="auto"/>
      </w:pPr>
      <w:r>
        <w:t>La aplicación distinguirá entre cálculo de proyecto, evaluación de producto y documentación regulatoria. No declarará automáticamente que un cálculo individual equivale a certificación de familia, ensayo de tipo o conformidad de producción.</w:t>
      </w:r>
    </w:p>
    <w:p>
      <w:pPr>
        <w:pStyle w:val="Heading1"/>
        <w:keepNext/>
      </w:pPr>
      <w:r>
        <w:t>13. Validación automática de coherencia</w:t>
      </w:r>
    </w:p>
    <w:p>
      <w:pPr>
        <w:spacing w:after="100" w:line="252" w:lineRule="auto"/>
      </w:pPr>
      <w:r>
        <w:t>Antes de generar un documento liberable se ejecutará una batería de validaciones. Los resultados se clasificarán como bloqueantes, graves, advertencias o informativos.</w:t>
      </w:r>
    </w:p>
    <w:p>
      <w:pPr>
        <w:pStyle w:val="Heading2"/>
        <w:keepNext/>
      </w:pPr>
      <w:r>
        <w:t>13.1 Validaciones bloqueantes</w:t>
      </w:r>
    </w:p>
    <w:p>
      <w:pPr>
        <w:pStyle w:val="ListBullet"/>
        <w:spacing w:after="40"/>
      </w:pPr>
      <w:r>
        <w:t>Hashes de snapshots incompatibles.</w:t>
      </w:r>
    </w:p>
    <w:p>
      <w:pPr>
        <w:pStyle w:val="ListBullet"/>
        <w:spacing w:after="40"/>
      </w:pPr>
      <w:r>
        <w:t>Resultados obsoletos o incompletos.</w:t>
      </w:r>
    </w:p>
    <w:p>
      <w:pPr>
        <w:pStyle w:val="ListBullet"/>
        <w:spacing w:after="40"/>
      </w:pPr>
      <w:r>
        <w:t>Verificación fallida u omitida.</w:t>
      </w:r>
    </w:p>
    <w:p>
      <w:pPr>
        <w:pStyle w:val="ListBullet"/>
        <w:spacing w:after="40"/>
      </w:pPr>
      <w:r>
        <w:t>Norma o material sin versión aprobada.</w:t>
      </w:r>
    </w:p>
    <w:p>
      <w:pPr>
        <w:pStyle w:val="ListBullet"/>
        <w:spacing w:after="40"/>
      </w:pPr>
      <w:r>
        <w:t>Geometría CAD distinta de la calculada.</w:t>
      </w:r>
    </w:p>
    <w:p>
      <w:pPr>
        <w:pStyle w:val="ListBullet"/>
        <w:spacing w:after="40"/>
      </w:pPr>
      <w:r>
        <w:t>BOM, pernos, puerta o unión inconsistentes.</w:t>
      </w:r>
    </w:p>
    <w:p>
      <w:pPr>
        <w:pStyle w:val="ListBullet"/>
        <w:spacing w:after="40"/>
      </w:pPr>
      <w:r>
        <w:t>Documento con cifras editadas manualmente.</w:t>
      </w:r>
    </w:p>
    <w:p>
      <w:pPr>
        <w:pStyle w:val="ListBullet"/>
        <w:spacing w:after="40"/>
      </w:pPr>
      <w:r>
        <w:t>Aprobación insuficiente para la madurez solicitada.</w:t>
      </w:r>
    </w:p>
    <w:p>
      <w:pPr>
        <w:pStyle w:val="ListBullet"/>
        <w:spacing w:after="40"/>
      </w:pPr>
      <w:r>
        <w:t>Plantilla no autorizada para mercado o cliente.</w:t>
      </w:r>
    </w:p>
    <w:p>
      <w:pPr>
        <w:pStyle w:val="ListBullet"/>
        <w:spacing w:after="40"/>
      </w:pPr>
      <w:r>
        <w:t>Datos críticos pendientes o con conflicto no resuelto.</w:t>
      </w:r>
    </w:p>
    <w:p>
      <w:pPr>
        <w:pStyle w:val="ListBullet"/>
        <w:spacing w:after="40"/>
      </w:pPr>
      <w:r>
        <w:t>Firma o hash inválido.</w:t>
      </w:r>
    </w:p>
    <w:p>
      <w:pPr>
        <w:pStyle w:val="ListBullet"/>
        <w:spacing w:after="40"/>
      </w:pPr>
      <w:r>
        <w:t>Uso de método fuera de dominio sin excepción aprobada.</w:t>
      </w:r>
    </w:p>
    <w:p>
      <w:pPr>
        <w:pStyle w:val="Heading2"/>
        <w:keepNext/>
      </w:pPr>
      <w:r>
        <w:t>13.2 Validaciones graves y advertencias</w:t>
      </w:r>
    </w:p>
    <w:p>
      <w:pPr>
        <w:pStyle w:val="ListBullet"/>
        <w:spacing w:after="40"/>
      </w:pPr>
      <w:r>
        <w:t>Utilización próxima al límite.</w:t>
      </w:r>
    </w:p>
    <w:p>
      <w:pPr>
        <w:pStyle w:val="ListBullet"/>
        <w:spacing w:after="40"/>
      </w:pPr>
      <w:r>
        <w:t>Suelo de baja confianza.</w:t>
      </w:r>
    </w:p>
    <w:p>
      <w:pPr>
        <w:pStyle w:val="ListBullet"/>
        <w:spacing w:after="40"/>
      </w:pPr>
      <w:r>
        <w:t>Precio o factor CO₂ antiguo.</w:t>
      </w:r>
    </w:p>
    <w:p>
      <w:pPr>
        <w:pStyle w:val="ListBullet"/>
        <w:spacing w:after="40"/>
      </w:pPr>
      <w:r>
        <w:t>Ensayo de familia próximo a caducar.</w:t>
      </w:r>
    </w:p>
    <w:p>
      <w:pPr>
        <w:pStyle w:val="ListBullet"/>
        <w:spacing w:after="40"/>
      </w:pPr>
      <w:r>
        <w:t>Traducción no revisada.</w:t>
      </w:r>
    </w:p>
    <w:p>
      <w:pPr>
        <w:pStyle w:val="ListBullet"/>
        <w:spacing w:after="40"/>
      </w:pPr>
      <w:r>
        <w:t>Documento compartido fuera de canal autorizado.</w:t>
      </w:r>
    </w:p>
    <w:p>
      <w:pPr>
        <w:pStyle w:val="ListBullet"/>
        <w:spacing w:after="40"/>
      </w:pPr>
      <w:r>
        <w:t>Cambio menor pendiente de confirmación.</w:t>
      </w:r>
    </w:p>
    <w:p>
      <w:pPr>
        <w:pStyle w:val="ListBullet"/>
        <w:spacing w:after="40"/>
      </w:pPr>
      <w:r>
        <w:t>Inconsistencia de redondeo o unidades.</w:t>
      </w:r>
    </w:p>
    <w:p>
      <w:pPr>
        <w:pStyle w:val="Heading2"/>
        <w:keepNext/>
      </w:pPr>
      <w:r>
        <w:t>13.3 Matriz de coherencia</w:t>
      </w:r>
    </w:p>
    <w:tbl>
      <w:tblPr>
        <w:tblStyle w:val="TableGrid"/>
        <w:tblW w:type="auto" w:w="0"/>
        <w:jc w:val="center"/>
        <w:tblLook w:firstColumn="1" w:firstRow="1" w:lastColumn="0" w:lastRow="0" w:noHBand="0" w:noVBand="1" w:val="04A0"/>
      </w:tblPr>
      <w:tblGrid>
        <w:gridCol w:w="3389"/>
        <w:gridCol w:w="3389"/>
        <w:gridCol w:w="3389"/>
      </w:tblGrid>
      <w:tr>
        <w:tc>
          <w:tcPr>
            <w:tcW w:type="dxa" w:w="2268"/>
            <w:vAlign w:val="center"/>
            <w:shd w:fill="111111"/>
          </w:tcPr>
          <w:p>
            <w:r>
              <w:t>Objeto A</w:t>
            </w:r>
          </w:p>
        </w:tc>
        <w:tc>
          <w:tcPr>
            <w:tcW w:type="dxa" w:w="2268"/>
            <w:vAlign w:val="center"/>
            <w:shd w:fill="111111"/>
          </w:tcPr>
          <w:p>
            <w:r>
              <w:t>Objeto B</w:t>
            </w:r>
          </w:p>
        </w:tc>
        <w:tc>
          <w:tcPr>
            <w:tcW w:type="dxa" w:w="4535"/>
            <w:vAlign w:val="center"/>
            <w:shd w:fill="111111"/>
          </w:tcPr>
          <w:p>
            <w:r>
              <w:t>Comprobación</w:t>
            </w:r>
          </w:p>
        </w:tc>
      </w:tr>
      <w:tr>
        <w:tc>
          <w:tcPr>
            <w:tcW w:type="dxa" w:w="2268"/>
            <w:vAlign w:val="center"/>
          </w:tcPr>
          <w:p>
            <w:r>
              <w:t>Cálculo</w:t>
            </w:r>
          </w:p>
        </w:tc>
        <w:tc>
          <w:tcPr>
            <w:tcW w:type="dxa" w:w="2268"/>
            <w:vAlign w:val="center"/>
          </w:tcPr>
          <w:p>
            <w:r>
              <w:t>CAD</w:t>
            </w:r>
          </w:p>
        </w:tc>
        <w:tc>
          <w:tcPr>
            <w:tcW w:type="dxa" w:w="4535"/>
            <w:vAlign w:val="center"/>
          </w:tcPr>
          <w:p>
            <w:r>
              <w:t>Altura, secciones, espesores, puerta, uniones y base.</w:t>
            </w:r>
          </w:p>
        </w:tc>
      </w:tr>
      <w:tr>
        <w:tc>
          <w:tcPr>
            <w:tcW w:type="dxa" w:w="2268"/>
            <w:vAlign w:val="center"/>
            <w:shd w:fill="F7F7F7"/>
          </w:tcPr>
          <w:p>
            <w:r>
              <w:t>CAD</w:t>
            </w:r>
          </w:p>
        </w:tc>
        <w:tc>
          <w:tcPr>
            <w:tcW w:type="dxa" w:w="2268"/>
            <w:vAlign w:val="center"/>
            <w:shd w:fill="F7F7F7"/>
          </w:tcPr>
          <w:p>
            <w:r>
              <w:t>BOM</w:t>
            </w:r>
          </w:p>
        </w:tc>
        <w:tc>
          <w:tcPr>
            <w:tcW w:type="dxa" w:w="4535"/>
            <w:vAlign w:val="center"/>
            <w:shd w:fill="F7F7F7"/>
          </w:tcPr>
          <w:p>
            <w:r>
              <w:t>Piezas, cantidades, masas, materiales y revisiones.</w:t>
            </w:r>
          </w:p>
        </w:tc>
      </w:tr>
      <w:tr>
        <w:tc>
          <w:tcPr>
            <w:tcW w:type="dxa" w:w="2268"/>
            <w:vAlign w:val="center"/>
          </w:tcPr>
          <w:p>
            <w:r>
              <w:t>BOM</w:t>
            </w:r>
          </w:p>
        </w:tc>
        <w:tc>
          <w:tcPr>
            <w:tcW w:type="dxa" w:w="2268"/>
            <w:vAlign w:val="center"/>
          </w:tcPr>
          <w:p>
            <w:r>
              <w:t>Coste</w:t>
            </w:r>
          </w:p>
        </w:tc>
        <w:tc>
          <w:tcPr>
            <w:tcW w:type="dxa" w:w="4535"/>
            <w:vAlign w:val="center"/>
          </w:tcPr>
          <w:p>
            <w:r>
              <w:t>Cantidad, unidad, precio, fecha y moneda.</w:t>
            </w:r>
          </w:p>
        </w:tc>
      </w:tr>
      <w:tr>
        <w:tc>
          <w:tcPr>
            <w:tcW w:type="dxa" w:w="2268"/>
            <w:vAlign w:val="center"/>
            <w:shd w:fill="F7F7F7"/>
          </w:tcPr>
          <w:p>
            <w:r>
              <w:t>Plano</w:t>
            </w:r>
          </w:p>
        </w:tc>
        <w:tc>
          <w:tcPr>
            <w:tcW w:type="dxa" w:w="2268"/>
            <w:vAlign w:val="center"/>
            <w:shd w:fill="F7F7F7"/>
          </w:tcPr>
          <w:p>
            <w:r>
              <w:t>CAD</w:t>
            </w:r>
          </w:p>
        </w:tc>
        <w:tc>
          <w:tcPr>
            <w:tcW w:type="dxa" w:w="4535"/>
            <w:vAlign w:val="center"/>
            <w:shd w:fill="F7F7F7"/>
          </w:tcPr>
          <w:p>
            <w:r>
              <w:t>Cotas, agujeros, orientación, tolerancias y revisiones.</w:t>
            </w:r>
          </w:p>
        </w:tc>
      </w:tr>
      <w:tr>
        <w:tc>
          <w:tcPr>
            <w:tcW w:type="dxa" w:w="2268"/>
            <w:vAlign w:val="center"/>
          </w:tcPr>
          <w:p>
            <w:r>
              <w:t>Cálculo</w:t>
            </w:r>
          </w:p>
        </w:tc>
        <w:tc>
          <w:tcPr>
            <w:tcW w:type="dxa" w:w="2268"/>
            <w:vAlign w:val="center"/>
          </w:tcPr>
          <w:p>
            <w:r>
              <w:t>Informe</w:t>
            </w:r>
          </w:p>
        </w:tc>
        <w:tc>
          <w:tcPr>
            <w:tcW w:type="dxa" w:w="4535"/>
            <w:vAlign w:val="center"/>
          </w:tcPr>
          <w:p>
            <w:r>
              <w:t>Entradas, resultados, casos y utilizaciones.</w:t>
            </w:r>
          </w:p>
        </w:tc>
      </w:tr>
      <w:tr>
        <w:tc>
          <w:tcPr>
            <w:tcW w:type="dxa" w:w="2268"/>
            <w:vAlign w:val="center"/>
            <w:shd w:fill="F7F7F7"/>
          </w:tcPr>
          <w:p>
            <w:r>
              <w:t>Base</w:t>
            </w:r>
          </w:p>
        </w:tc>
        <w:tc>
          <w:tcPr>
            <w:tcW w:type="dxa" w:w="2268"/>
            <w:vAlign w:val="center"/>
            <w:shd w:fill="F7F7F7"/>
          </w:tcPr>
          <w:p>
            <w:r>
              <w:t>Cimentación</w:t>
            </w:r>
          </w:p>
        </w:tc>
        <w:tc>
          <w:tcPr>
            <w:tcW w:type="dxa" w:w="4535"/>
            <w:vAlign w:val="center"/>
            <w:shd w:fill="F7F7F7"/>
          </w:tcPr>
          <w:p>
            <w:r>
              <w:t>Patrón, pernos, acciones, pedestal y tolerancias.</w:t>
            </w:r>
          </w:p>
        </w:tc>
      </w:tr>
      <w:tr>
        <w:tc>
          <w:tcPr>
            <w:tcW w:type="dxa" w:w="2268"/>
            <w:vAlign w:val="center"/>
          </w:tcPr>
          <w:p>
            <w:r>
              <w:t>Producto</w:t>
            </w:r>
          </w:p>
        </w:tc>
        <w:tc>
          <w:tcPr>
            <w:tcW w:type="dxa" w:w="2268"/>
            <w:vAlign w:val="center"/>
          </w:tcPr>
          <w:p>
            <w:r>
              <w:t>Catálogo</w:t>
            </w:r>
          </w:p>
        </w:tc>
        <w:tc>
          <w:tcPr>
            <w:tcW w:type="dxa" w:w="4535"/>
            <w:vAlign w:val="center"/>
          </w:tcPr>
          <w:p>
            <w:r>
              <w:t>Referencia, variante, dominio y estado de homologación.</w:t>
            </w:r>
          </w:p>
        </w:tc>
      </w:tr>
      <w:tr>
        <w:tc>
          <w:tcPr>
            <w:tcW w:type="dxa" w:w="2268"/>
            <w:vAlign w:val="center"/>
            <w:shd w:fill="F7F7F7"/>
          </w:tcPr>
          <w:p>
            <w:r>
              <w:t>Release</w:t>
            </w:r>
          </w:p>
        </w:tc>
        <w:tc>
          <w:tcPr>
            <w:tcW w:type="dxa" w:w="2268"/>
            <w:vAlign w:val="center"/>
            <w:shd w:fill="F7F7F7"/>
          </w:tcPr>
          <w:p>
            <w:r>
              <w:t>Aprobaciones</w:t>
            </w:r>
          </w:p>
        </w:tc>
        <w:tc>
          <w:tcPr>
            <w:tcW w:type="dxa" w:w="4535"/>
            <w:vAlign w:val="center"/>
            <w:shd w:fill="F7F7F7"/>
          </w:tcPr>
          <w:p>
            <w:r>
              <w:t>Roles, alcance, fecha y gate.</w:t>
            </w:r>
          </w:p>
        </w:tc>
      </w:tr>
    </w:tbl>
    <w:p>
      <w:pPr>
        <w:spacing w:after="0"/>
      </w:pPr>
    </w:p>
    <w:p>
      <w:pPr>
        <w:pStyle w:val="Heading1"/>
        <w:keepNext/>
      </w:pPr>
      <w:r>
        <w:t>14. Revisión humana y workflow de aprobación</w:t>
      </w:r>
    </w:p>
    <w:p>
      <w:pPr>
        <w:pStyle w:val="Heading2"/>
        <w:keepNext/>
      </w:pPr>
      <w:r>
        <w:t>14.1 Ciclo de revisión</w:t>
      </w:r>
    </w:p>
    <w:p>
      <w:pPr>
        <w:pStyle w:val="ListNumber"/>
        <w:spacing w:after="40"/>
      </w:pPr>
      <w:r>
        <w:t>Generación del borrador desde snapshot.</w:t>
      </w:r>
    </w:p>
    <w:p>
      <w:pPr>
        <w:pStyle w:val="ListNumber"/>
        <w:spacing w:after="40"/>
      </w:pPr>
      <w:r>
        <w:t>Validación automática.</w:t>
      </w:r>
    </w:p>
    <w:p>
      <w:pPr>
        <w:pStyle w:val="ListNumber"/>
        <w:spacing w:after="40"/>
      </w:pPr>
      <w:r>
        <w:t>Asignación de revisores por reglas.</w:t>
      </w:r>
    </w:p>
    <w:p>
      <w:pPr>
        <w:pStyle w:val="ListNumber"/>
        <w:spacing w:after="40"/>
      </w:pPr>
      <w:r>
        <w:t>Revisión con comentarios anclados a sección o dato.</w:t>
      </w:r>
    </w:p>
    <w:p>
      <w:pPr>
        <w:pStyle w:val="ListNumber"/>
        <w:spacing w:after="40"/>
      </w:pPr>
      <w:r>
        <w:t>Resolución, rechazo o aceptación de cada observación.</w:t>
      </w:r>
    </w:p>
    <w:p>
      <w:pPr>
        <w:pStyle w:val="ListNumber"/>
        <w:spacing w:after="40"/>
      </w:pPr>
      <w:r>
        <w:t>Regeneración controlada si cambia contenido.</w:t>
      </w:r>
    </w:p>
    <w:p>
      <w:pPr>
        <w:pStyle w:val="ListNumber"/>
        <w:spacing w:after="40"/>
      </w:pPr>
      <w:r>
        <w:t>Aprobación por rol competente.</w:t>
      </w:r>
    </w:p>
    <w:p>
      <w:pPr>
        <w:pStyle w:val="ListNumber"/>
        <w:spacing w:after="40"/>
      </w:pPr>
      <w:r>
        <w:t>Liberación y distribución.</w:t>
      </w:r>
    </w:p>
    <w:p>
      <w:pPr>
        <w:pStyle w:val="ListNumber"/>
        <w:spacing w:after="40"/>
      </w:pPr>
      <w:r>
        <w:t>Archivo y monitorización de vigencia.</w:t>
      </w:r>
    </w:p>
    <w:p>
      <w:pPr>
        <w:pStyle w:val="Heading2"/>
        <w:keepNext/>
      </w:pPr>
      <w:r>
        <w:t>14.2 Tipos de decisión</w:t>
      </w:r>
    </w:p>
    <w:tbl>
      <w:tblPr>
        <w:tblStyle w:val="TableGrid"/>
        <w:tblW w:type="auto" w:w="0"/>
        <w:jc w:val="center"/>
        <w:tblLook w:firstColumn="1" w:firstRow="1" w:lastColumn="0" w:lastRow="0" w:noHBand="0" w:noVBand="1" w:val="04A0"/>
      </w:tblPr>
      <w:tblGrid>
        <w:gridCol w:w="5083"/>
        <w:gridCol w:w="5083"/>
      </w:tblGrid>
      <w:tr>
        <w:tc>
          <w:tcPr>
            <w:tcW w:type="dxa" w:w="2268"/>
            <w:vAlign w:val="center"/>
            <w:shd w:fill="111111"/>
          </w:tcPr>
          <w:p>
            <w:r>
              <w:t>Decisión</w:t>
            </w:r>
          </w:p>
        </w:tc>
        <w:tc>
          <w:tcPr>
            <w:tcW w:type="dxa" w:w="6803"/>
            <w:vAlign w:val="center"/>
            <w:shd w:fill="111111"/>
          </w:tcPr>
          <w:p>
            <w:r>
              <w:t>Efecto</w:t>
            </w:r>
          </w:p>
        </w:tc>
      </w:tr>
      <w:tr>
        <w:tc>
          <w:tcPr>
            <w:tcW w:type="dxa" w:w="2268"/>
            <w:vAlign w:val="center"/>
          </w:tcPr>
          <w:p>
            <w:r>
              <w:t>Aprobar</w:t>
            </w:r>
          </w:p>
        </w:tc>
        <w:tc>
          <w:tcPr>
            <w:tcW w:type="dxa" w:w="6803"/>
            <w:vAlign w:val="center"/>
          </w:tcPr>
          <w:p>
            <w:r>
              <w:t>Permite avanzar al siguiente gate.</w:t>
            </w:r>
          </w:p>
        </w:tc>
      </w:tr>
      <w:tr>
        <w:tc>
          <w:tcPr>
            <w:tcW w:type="dxa" w:w="2268"/>
            <w:vAlign w:val="center"/>
            <w:shd w:fill="F7F7F7"/>
          </w:tcPr>
          <w:p>
            <w:r>
              <w:t>Aprobar con observaciones</w:t>
            </w:r>
          </w:p>
        </w:tc>
        <w:tc>
          <w:tcPr>
            <w:tcW w:type="dxa" w:w="6803"/>
            <w:vAlign w:val="center"/>
            <w:shd w:fill="F7F7F7"/>
          </w:tcPr>
          <w:p>
            <w:r>
              <w:t>Solo para observaciones no bloqueantes y con aceptación explícita.</w:t>
            </w:r>
          </w:p>
        </w:tc>
      </w:tr>
      <w:tr>
        <w:tc>
          <w:tcPr>
            <w:tcW w:type="dxa" w:w="2268"/>
            <w:vAlign w:val="center"/>
          </w:tcPr>
          <w:p>
            <w:r>
              <w:t>Rechazar</w:t>
            </w:r>
          </w:p>
        </w:tc>
        <w:tc>
          <w:tcPr>
            <w:tcW w:type="dxa" w:w="6803"/>
            <w:vAlign w:val="center"/>
          </w:tcPr>
          <w:p>
            <w:r>
              <w:t>Devuelve al autor con motivos obligatorios.</w:t>
            </w:r>
          </w:p>
        </w:tc>
      </w:tr>
      <w:tr>
        <w:tc>
          <w:tcPr>
            <w:tcW w:type="dxa" w:w="2268"/>
            <w:vAlign w:val="center"/>
            <w:shd w:fill="F7F7F7"/>
          </w:tcPr>
          <w:p>
            <w:r>
              <w:t>Solicitar información</w:t>
            </w:r>
          </w:p>
        </w:tc>
        <w:tc>
          <w:tcPr>
            <w:tcW w:type="dxa" w:w="6803"/>
            <w:vAlign w:val="center"/>
            <w:shd w:fill="F7F7F7"/>
          </w:tcPr>
          <w:p>
            <w:r>
              <w:t>Suspende el workflow sin invalidar el expediente.</w:t>
            </w:r>
          </w:p>
        </w:tc>
      </w:tr>
      <w:tr>
        <w:tc>
          <w:tcPr>
            <w:tcW w:type="dxa" w:w="2268"/>
            <w:vAlign w:val="center"/>
          </w:tcPr>
          <w:p>
            <w:r>
              <w:t>Aprobar excepción</w:t>
            </w:r>
          </w:p>
        </w:tc>
        <w:tc>
          <w:tcPr>
            <w:tcW w:type="dxa" w:w="6803"/>
            <w:vAlign w:val="center"/>
          </w:tcPr>
          <w:p>
            <w:r>
              <w:t>Requiere autoridad definida, justificación, alcance y caducidad.</w:t>
            </w:r>
          </w:p>
        </w:tc>
      </w:tr>
      <w:tr>
        <w:tc>
          <w:tcPr>
            <w:tcW w:type="dxa" w:w="2268"/>
            <w:vAlign w:val="center"/>
            <w:shd w:fill="F7F7F7"/>
          </w:tcPr>
          <w:p>
            <w:r>
              <w:t>Revocar</w:t>
            </w:r>
          </w:p>
        </w:tc>
        <w:tc>
          <w:tcPr>
            <w:tcW w:type="dxa" w:w="6803"/>
            <w:vAlign w:val="center"/>
            <w:shd w:fill="F7F7F7"/>
          </w:tcPr>
          <w:p>
            <w:r>
              <w:t>Impide nuevas distribuciones y marca copias como sustituidas.</w:t>
            </w:r>
          </w:p>
        </w:tc>
      </w:tr>
    </w:tbl>
    <w:p>
      <w:pPr>
        <w:spacing w:after="0"/>
      </w:pPr>
    </w:p>
    <w:p>
      <w:pPr>
        <w:pStyle w:val="Heading2"/>
        <w:keepNext/>
      </w:pPr>
      <w:r>
        <w:t>14.3 SLA y escalado</w:t>
      </w:r>
    </w:p>
    <w:p>
      <w:pPr>
        <w:spacing w:after="100" w:line="252" w:lineRule="auto"/>
      </w:pPr>
      <w:r>
        <w:t>Cada revisión podrá tener plazo, prioridad y escalado. Los retrasos no implicarán aprobación automática. La aplicación notificará vencimientos y dependencias sin comprometer la independencia del revisor.</w:t>
      </w:r>
    </w:p>
    <w:p>
      <w:pPr>
        <w:pStyle w:val="Heading1"/>
        <w:keepNext/>
      </w:pPr>
      <w:r>
        <w:t>15. Firma, sellado, hash y autenticidad</w:t>
      </w:r>
    </w:p>
    <w:p>
      <w:pPr>
        <w:pStyle w:val="ListBullet"/>
        <w:spacing w:after="40"/>
      </w:pPr>
      <w:r>
        <w:t>Hash SHA-256 de cada artefacto y del manifiesto.</w:t>
      </w:r>
    </w:p>
    <w:p>
      <w:pPr>
        <w:pStyle w:val="ListBullet"/>
        <w:spacing w:after="40"/>
      </w:pPr>
      <w:r>
        <w:t>Código QR o URL verificable que muestre estado, revisión y autenticidad.</w:t>
      </w:r>
    </w:p>
    <w:p>
      <w:pPr>
        <w:pStyle w:val="ListBullet"/>
        <w:spacing w:after="40"/>
      </w:pPr>
      <w:r>
        <w:t>Sello de tiempo cuando esté disponible.</w:t>
      </w:r>
    </w:p>
    <w:p>
      <w:pPr>
        <w:pStyle w:val="ListBullet"/>
        <w:spacing w:after="40"/>
      </w:pPr>
      <w:r>
        <w:t>Firma electrónica corporativa o personal en fases posteriores.</w:t>
      </w:r>
    </w:p>
    <w:p>
      <w:pPr>
        <w:pStyle w:val="ListBullet"/>
        <w:spacing w:after="40"/>
      </w:pPr>
      <w:r>
        <w:t>Página de firmas con alcance exacto de cada aprobación.</w:t>
      </w:r>
    </w:p>
    <w:p>
      <w:pPr>
        <w:pStyle w:val="ListBullet"/>
        <w:spacing w:after="40"/>
      </w:pPr>
      <w:r>
        <w:t>Marca de agua visible para borrador, obsoleto o confidencial.</w:t>
      </w:r>
    </w:p>
    <w:p>
      <w:pPr>
        <w:pStyle w:val="ListBullet"/>
        <w:spacing w:after="40"/>
      </w:pPr>
      <w:r>
        <w:t>PDF/A para archivo de largo plazo.</w:t>
      </w:r>
    </w:p>
    <w:p>
      <w:pPr>
        <w:pStyle w:val="ListBullet"/>
        <w:spacing w:after="40"/>
      </w:pPr>
      <w:r>
        <w:t>Registro de cualquier descarga, envío o revocación relevante.</w:t>
      </w:r>
    </w:p>
    <w:p>
      <w:pPr>
        <w:pStyle w:val="Heading2"/>
        <w:keepNext/>
      </w:pPr>
      <w:r>
        <w:t>15.1 Verificación externa</w:t>
      </w:r>
    </w:p>
    <w:p>
      <w:pPr>
        <w:spacing w:after="100" w:line="252" w:lineRule="auto"/>
      </w:pPr>
      <w:r>
        <w:t>El receptor podrá comprobar que el documento no ha sido alterado y que sigue vigente. La página de verificación no expondrá información interna; mostrará únicamente metadatos autorizados.</w:t>
      </w:r>
    </w:p>
    <w:p>
      <w:pPr>
        <w:pStyle w:val="Heading1"/>
        <w:keepNext/>
      </w:pPr>
      <w:r>
        <w:t>16. Gestión de revisiones y cambios</w:t>
      </w:r>
    </w:p>
    <w:p>
      <w:pPr>
        <w:spacing w:after="100" w:line="252" w:lineRule="auto"/>
      </w:pPr>
      <w:r>
        <w:t>Cada nueva revisión debe explicar qué cambió, por qué, quién lo solicitó y qué artefactos resultaron afectados.</w:t>
      </w:r>
    </w:p>
    <w:p>
      <w:pPr>
        <w:pStyle w:val="Heading2"/>
        <w:keepNext/>
      </w:pPr>
      <w:r>
        <w:t>16.1 Clasificación de cambios</w:t>
      </w:r>
    </w:p>
    <w:tbl>
      <w:tblPr>
        <w:tblStyle w:val="TableGrid"/>
        <w:tblW w:type="auto" w:w="0"/>
        <w:jc w:val="center"/>
        <w:tblLook w:firstColumn="1" w:firstRow="1" w:lastColumn="0" w:lastRow="0" w:noHBand="0" w:noVBand="1" w:val="04A0"/>
      </w:tblPr>
      <w:tblGrid>
        <w:gridCol w:w="3389"/>
        <w:gridCol w:w="3389"/>
        <w:gridCol w:w="3389"/>
      </w:tblGrid>
      <w:tr>
        <w:tc>
          <w:tcPr>
            <w:tcW w:type="dxa" w:w="1701"/>
            <w:vAlign w:val="center"/>
            <w:shd w:fill="111111"/>
          </w:tcPr>
          <w:p>
            <w:r>
              <w:t>Tipo</w:t>
            </w:r>
          </w:p>
        </w:tc>
        <w:tc>
          <w:tcPr>
            <w:tcW w:type="dxa" w:w="3969"/>
            <w:vAlign w:val="center"/>
            <w:shd w:fill="111111"/>
          </w:tcPr>
          <w:p>
            <w:r>
              <w:t>Ejemplo</w:t>
            </w:r>
          </w:p>
        </w:tc>
        <w:tc>
          <w:tcPr>
            <w:tcW w:type="dxa" w:w="3402"/>
            <w:vAlign w:val="center"/>
            <w:shd w:fill="111111"/>
          </w:tcPr>
          <w:p>
            <w:r>
              <w:t>Reaprobación</w:t>
            </w:r>
          </w:p>
        </w:tc>
      </w:tr>
      <w:tr>
        <w:tc>
          <w:tcPr>
            <w:tcW w:type="dxa" w:w="1701"/>
            <w:vAlign w:val="center"/>
          </w:tcPr>
          <w:p>
            <w:r>
              <w:t>Editorial</w:t>
            </w:r>
          </w:p>
        </w:tc>
        <w:tc>
          <w:tcPr>
            <w:tcW w:type="dxa" w:w="3969"/>
            <w:vAlign w:val="center"/>
          </w:tcPr>
          <w:p>
            <w:r>
              <w:t>Ortografía o formato sin cambio semántico.</w:t>
            </w:r>
          </w:p>
        </w:tc>
        <w:tc>
          <w:tcPr>
            <w:tcW w:type="dxa" w:w="3402"/>
            <w:vAlign w:val="center"/>
          </w:tcPr>
          <w:p>
            <w:r>
              <w:t>Documental.</w:t>
            </w:r>
          </w:p>
        </w:tc>
      </w:tr>
      <w:tr>
        <w:tc>
          <w:tcPr>
            <w:tcW w:type="dxa" w:w="1701"/>
            <w:vAlign w:val="center"/>
            <w:shd w:fill="F7F7F7"/>
          </w:tcPr>
          <w:p>
            <w:r>
              <w:t>Lingüístico</w:t>
            </w:r>
          </w:p>
        </w:tc>
        <w:tc>
          <w:tcPr>
            <w:tcW w:type="dxa" w:w="3969"/>
            <w:vAlign w:val="center"/>
            <w:shd w:fill="F7F7F7"/>
          </w:tcPr>
          <w:p>
            <w:r>
              <w:t>Traducción equivalente.</w:t>
            </w:r>
          </w:p>
        </w:tc>
        <w:tc>
          <w:tcPr>
            <w:tcW w:type="dxa" w:w="3402"/>
            <w:vAlign w:val="center"/>
            <w:shd w:fill="F7F7F7"/>
          </w:tcPr>
          <w:p>
            <w:r>
              <w:t>Revisión lingüística.</w:t>
            </w:r>
          </w:p>
        </w:tc>
      </w:tr>
      <w:tr>
        <w:tc>
          <w:tcPr>
            <w:tcW w:type="dxa" w:w="1701"/>
            <w:vAlign w:val="center"/>
          </w:tcPr>
          <w:p>
            <w:r>
              <w:t>Técnico menor</w:t>
            </w:r>
          </w:p>
        </w:tc>
        <w:tc>
          <w:tcPr>
            <w:tcW w:type="dxa" w:w="3969"/>
            <w:vAlign w:val="center"/>
          </w:tcPr>
          <w:p>
            <w:r>
              <w:t>Cambio de acabado sin efecto estructural.</w:t>
            </w:r>
          </w:p>
        </w:tc>
        <w:tc>
          <w:tcPr>
            <w:tcW w:type="dxa" w:w="3402"/>
            <w:vAlign w:val="center"/>
          </w:tcPr>
          <w:p>
            <w:r>
              <w:t>Según impacto.</w:t>
            </w:r>
          </w:p>
        </w:tc>
      </w:tr>
      <w:tr>
        <w:tc>
          <w:tcPr>
            <w:tcW w:type="dxa" w:w="1701"/>
            <w:vAlign w:val="center"/>
            <w:shd w:fill="F7F7F7"/>
          </w:tcPr>
          <w:p>
            <w:r>
              <w:t>Técnico mayor</w:t>
            </w:r>
          </w:p>
        </w:tc>
        <w:tc>
          <w:tcPr>
            <w:tcW w:type="dxa" w:w="3969"/>
            <w:vAlign w:val="center"/>
            <w:shd w:fill="F7F7F7"/>
          </w:tcPr>
          <w:p>
            <w:r>
              <w:t>Geometría, material, carga, unión o cimentación.</w:t>
            </w:r>
          </w:p>
        </w:tc>
        <w:tc>
          <w:tcPr>
            <w:tcW w:type="dxa" w:w="3402"/>
            <w:vAlign w:val="center"/>
            <w:shd w:fill="F7F7F7"/>
          </w:tcPr>
          <w:p>
            <w:r>
              <w:t>Cálculo y OT completos.</w:t>
            </w:r>
          </w:p>
        </w:tc>
      </w:tr>
      <w:tr>
        <w:tc>
          <w:tcPr>
            <w:tcW w:type="dxa" w:w="1701"/>
            <w:vAlign w:val="center"/>
          </w:tcPr>
          <w:p>
            <w:r>
              <w:t>Industrial</w:t>
            </w:r>
          </w:p>
        </w:tc>
        <w:tc>
          <w:tcPr>
            <w:tcW w:type="dxa" w:w="3969"/>
            <w:vAlign w:val="center"/>
          </w:tcPr>
          <w:p>
            <w:r>
              <w:t>Ruta, proveedor o WPS.</w:t>
            </w:r>
          </w:p>
        </w:tc>
        <w:tc>
          <w:tcPr>
            <w:tcW w:type="dxa" w:w="3402"/>
            <w:vAlign w:val="center"/>
          </w:tcPr>
          <w:p>
            <w:r>
              <w:t>Producción/Calidad.</w:t>
            </w:r>
          </w:p>
        </w:tc>
      </w:tr>
      <w:tr>
        <w:tc>
          <w:tcPr>
            <w:tcW w:type="dxa" w:w="1701"/>
            <w:vAlign w:val="center"/>
            <w:shd w:fill="F7F7F7"/>
          </w:tcPr>
          <w:p>
            <w:r>
              <w:t>Regulatorio</w:t>
            </w:r>
          </w:p>
        </w:tc>
        <w:tc>
          <w:tcPr>
            <w:tcW w:type="dxa" w:w="3969"/>
            <w:vAlign w:val="center"/>
            <w:shd w:fill="F7F7F7"/>
          </w:tcPr>
          <w:p>
            <w:r>
              <w:t>Nueva norma o mercado.</w:t>
            </w:r>
          </w:p>
        </w:tc>
        <w:tc>
          <w:tcPr>
            <w:tcW w:type="dxa" w:w="3402"/>
            <w:vAlign w:val="center"/>
            <w:shd w:fill="F7F7F7"/>
          </w:tcPr>
          <w:p>
            <w:r>
              <w:t>OT/Calidad/Regulatorio.</w:t>
            </w:r>
          </w:p>
        </w:tc>
      </w:tr>
    </w:tbl>
    <w:p>
      <w:pPr>
        <w:spacing w:after="0"/>
      </w:pPr>
    </w:p>
    <w:p>
      <w:pPr>
        <w:pStyle w:val="Heading2"/>
        <w:keepNext/>
      </w:pPr>
      <w:r>
        <w:t>16.2 Comparador de revisiones</w:t>
      </w:r>
    </w:p>
    <w:p>
      <w:pPr>
        <w:spacing w:after="100" w:line="252" w:lineRule="auto"/>
      </w:pPr>
      <w:r>
        <w:t>La interfaz mostrará diferencias de entradas, resultados, utilizaciones, CAD, BOM, costes, CO₂, documentos, aprobaciones y clasificación. Los cambios de cifras críticas se resaltarán y no podrán ocultarse mediante cambios de formato.</w:t>
      </w:r>
    </w:p>
    <w:p>
      <w:pPr>
        <w:pStyle w:val="Heading1"/>
        <w:keepNext/>
      </w:pPr>
      <w:r>
        <w:t>17. Inteligencia artificial controlada</w:t>
      </w:r>
    </w:p>
    <w:p>
      <w:pPr>
        <w:pStyle w:val="Heading2"/>
        <w:keepNext/>
      </w:pPr>
      <w:r>
        <w:t>17.1 Usos permitidos</w:t>
      </w:r>
    </w:p>
    <w:p>
      <w:pPr>
        <w:pStyle w:val="ListBullet"/>
        <w:spacing w:after="40"/>
      </w:pPr>
      <w:r>
        <w:t>Redactar resúmenes a partir de datos estructurados.</w:t>
      </w:r>
    </w:p>
    <w:p>
      <w:pPr>
        <w:pStyle w:val="ListBullet"/>
        <w:spacing w:after="40"/>
      </w:pPr>
      <w:r>
        <w:t>Explicar resultados en lenguaje adecuado al destinatario.</w:t>
      </w:r>
    </w:p>
    <w:p>
      <w:pPr>
        <w:pStyle w:val="ListBullet"/>
        <w:spacing w:after="40"/>
      </w:pPr>
      <w:r>
        <w:t>Proponer un índice o una narrativa.</w:t>
      </w:r>
    </w:p>
    <w:p>
      <w:pPr>
        <w:pStyle w:val="ListBullet"/>
        <w:spacing w:after="40"/>
      </w:pPr>
      <w:r>
        <w:t>Traducir usando glosario y memoria aprobados.</w:t>
      </w:r>
    </w:p>
    <w:p>
      <w:pPr>
        <w:pStyle w:val="ListBullet"/>
        <w:spacing w:after="40"/>
      </w:pPr>
      <w:r>
        <w:t>Detectar contradicciones lingüísticas o referencias huérfanas.</w:t>
      </w:r>
    </w:p>
    <w:p>
      <w:pPr>
        <w:pStyle w:val="ListBullet"/>
        <w:spacing w:after="40"/>
      </w:pPr>
      <w:r>
        <w:t>Resumir cambios entre revisiones.</w:t>
      </w:r>
    </w:p>
    <w:p>
      <w:pPr>
        <w:pStyle w:val="ListBullet"/>
        <w:spacing w:after="40"/>
      </w:pPr>
      <w:r>
        <w:t>Clasificar comentarios y sugerir responsables.</w:t>
      </w:r>
    </w:p>
    <w:p>
      <w:pPr>
        <w:pStyle w:val="ListBullet"/>
        <w:spacing w:after="40"/>
      </w:pPr>
      <w:r>
        <w:t>Extraer datos de documentos heredados para revisión humana.</w:t>
      </w:r>
    </w:p>
    <w:p>
      <w:pPr>
        <w:pStyle w:val="Heading2"/>
        <w:keepNext/>
      </w:pPr>
      <w:r>
        <w:t>17.2 Usos prohibidos</w:t>
      </w:r>
    </w:p>
    <w:p>
      <w:pPr>
        <w:pStyle w:val="ListBullet"/>
        <w:spacing w:after="40"/>
      </w:pPr>
      <w:r>
        <w:t>Inventar valores, fórmulas, normas, tolerancias, materiales o resultados.</w:t>
      </w:r>
    </w:p>
    <w:p>
      <w:pPr>
        <w:pStyle w:val="ListBullet"/>
        <w:spacing w:after="40"/>
      </w:pPr>
      <w:r>
        <w:t>Cambiar una utilización o criterio de cumplimiento.</w:t>
      </w:r>
    </w:p>
    <w:p>
      <w:pPr>
        <w:pStyle w:val="ListBullet"/>
        <w:spacing w:after="40"/>
      </w:pPr>
      <w:r>
        <w:t>Ocultar warnings o limitaciones.</w:t>
      </w:r>
    </w:p>
    <w:p>
      <w:pPr>
        <w:pStyle w:val="ListBullet"/>
        <w:spacing w:after="40"/>
      </w:pPr>
      <w:r>
        <w:t>Aprobar o firmar en nombre de una persona.</w:t>
      </w:r>
    </w:p>
    <w:p>
      <w:pPr>
        <w:pStyle w:val="ListBullet"/>
        <w:spacing w:after="40"/>
      </w:pPr>
      <w:r>
        <w:t>Modificar el snapshot confirmado.</w:t>
      </w:r>
    </w:p>
    <w:p>
      <w:pPr>
        <w:pStyle w:val="ListBullet"/>
        <w:spacing w:after="40"/>
      </w:pPr>
      <w:r>
        <w:t>Generar una declaración regulatoria sin reglas aprobadas.</w:t>
      </w:r>
    </w:p>
    <w:p>
      <w:pPr>
        <w:pStyle w:val="ListBullet"/>
        <w:spacing w:after="40"/>
      </w:pPr>
      <w:r>
        <w:t>Usar información confidencial fuera del ámbito autorizado.</w:t>
      </w:r>
    </w:p>
    <w:p>
      <w:pPr>
        <w:pStyle w:val="Heading2"/>
        <w:keepNext/>
      </w:pPr>
      <w:r>
        <w:t>17.3 Trazabilidad de IA</w:t>
      </w:r>
    </w:p>
    <w:p>
      <w:pPr>
        <w:spacing w:after="100" w:line="252" w:lineRule="auto"/>
      </w:pPr>
      <w:r>
        <w:t>Todo texto generado por IA mantendrá prompt del sistema, fuentes estructuradas, versión de modelo, fecha, idioma, revisor y estado de aceptación. La parte técnica final se considerará aprobada solo tras revisión humana o validación determinista del bloque.</w:t>
      </w:r>
    </w:p>
    <w:p>
      <w:pPr>
        <w:pStyle w:val="Heading1"/>
        <w:keepNext/>
      </w:pPr>
      <w:r>
        <w:t>18. Multilingüismo, unidades y terminología</w:t>
      </w:r>
    </w:p>
    <w:p>
      <w:pPr>
        <w:spacing w:after="100" w:line="252" w:lineRule="auto"/>
      </w:pPr>
      <w:r>
        <w:t>Se soportarán ES, EN, FR, CA, IT y PT. El sistema utilizará glosario técnico controlado, memoria de traducción y reglas por mercado. Las traducciones no alterarán símbolos, identificadores, valores, ecuaciones ni referencias.</w:t>
      </w:r>
    </w:p>
    <w:tbl>
      <w:tblPr>
        <w:tblStyle w:val="TableGrid"/>
        <w:tblW w:type="auto" w:w="0"/>
        <w:jc w:val="center"/>
        <w:tblLook w:firstColumn="1" w:firstRow="1" w:lastColumn="0" w:lastRow="0" w:noHBand="0" w:noVBand="1" w:val="04A0"/>
      </w:tblPr>
      <w:tblGrid>
        <w:gridCol w:w="5083"/>
        <w:gridCol w:w="5083"/>
      </w:tblGrid>
      <w:tr>
        <w:tc>
          <w:tcPr>
            <w:tcW w:type="dxa" w:w="2268"/>
            <w:vAlign w:val="center"/>
            <w:shd w:fill="111111"/>
          </w:tcPr>
          <w:p>
            <w:r>
              <w:t>Elemento</w:t>
            </w:r>
          </w:p>
        </w:tc>
        <w:tc>
          <w:tcPr>
            <w:tcW w:type="dxa" w:w="6803"/>
            <w:vAlign w:val="center"/>
            <w:shd w:fill="111111"/>
          </w:tcPr>
          <w:p>
            <w:r>
              <w:t>Regla</w:t>
            </w:r>
          </w:p>
        </w:tc>
      </w:tr>
      <w:tr>
        <w:tc>
          <w:tcPr>
            <w:tcW w:type="dxa" w:w="2268"/>
            <w:vAlign w:val="center"/>
          </w:tcPr>
          <w:p>
            <w:r>
              <w:t>Unidades</w:t>
            </w:r>
          </w:p>
        </w:tc>
        <w:tc>
          <w:tcPr>
            <w:tcW w:type="dxa" w:w="6803"/>
            <w:vAlign w:val="center"/>
          </w:tcPr>
          <w:p>
            <w:r>
              <w:t>Sistema de proyecto; conversión trazable y consistente.</w:t>
            </w:r>
          </w:p>
        </w:tc>
      </w:tr>
      <w:tr>
        <w:tc>
          <w:tcPr>
            <w:tcW w:type="dxa" w:w="2268"/>
            <w:vAlign w:val="center"/>
            <w:shd w:fill="F7F7F7"/>
          </w:tcPr>
          <w:p>
            <w:r>
              <w:t>Decimales</w:t>
            </w:r>
          </w:p>
        </w:tc>
        <w:tc>
          <w:tcPr>
            <w:tcW w:type="dxa" w:w="6803"/>
            <w:vAlign w:val="center"/>
            <w:shd w:fill="F7F7F7"/>
          </w:tcPr>
          <w:p>
            <w:r>
              <w:t>Convención por idioma, sin modificar valor interno.</w:t>
            </w:r>
          </w:p>
        </w:tc>
      </w:tr>
      <w:tr>
        <w:tc>
          <w:tcPr>
            <w:tcW w:type="dxa" w:w="2268"/>
            <w:vAlign w:val="center"/>
          </w:tcPr>
          <w:p>
            <w:r>
              <w:t>Fechas</w:t>
            </w:r>
          </w:p>
        </w:tc>
        <w:tc>
          <w:tcPr>
            <w:tcW w:type="dxa" w:w="6803"/>
            <w:vAlign w:val="center"/>
          </w:tcPr>
          <w:p>
            <w:r>
              <w:t>Formato local y fecha ISO en metadatos.</w:t>
            </w:r>
          </w:p>
        </w:tc>
      </w:tr>
      <w:tr>
        <w:tc>
          <w:tcPr>
            <w:tcW w:type="dxa" w:w="2268"/>
            <w:vAlign w:val="center"/>
            <w:shd w:fill="F7F7F7"/>
          </w:tcPr>
          <w:p>
            <w:r>
              <w:t>Normas</w:t>
            </w:r>
          </w:p>
        </w:tc>
        <w:tc>
          <w:tcPr>
            <w:tcW w:type="dxa" w:w="6803"/>
            <w:vAlign w:val="center"/>
            <w:shd w:fill="F7F7F7"/>
          </w:tcPr>
          <w:p>
            <w:r>
              <w:t>Título oficial cuando esté disponible.</w:t>
            </w:r>
          </w:p>
        </w:tc>
      </w:tr>
      <w:tr>
        <w:tc>
          <w:tcPr>
            <w:tcW w:type="dxa" w:w="2268"/>
            <w:vAlign w:val="center"/>
          </w:tcPr>
          <w:p>
            <w:r>
              <w:t>Terminología</w:t>
            </w:r>
          </w:p>
        </w:tc>
        <w:tc>
          <w:tcPr>
            <w:tcW w:type="dxa" w:w="6803"/>
            <w:vAlign w:val="center"/>
          </w:tcPr>
          <w:p>
            <w:r>
              <w:t>Glosario Salvi con término preferido y prohibido.</w:t>
            </w:r>
          </w:p>
        </w:tc>
      </w:tr>
      <w:tr>
        <w:tc>
          <w:tcPr>
            <w:tcW w:type="dxa" w:w="2268"/>
            <w:vAlign w:val="center"/>
            <w:shd w:fill="F7F7F7"/>
          </w:tcPr>
          <w:p>
            <w:r>
              <w:t>Texto legal</w:t>
            </w:r>
          </w:p>
        </w:tc>
        <w:tc>
          <w:tcPr>
            <w:tcW w:type="dxa" w:w="6803"/>
            <w:vAlign w:val="center"/>
            <w:shd w:fill="F7F7F7"/>
          </w:tcPr>
          <w:p>
            <w:r>
              <w:t>Plantillas aprobadas por mercado.</w:t>
            </w:r>
          </w:p>
        </w:tc>
      </w:tr>
      <w:tr>
        <w:tc>
          <w:tcPr>
            <w:tcW w:type="dxa" w:w="2268"/>
            <w:vAlign w:val="center"/>
          </w:tcPr>
          <w:p>
            <w:r>
              <w:t>Nombres de piezas</w:t>
            </w:r>
          </w:p>
        </w:tc>
        <w:tc>
          <w:tcPr>
            <w:tcW w:type="dxa" w:w="6803"/>
            <w:vAlign w:val="center"/>
          </w:tcPr>
          <w:p>
            <w:r>
              <w:t>Código estable; descripción traducible.</w:t>
            </w:r>
          </w:p>
        </w:tc>
      </w:tr>
    </w:tbl>
    <w:p>
      <w:pPr>
        <w:spacing w:after="0"/>
      </w:pPr>
    </w:p>
    <w:p>
      <w:pPr>
        <w:pStyle w:val="Heading1"/>
        <w:keepNext/>
      </w:pPr>
      <w:r>
        <w:t>19. Privacidad, redacción y distribución</w:t>
      </w:r>
    </w:p>
    <w:p>
      <w:pPr>
        <w:pStyle w:val="Heading2"/>
        <w:keepNext/>
      </w:pPr>
      <w:r>
        <w:t>19.1 Clasificación</w:t>
      </w:r>
    </w:p>
    <w:tbl>
      <w:tblPr>
        <w:tblStyle w:val="TableGrid"/>
        <w:tblW w:type="auto" w:w="0"/>
        <w:jc w:val="center"/>
        <w:tblLook w:firstColumn="1" w:firstRow="1" w:lastColumn="0" w:lastRow="0" w:noHBand="0" w:noVBand="1" w:val="04A0"/>
      </w:tblPr>
      <w:tblGrid>
        <w:gridCol w:w="3389"/>
        <w:gridCol w:w="3389"/>
        <w:gridCol w:w="3389"/>
      </w:tblGrid>
      <w:tr>
        <w:tc>
          <w:tcPr>
            <w:tcW w:type="dxa" w:w="1984"/>
            <w:vAlign w:val="center"/>
            <w:shd w:fill="111111"/>
          </w:tcPr>
          <w:p>
            <w:r>
              <w:t>Clase</w:t>
            </w:r>
          </w:p>
        </w:tc>
        <w:tc>
          <w:tcPr>
            <w:tcW w:type="dxa" w:w="3402"/>
            <w:vAlign w:val="center"/>
            <w:shd w:fill="111111"/>
          </w:tcPr>
          <w:p>
            <w:r>
              <w:t>Ejemplos</w:t>
            </w:r>
          </w:p>
        </w:tc>
        <w:tc>
          <w:tcPr>
            <w:tcW w:type="dxa" w:w="3685"/>
            <w:vAlign w:val="center"/>
            <w:shd w:fill="111111"/>
          </w:tcPr>
          <w:p>
            <w:r>
              <w:t>Distribución</w:t>
            </w:r>
          </w:p>
        </w:tc>
      </w:tr>
      <w:tr>
        <w:tc>
          <w:tcPr>
            <w:tcW w:type="dxa" w:w="1984"/>
            <w:vAlign w:val="center"/>
          </w:tcPr>
          <w:p>
            <w:r>
              <w:t>Público</w:t>
            </w:r>
          </w:p>
        </w:tc>
        <w:tc>
          <w:tcPr>
            <w:tcW w:type="dxa" w:w="3402"/>
            <w:vAlign w:val="center"/>
          </w:tcPr>
          <w:p>
            <w:r>
              <w:t>Ficha resumida autorizada.</w:t>
            </w:r>
          </w:p>
        </w:tc>
        <w:tc>
          <w:tcPr>
            <w:tcW w:type="dxa" w:w="3685"/>
            <w:vAlign w:val="center"/>
          </w:tcPr>
          <w:p>
            <w:r>
              <w:t>Sin restricciones específicas.</w:t>
            </w:r>
          </w:p>
        </w:tc>
      </w:tr>
      <w:tr>
        <w:tc>
          <w:tcPr>
            <w:tcW w:type="dxa" w:w="1984"/>
            <w:vAlign w:val="center"/>
            <w:shd w:fill="F7F7F7"/>
          </w:tcPr>
          <w:p>
            <w:r>
              <w:t>Cliente</w:t>
            </w:r>
          </w:p>
        </w:tc>
        <w:tc>
          <w:tcPr>
            <w:tcW w:type="dxa" w:w="3402"/>
            <w:vAlign w:val="center"/>
            <w:shd w:fill="F7F7F7"/>
          </w:tcPr>
          <w:p>
            <w:r>
              <w:t>Informe y planos contractuales.</w:t>
            </w:r>
          </w:p>
        </w:tc>
        <w:tc>
          <w:tcPr>
            <w:tcW w:type="dxa" w:w="3685"/>
            <w:vAlign w:val="center"/>
            <w:shd w:fill="F7F7F7"/>
          </w:tcPr>
          <w:p>
            <w:r>
              <w:t>Destinatarios nominados.</w:t>
            </w:r>
          </w:p>
        </w:tc>
      </w:tr>
      <w:tr>
        <w:tc>
          <w:tcPr>
            <w:tcW w:type="dxa" w:w="1984"/>
            <w:vAlign w:val="center"/>
          </w:tcPr>
          <w:p>
            <w:r>
              <w:t>Interno</w:t>
            </w:r>
          </w:p>
        </w:tc>
        <w:tc>
          <w:tcPr>
            <w:tcW w:type="dxa" w:w="3402"/>
            <w:vAlign w:val="center"/>
          </w:tcPr>
          <w:p>
            <w:r>
              <w:t>Cálculo, comentarios y procedimientos.</w:t>
            </w:r>
          </w:p>
        </w:tc>
        <w:tc>
          <w:tcPr>
            <w:tcW w:type="dxa" w:w="3685"/>
            <w:vAlign w:val="center"/>
          </w:tcPr>
          <w:p>
            <w:r>
              <w:t>Salvi y socios autorizados.</w:t>
            </w:r>
          </w:p>
        </w:tc>
      </w:tr>
      <w:tr>
        <w:tc>
          <w:tcPr>
            <w:tcW w:type="dxa" w:w="1984"/>
            <w:vAlign w:val="center"/>
            <w:shd w:fill="F7F7F7"/>
          </w:tcPr>
          <w:p>
            <w:r>
              <w:t>Confidencial</w:t>
            </w:r>
          </w:p>
        </w:tc>
        <w:tc>
          <w:tcPr>
            <w:tcW w:type="dxa" w:w="3402"/>
            <w:vAlign w:val="center"/>
            <w:shd w:fill="F7F7F7"/>
          </w:tcPr>
          <w:p>
            <w:r>
              <w:t>Costes, márgenes, proveedores y know-how.</w:t>
            </w:r>
          </w:p>
        </w:tc>
        <w:tc>
          <w:tcPr>
            <w:tcW w:type="dxa" w:w="3685"/>
            <w:vAlign w:val="center"/>
            <w:shd w:fill="F7F7F7"/>
          </w:tcPr>
          <w:p>
            <w:r>
              <w:t>Acceso restringido y auditado.</w:t>
            </w:r>
          </w:p>
        </w:tc>
      </w:tr>
      <w:tr>
        <w:tc>
          <w:tcPr>
            <w:tcW w:type="dxa" w:w="1984"/>
            <w:vAlign w:val="center"/>
          </w:tcPr>
          <w:p>
            <w:r>
              <w:t>Secreto industrial</w:t>
            </w:r>
          </w:p>
        </w:tc>
        <w:tc>
          <w:tcPr>
            <w:tcW w:type="dxa" w:w="3402"/>
            <w:vAlign w:val="center"/>
          </w:tcPr>
          <w:p>
            <w:r>
              <w:t>Algoritmos, WPS, detalles propietarios.</w:t>
            </w:r>
          </w:p>
        </w:tc>
        <w:tc>
          <w:tcPr>
            <w:tcW w:type="dxa" w:w="3685"/>
            <w:vAlign w:val="center"/>
          </w:tcPr>
          <w:p>
            <w:r>
              <w:t>Mínimo privilegio; exportación bloqueada.</w:t>
            </w:r>
          </w:p>
        </w:tc>
      </w:tr>
    </w:tbl>
    <w:p>
      <w:pPr>
        <w:spacing w:after="0"/>
      </w:pPr>
    </w:p>
    <w:p>
      <w:pPr>
        <w:pStyle w:val="Heading2"/>
        <w:keepNext/>
      </w:pPr>
      <w:r>
        <w:t>19.2 Redacción automática</w:t>
      </w:r>
    </w:p>
    <w:p>
      <w:pPr>
        <w:spacing w:after="100" w:line="252" w:lineRule="auto"/>
      </w:pPr>
      <w:r>
        <w:t>Los paquetes externos eliminarán campos no autorizados mediante reglas estructuradas, no mediante borrado visual. El archivo resultante deberá verificarse para evitar metadatos, comentarios, capas o propiedades ocultas.</w:t>
      </w:r>
    </w:p>
    <w:p>
      <w:pPr>
        <w:pStyle w:val="Heading2"/>
        <w:keepNext/>
      </w:pPr>
      <w:r>
        <w:t>19.3 Caducidad y revocación</w:t>
      </w:r>
    </w:p>
    <w:p>
      <w:pPr>
        <w:spacing w:after="100" w:line="252" w:lineRule="auto"/>
      </w:pPr>
      <w:r>
        <w:t>Los enlaces podrán caducar. Una revisión revocada seguirá archivada, pero se bloqueará su distribución y la verificación externa indicará que ha sido sustituida.</w:t>
      </w:r>
    </w:p>
    <w:p>
      <w:pPr>
        <w:pStyle w:val="Heading1"/>
        <w:keepNext/>
      </w:pPr>
      <w:r>
        <w:t>20. Experiencia de usuario</w:t>
      </w:r>
    </w:p>
    <w:p>
      <w:pPr>
        <w:pStyle w:val="Heading2"/>
        <w:keepNext/>
      </w:pPr>
      <w:r>
        <w:t>20.1 Centro de liberación</w:t>
      </w:r>
    </w:p>
    <w:p>
      <w:pPr>
        <w:spacing w:after="100" w:line="252" w:lineRule="auto"/>
      </w:pPr>
      <w:r>
        <w:t>Pantalla única con estado del expediente, bloqueos, documentos, revisores, comentarios, aprobaciones y distribución. El usuario podrá entender en menos de un minuto qué falta para M1, M2, M3 o M4.</w:t>
      </w:r>
    </w:p>
    <w:p>
      <w:pPr>
        <w:pStyle w:val="Heading2"/>
        <w:keepNext/>
      </w:pPr>
      <w:r>
        <w:t>20.2 Asistente de paquete</w:t>
      </w:r>
    </w:p>
    <w:p>
      <w:pPr>
        <w:pStyle w:val="ListNumber"/>
        <w:spacing w:after="40"/>
      </w:pPr>
      <w:r>
        <w:t>Seleccionar destinatario y propósito.</w:t>
      </w:r>
    </w:p>
    <w:p>
      <w:pPr>
        <w:pStyle w:val="ListNumber"/>
        <w:spacing w:after="40"/>
      </w:pPr>
      <w:r>
        <w:t>Proponer paquete y nivel de detalle.</w:t>
      </w:r>
    </w:p>
    <w:p>
      <w:pPr>
        <w:pStyle w:val="ListNumber"/>
        <w:spacing w:after="40"/>
      </w:pPr>
      <w:r>
        <w:t>Mostrar datos incluidos y excluidos.</w:t>
      </w:r>
    </w:p>
    <w:p>
      <w:pPr>
        <w:pStyle w:val="ListNumber"/>
        <w:spacing w:after="40"/>
      </w:pPr>
      <w:r>
        <w:t>Ejecutar validaciones previas.</w:t>
      </w:r>
    </w:p>
    <w:p>
      <w:pPr>
        <w:pStyle w:val="ListNumber"/>
        <w:spacing w:after="40"/>
      </w:pPr>
      <w:r>
        <w:t>Previsualizar documentos.</w:t>
      </w:r>
    </w:p>
    <w:p>
      <w:pPr>
        <w:pStyle w:val="ListNumber"/>
        <w:spacing w:after="40"/>
      </w:pPr>
      <w:r>
        <w:t>Solicitar revisiones y aprobaciones.</w:t>
      </w:r>
    </w:p>
    <w:p>
      <w:pPr>
        <w:pStyle w:val="ListNumber"/>
        <w:spacing w:after="40"/>
      </w:pPr>
      <w:r>
        <w:t>Liberar y distribuir por canal autorizado.</w:t>
      </w:r>
    </w:p>
    <w:p>
      <w:pPr>
        <w:pStyle w:val="Heading2"/>
        <w:keepNext/>
      </w:pPr>
      <w:r>
        <w:t>20.3 Panel de bloqueos</w:t>
      </w:r>
    </w:p>
    <w:p>
      <w:pPr>
        <w:spacing w:after="100" w:line="252" w:lineRule="auto"/>
      </w:pPr>
      <w:r>
        <w:t>Cada bloqueo mostrará código, severidad, componente, evidencia, propietario y acción recomendada. Se permitirá navegar directamente al dato o fase que debe corregirse.</w:t>
      </w:r>
    </w:p>
    <w:p>
      <w:pPr>
        <w:pStyle w:val="Heading2"/>
        <w:keepNext/>
      </w:pPr>
      <w:r>
        <w:t>20.4 Accesibilidad</w:t>
      </w:r>
    </w:p>
    <w:p>
      <w:pPr>
        <w:pStyle w:val="ListBullet"/>
        <w:spacing w:after="40"/>
      </w:pPr>
      <w:r>
        <w:t>WCAG 2.2 AA como objetivo.</w:t>
      </w:r>
    </w:p>
    <w:p>
      <w:pPr>
        <w:pStyle w:val="ListBullet"/>
        <w:spacing w:after="40"/>
      </w:pPr>
      <w:r>
        <w:t>Tablas con cabeceras y lectura lógica.</w:t>
      </w:r>
    </w:p>
    <w:p>
      <w:pPr>
        <w:pStyle w:val="ListBullet"/>
        <w:spacing w:after="40"/>
      </w:pPr>
      <w:r>
        <w:t>No depender solo de color.</w:t>
      </w:r>
    </w:p>
    <w:p>
      <w:pPr>
        <w:pStyle w:val="ListBullet"/>
        <w:spacing w:after="40"/>
      </w:pPr>
      <w:r>
        <w:t>Textos alternativos para gráficos.</w:t>
      </w:r>
    </w:p>
    <w:p>
      <w:pPr>
        <w:pStyle w:val="ListBullet"/>
        <w:spacing w:after="40"/>
      </w:pPr>
      <w:r>
        <w:t>Navegación por teclado.</w:t>
      </w:r>
    </w:p>
    <w:p>
      <w:pPr>
        <w:pStyle w:val="ListBullet"/>
        <w:spacing w:after="40"/>
      </w:pPr>
      <w:r>
        <w:t>PDF etiquetado cuando el motor lo permita.</w:t>
      </w:r>
    </w:p>
    <w:p>
      <w:pPr>
        <w:pStyle w:val="Heading1"/>
        <w:keepNext/>
      </w:pPr>
      <w:r>
        <w:t>21. Modelo de datos</w:t>
      </w:r>
    </w:p>
    <w:tbl>
      <w:tblPr>
        <w:tblStyle w:val="TableGrid"/>
        <w:tblW w:type="auto" w:w="0"/>
        <w:jc w:val="center"/>
        <w:tblLook w:firstColumn="1" w:firstRow="1" w:lastColumn="0" w:lastRow="0" w:noHBand="0" w:noVBand="1" w:val="04A0"/>
      </w:tblPr>
      <w:tblGrid>
        <w:gridCol w:w="5083"/>
        <w:gridCol w:w="5083"/>
      </w:tblGrid>
      <w:tr>
        <w:tc>
          <w:tcPr>
            <w:tcW w:type="dxa" w:w="2268"/>
            <w:vAlign w:val="center"/>
            <w:shd w:fill="111111"/>
          </w:tcPr>
          <w:p>
            <w:r>
              <w:t>Entidad</w:t>
            </w:r>
          </w:p>
        </w:tc>
        <w:tc>
          <w:tcPr>
            <w:tcW w:type="dxa" w:w="6803"/>
            <w:vAlign w:val="center"/>
            <w:shd w:fill="111111"/>
          </w:tcPr>
          <w:p>
            <w:r>
              <w:t>Campos clave</w:t>
            </w:r>
          </w:p>
        </w:tc>
      </w:tr>
      <w:tr>
        <w:tc>
          <w:tcPr>
            <w:tcW w:type="dxa" w:w="2268"/>
            <w:vAlign w:val="center"/>
          </w:tcPr>
          <w:p>
            <w:r>
              <w:t>release_snapshot</w:t>
            </w:r>
          </w:p>
        </w:tc>
        <w:tc>
          <w:tcPr>
            <w:tcW w:type="dxa" w:w="6803"/>
            <w:vAlign w:val="center"/>
          </w:tcPr>
          <w:p>
            <w:r>
              <w:t>id, project_revision, product_hash, analysis_hash, library_set, status.</w:t>
            </w:r>
          </w:p>
        </w:tc>
      </w:tr>
      <w:tr>
        <w:tc>
          <w:tcPr>
            <w:tcW w:type="dxa" w:w="2268"/>
            <w:vAlign w:val="center"/>
            <w:shd w:fill="F7F7F7"/>
          </w:tcPr>
          <w:p>
            <w:r>
              <w:t>document_template</w:t>
            </w:r>
          </w:p>
        </w:tc>
        <w:tc>
          <w:tcPr>
            <w:tcW w:type="dxa" w:w="6803"/>
            <w:vAlign w:val="center"/>
            <w:shd w:fill="F7F7F7"/>
          </w:tcPr>
          <w:p>
            <w:r>
              <w:t>id, version, locale, market, purpose, approval_state.</w:t>
            </w:r>
          </w:p>
        </w:tc>
      </w:tr>
      <w:tr>
        <w:tc>
          <w:tcPr>
            <w:tcW w:type="dxa" w:w="2268"/>
            <w:vAlign w:val="center"/>
          </w:tcPr>
          <w:p>
            <w:r>
              <w:t>document_instance</w:t>
            </w:r>
          </w:p>
        </w:tc>
        <w:tc>
          <w:tcPr>
            <w:tcW w:type="dxa" w:w="6803"/>
            <w:vAlign w:val="center"/>
          </w:tcPr>
          <w:p>
            <w:r>
              <w:t>id, release_id, template_id, format, hash, state.</w:t>
            </w:r>
          </w:p>
        </w:tc>
      </w:tr>
      <w:tr>
        <w:tc>
          <w:tcPr>
            <w:tcW w:type="dxa" w:w="2268"/>
            <w:vAlign w:val="center"/>
            <w:shd w:fill="F7F7F7"/>
          </w:tcPr>
          <w:p>
            <w:r>
              <w:t>validation_run</w:t>
            </w:r>
          </w:p>
        </w:tc>
        <w:tc>
          <w:tcPr>
            <w:tcW w:type="dxa" w:w="6803"/>
            <w:vAlign w:val="center"/>
            <w:shd w:fill="F7F7F7"/>
          </w:tcPr>
          <w:p>
            <w:r>
              <w:t>id, release_id, rule_set, result, blockers, warnings.</w:t>
            </w:r>
          </w:p>
        </w:tc>
      </w:tr>
      <w:tr>
        <w:tc>
          <w:tcPr>
            <w:tcW w:type="dxa" w:w="2268"/>
            <w:vAlign w:val="center"/>
          </w:tcPr>
          <w:p>
            <w:r>
              <w:t>review_task</w:t>
            </w:r>
          </w:p>
        </w:tc>
        <w:tc>
          <w:tcPr>
            <w:tcW w:type="dxa" w:w="6803"/>
            <w:vAlign w:val="center"/>
          </w:tcPr>
          <w:p>
            <w:r>
              <w:t>id, assignee, role, due_date, state, scope.</w:t>
            </w:r>
          </w:p>
        </w:tc>
      </w:tr>
      <w:tr>
        <w:tc>
          <w:tcPr>
            <w:tcW w:type="dxa" w:w="2268"/>
            <w:vAlign w:val="center"/>
            <w:shd w:fill="F7F7F7"/>
          </w:tcPr>
          <w:p>
            <w:r>
              <w:t>review_comment</w:t>
            </w:r>
          </w:p>
        </w:tc>
        <w:tc>
          <w:tcPr>
            <w:tcW w:type="dxa" w:w="6803"/>
            <w:vAlign w:val="center"/>
            <w:shd w:fill="F7F7F7"/>
          </w:tcPr>
          <w:p>
            <w:r>
              <w:t>id, anchor, severity, text, resolution, author.</w:t>
            </w:r>
          </w:p>
        </w:tc>
      </w:tr>
      <w:tr>
        <w:tc>
          <w:tcPr>
            <w:tcW w:type="dxa" w:w="2268"/>
            <w:vAlign w:val="center"/>
          </w:tcPr>
          <w:p>
            <w:r>
              <w:t>approval_record</w:t>
            </w:r>
          </w:p>
        </w:tc>
        <w:tc>
          <w:tcPr>
            <w:tcW w:type="dxa" w:w="6803"/>
            <w:vAlign w:val="center"/>
          </w:tcPr>
          <w:p>
            <w:r>
              <w:t>id, role, decision, scope, signature, timestamp.</w:t>
            </w:r>
          </w:p>
        </w:tc>
      </w:tr>
      <w:tr>
        <w:tc>
          <w:tcPr>
            <w:tcW w:type="dxa" w:w="2268"/>
            <w:vAlign w:val="center"/>
            <w:shd w:fill="F7F7F7"/>
          </w:tcPr>
          <w:p>
            <w:r>
              <w:t>distribution_record</w:t>
            </w:r>
          </w:p>
        </w:tc>
        <w:tc>
          <w:tcPr>
            <w:tcW w:type="dxa" w:w="6803"/>
            <w:vAlign w:val="center"/>
            <w:shd w:fill="F7F7F7"/>
          </w:tcPr>
          <w:p>
            <w:r>
              <w:t>id, recipient, channel, expiry, revoked_at.</w:t>
            </w:r>
          </w:p>
        </w:tc>
      </w:tr>
      <w:tr>
        <w:tc>
          <w:tcPr>
            <w:tcW w:type="dxa" w:w="2268"/>
            <w:vAlign w:val="center"/>
          </w:tcPr>
          <w:p>
            <w:r>
              <w:t>change_set</w:t>
            </w:r>
          </w:p>
        </w:tc>
        <w:tc>
          <w:tcPr>
            <w:tcW w:type="dxa" w:w="6803"/>
            <w:vAlign w:val="center"/>
          </w:tcPr>
          <w:p>
            <w:r>
              <w:t>id, from_revision, to_revision, semantic_diff.</w:t>
            </w:r>
          </w:p>
        </w:tc>
      </w:tr>
      <w:tr>
        <w:tc>
          <w:tcPr>
            <w:tcW w:type="dxa" w:w="2268"/>
            <w:vAlign w:val="center"/>
            <w:shd w:fill="F7F7F7"/>
          </w:tcPr>
          <w:p>
            <w:r>
              <w:t>ai_generation_record</w:t>
            </w:r>
          </w:p>
        </w:tc>
        <w:tc>
          <w:tcPr>
            <w:tcW w:type="dxa" w:w="6803"/>
            <w:vAlign w:val="center"/>
            <w:shd w:fill="F7F7F7"/>
          </w:tcPr>
          <w:p>
            <w:r>
              <w:t>id, model, prompt_version, sources, output_hash, reviewer.</w:t>
            </w:r>
          </w:p>
        </w:tc>
      </w:tr>
    </w:tbl>
    <w:p>
      <w:pPr>
        <w:spacing w:after="0"/>
      </w:pPr>
    </w:p>
    <w:p>
      <w:pPr>
        <w:pStyle w:val="Heading2"/>
        <w:keepNext/>
      </w:pPr>
      <w:r>
        <w:t>21.1 Inmutabilidad</w:t>
      </w:r>
    </w:p>
    <w:p>
      <w:pPr>
        <w:spacing w:after="100" w:line="252" w:lineRule="auto"/>
      </w:pPr>
      <w:r>
        <w:t>Las entidades de liberación y aprobación serán append-only. Las correcciones generarán nuevas instancias y conservarán la relación de sustitución.</w:t>
      </w:r>
    </w:p>
    <w:p>
      <w:pPr>
        <w:pStyle w:val="Heading1"/>
        <w:keepNext/>
      </w:pPr>
      <w:r>
        <w:t>22. Backend, API y eventos</w:t>
      </w:r>
    </w:p>
    <w:p>
      <w:pPr>
        <w:pStyle w:val="Heading2"/>
        <w:keepNext/>
      </w:pPr>
      <w:r>
        <w:t>22.1 Servicios</w:t>
      </w:r>
    </w:p>
    <w:p>
      <w:pPr>
        <w:pStyle w:val="ListBullet"/>
        <w:spacing w:after="40"/>
      </w:pPr>
      <w:r>
        <w:t>Release Orchestrator</w:t>
      </w:r>
    </w:p>
    <w:p>
      <w:pPr>
        <w:pStyle w:val="ListBullet"/>
        <w:spacing w:after="40"/>
      </w:pPr>
      <w:r>
        <w:t>Document Composer</w:t>
      </w:r>
    </w:p>
    <w:p>
      <w:pPr>
        <w:pStyle w:val="ListBullet"/>
        <w:spacing w:after="40"/>
      </w:pPr>
      <w:r>
        <w:t>Validation Service</w:t>
      </w:r>
    </w:p>
    <w:p>
      <w:pPr>
        <w:pStyle w:val="ListBullet"/>
        <w:spacing w:after="40"/>
      </w:pPr>
      <w:r>
        <w:t>Review Workflow</w:t>
      </w:r>
    </w:p>
    <w:p>
      <w:pPr>
        <w:pStyle w:val="ListBullet"/>
        <w:spacing w:after="40"/>
      </w:pPr>
      <w:r>
        <w:t>Approval Service</w:t>
      </w:r>
    </w:p>
    <w:p>
      <w:pPr>
        <w:pStyle w:val="ListBullet"/>
        <w:spacing w:after="40"/>
      </w:pPr>
      <w:r>
        <w:t>Signature Service</w:t>
      </w:r>
    </w:p>
    <w:p>
      <w:pPr>
        <w:pStyle w:val="ListBullet"/>
        <w:spacing w:after="40"/>
      </w:pPr>
      <w:r>
        <w:t>Distribution Service</w:t>
      </w:r>
    </w:p>
    <w:p>
      <w:pPr>
        <w:pStyle w:val="ListBullet"/>
        <w:spacing w:after="40"/>
      </w:pPr>
      <w:r>
        <w:t>Archive/Search Service</w:t>
      </w:r>
    </w:p>
    <w:p>
      <w:pPr>
        <w:pStyle w:val="ListBullet"/>
        <w:spacing w:after="40"/>
      </w:pPr>
      <w:r>
        <w:t>AI Text Service</w:t>
      </w:r>
    </w:p>
    <w:p>
      <w:pPr>
        <w:pStyle w:val="ListBullet"/>
        <w:spacing w:after="40"/>
      </w:pPr>
      <w:r>
        <w:t>Audit Service</w:t>
      </w:r>
    </w:p>
    <w:p>
      <w:pPr>
        <w:pStyle w:val="Heading2"/>
        <w:keepNext/>
      </w:pPr>
      <w:r>
        <w:t>22.2 Endpoints mínimos</w:t>
      </w:r>
    </w:p>
    <w:tbl>
      <w:tblPr>
        <w:tblStyle w:val="TableGrid"/>
        <w:tblW w:type="auto" w:w="0"/>
        <w:jc w:val="center"/>
        <w:tblLook w:firstColumn="1" w:firstRow="1" w:lastColumn="0" w:lastRow="0" w:noHBand="0" w:noVBand="1" w:val="04A0"/>
      </w:tblPr>
      <w:tblGrid>
        <w:gridCol w:w="3389"/>
        <w:gridCol w:w="3389"/>
        <w:gridCol w:w="3389"/>
      </w:tblGrid>
      <w:tr>
        <w:tc>
          <w:tcPr>
            <w:tcW w:type="dxa" w:w="1247"/>
            <w:vAlign w:val="center"/>
            <w:shd w:fill="111111"/>
          </w:tcPr>
          <w:p>
            <w:r>
              <w:t>Método</w:t>
            </w:r>
          </w:p>
        </w:tc>
        <w:tc>
          <w:tcPr>
            <w:tcW w:type="dxa" w:w="3402"/>
            <w:vAlign w:val="center"/>
            <w:shd w:fill="111111"/>
          </w:tcPr>
          <w:p>
            <w:r>
              <w:t>Endpoint</w:t>
            </w:r>
          </w:p>
        </w:tc>
        <w:tc>
          <w:tcPr>
            <w:tcW w:type="dxa" w:w="4422"/>
            <w:vAlign w:val="center"/>
            <w:shd w:fill="111111"/>
          </w:tcPr>
          <w:p>
            <w:r>
              <w:t>Función</w:t>
            </w:r>
          </w:p>
        </w:tc>
      </w:tr>
      <w:tr>
        <w:tc>
          <w:tcPr>
            <w:tcW w:type="dxa" w:w="1247"/>
            <w:vAlign w:val="center"/>
          </w:tcPr>
          <w:p>
            <w:r>
              <w:t>POST</w:t>
            </w:r>
          </w:p>
        </w:tc>
        <w:tc>
          <w:tcPr>
            <w:tcW w:type="dxa" w:w="3402"/>
            <w:vAlign w:val="center"/>
          </w:tcPr>
          <w:p>
            <w:r>
              <w:t>/releases</w:t>
            </w:r>
          </w:p>
        </w:tc>
        <w:tc>
          <w:tcPr>
            <w:tcW w:type="dxa" w:w="4422"/>
            <w:vAlign w:val="center"/>
          </w:tcPr>
          <w:p>
            <w:r>
              <w:t>Crear borrador de liberación.</w:t>
            </w:r>
          </w:p>
        </w:tc>
      </w:tr>
      <w:tr>
        <w:tc>
          <w:tcPr>
            <w:tcW w:type="dxa" w:w="1247"/>
            <w:vAlign w:val="center"/>
            <w:shd w:fill="F7F7F7"/>
          </w:tcPr>
          <w:p>
            <w:r>
              <w:t>POST</w:t>
            </w:r>
          </w:p>
        </w:tc>
        <w:tc>
          <w:tcPr>
            <w:tcW w:type="dxa" w:w="3402"/>
            <w:vAlign w:val="center"/>
            <w:shd w:fill="F7F7F7"/>
          </w:tcPr>
          <w:p>
            <w:r>
              <w:t>/releases/{id}/validate</w:t>
            </w:r>
          </w:p>
        </w:tc>
        <w:tc>
          <w:tcPr>
            <w:tcW w:type="dxa" w:w="4422"/>
            <w:vAlign w:val="center"/>
            <w:shd w:fill="F7F7F7"/>
          </w:tcPr>
          <w:p>
            <w:r>
              <w:t>Ejecutar validaciones.</w:t>
            </w:r>
          </w:p>
        </w:tc>
      </w:tr>
      <w:tr>
        <w:tc>
          <w:tcPr>
            <w:tcW w:type="dxa" w:w="1247"/>
            <w:vAlign w:val="center"/>
          </w:tcPr>
          <w:p>
            <w:r>
              <w:t>POST</w:t>
            </w:r>
          </w:p>
        </w:tc>
        <w:tc>
          <w:tcPr>
            <w:tcW w:type="dxa" w:w="3402"/>
            <w:vAlign w:val="center"/>
          </w:tcPr>
          <w:p>
            <w:r>
              <w:t>/releases/{id}/documents</w:t>
            </w:r>
          </w:p>
        </w:tc>
        <w:tc>
          <w:tcPr>
            <w:tcW w:type="dxa" w:w="4422"/>
            <w:vAlign w:val="center"/>
          </w:tcPr>
          <w:p>
            <w:r>
              <w:t>Generar paquete.</w:t>
            </w:r>
          </w:p>
        </w:tc>
      </w:tr>
      <w:tr>
        <w:tc>
          <w:tcPr>
            <w:tcW w:type="dxa" w:w="1247"/>
            <w:vAlign w:val="center"/>
            <w:shd w:fill="F7F7F7"/>
          </w:tcPr>
          <w:p>
            <w:r>
              <w:t>POST</w:t>
            </w:r>
          </w:p>
        </w:tc>
        <w:tc>
          <w:tcPr>
            <w:tcW w:type="dxa" w:w="3402"/>
            <w:vAlign w:val="center"/>
            <w:shd w:fill="F7F7F7"/>
          </w:tcPr>
          <w:p>
            <w:r>
              <w:t>/releases/{id}/reviews</w:t>
            </w:r>
          </w:p>
        </w:tc>
        <w:tc>
          <w:tcPr>
            <w:tcW w:type="dxa" w:w="4422"/>
            <w:vAlign w:val="center"/>
            <w:shd w:fill="F7F7F7"/>
          </w:tcPr>
          <w:p>
            <w:r>
              <w:t>Crear tareas de revisión.</w:t>
            </w:r>
          </w:p>
        </w:tc>
      </w:tr>
      <w:tr>
        <w:tc>
          <w:tcPr>
            <w:tcW w:type="dxa" w:w="1247"/>
            <w:vAlign w:val="center"/>
          </w:tcPr>
          <w:p>
            <w:r>
              <w:t>POST</w:t>
            </w:r>
          </w:p>
        </w:tc>
        <w:tc>
          <w:tcPr>
            <w:tcW w:type="dxa" w:w="3402"/>
            <w:vAlign w:val="center"/>
          </w:tcPr>
          <w:p>
            <w:r>
              <w:t>/reviews/{id}/decision</w:t>
            </w:r>
          </w:p>
        </w:tc>
        <w:tc>
          <w:tcPr>
            <w:tcW w:type="dxa" w:w="4422"/>
            <w:vAlign w:val="center"/>
          </w:tcPr>
          <w:p>
            <w:r>
              <w:t>Registrar decisión.</w:t>
            </w:r>
          </w:p>
        </w:tc>
      </w:tr>
      <w:tr>
        <w:tc>
          <w:tcPr>
            <w:tcW w:type="dxa" w:w="1247"/>
            <w:vAlign w:val="center"/>
            <w:shd w:fill="F7F7F7"/>
          </w:tcPr>
          <w:p>
            <w:r>
              <w:t>POST</w:t>
            </w:r>
          </w:p>
        </w:tc>
        <w:tc>
          <w:tcPr>
            <w:tcW w:type="dxa" w:w="3402"/>
            <w:vAlign w:val="center"/>
            <w:shd w:fill="F7F7F7"/>
          </w:tcPr>
          <w:p>
            <w:r>
              <w:t>/releases/{id}/approve</w:t>
            </w:r>
          </w:p>
        </w:tc>
        <w:tc>
          <w:tcPr>
            <w:tcW w:type="dxa" w:w="4422"/>
            <w:vAlign w:val="center"/>
            <w:shd w:fill="F7F7F7"/>
          </w:tcPr>
          <w:p>
            <w:r>
              <w:t>Aprobar gate.</w:t>
            </w:r>
          </w:p>
        </w:tc>
      </w:tr>
      <w:tr>
        <w:tc>
          <w:tcPr>
            <w:tcW w:type="dxa" w:w="1247"/>
            <w:vAlign w:val="center"/>
          </w:tcPr>
          <w:p>
            <w:r>
              <w:t>POST</w:t>
            </w:r>
          </w:p>
        </w:tc>
        <w:tc>
          <w:tcPr>
            <w:tcW w:type="dxa" w:w="3402"/>
            <w:vAlign w:val="center"/>
          </w:tcPr>
          <w:p>
            <w:r>
              <w:t>/releases/{id}/publish</w:t>
            </w:r>
          </w:p>
        </w:tc>
        <w:tc>
          <w:tcPr>
            <w:tcW w:type="dxa" w:w="4422"/>
            <w:vAlign w:val="center"/>
          </w:tcPr>
          <w:p>
            <w:r>
              <w:t>Liberar paquete.</w:t>
            </w:r>
          </w:p>
        </w:tc>
      </w:tr>
      <w:tr>
        <w:tc>
          <w:tcPr>
            <w:tcW w:type="dxa" w:w="1247"/>
            <w:vAlign w:val="center"/>
            <w:shd w:fill="F7F7F7"/>
          </w:tcPr>
          <w:p>
            <w:r>
              <w:t>POST</w:t>
            </w:r>
          </w:p>
        </w:tc>
        <w:tc>
          <w:tcPr>
            <w:tcW w:type="dxa" w:w="3402"/>
            <w:vAlign w:val="center"/>
            <w:shd w:fill="F7F7F7"/>
          </w:tcPr>
          <w:p>
            <w:r>
              <w:t>/releases/{id}/revoke</w:t>
            </w:r>
          </w:p>
        </w:tc>
        <w:tc>
          <w:tcPr>
            <w:tcW w:type="dxa" w:w="4422"/>
            <w:vAlign w:val="center"/>
            <w:shd w:fill="F7F7F7"/>
          </w:tcPr>
          <w:p>
            <w:r>
              <w:t>Revocar distribución.</w:t>
            </w:r>
          </w:p>
        </w:tc>
      </w:tr>
      <w:tr>
        <w:tc>
          <w:tcPr>
            <w:tcW w:type="dxa" w:w="1247"/>
            <w:vAlign w:val="center"/>
          </w:tcPr>
          <w:p>
            <w:r>
              <w:t>GET</w:t>
            </w:r>
          </w:p>
        </w:tc>
        <w:tc>
          <w:tcPr>
            <w:tcW w:type="dxa" w:w="3402"/>
            <w:vAlign w:val="center"/>
          </w:tcPr>
          <w:p>
            <w:r>
              <w:t>/releases/{id}/manifest</w:t>
            </w:r>
          </w:p>
        </w:tc>
        <w:tc>
          <w:tcPr>
            <w:tcW w:type="dxa" w:w="4422"/>
            <w:vAlign w:val="center"/>
          </w:tcPr>
          <w:p>
            <w:r>
              <w:t>Obtener manifiesto.</w:t>
            </w:r>
          </w:p>
        </w:tc>
      </w:tr>
      <w:tr>
        <w:tc>
          <w:tcPr>
            <w:tcW w:type="dxa" w:w="1247"/>
            <w:vAlign w:val="center"/>
            <w:shd w:fill="F7F7F7"/>
          </w:tcPr>
          <w:p>
            <w:r>
              <w:t>GET</w:t>
            </w:r>
          </w:p>
        </w:tc>
        <w:tc>
          <w:tcPr>
            <w:tcW w:type="dxa" w:w="3402"/>
            <w:vAlign w:val="center"/>
            <w:shd w:fill="F7F7F7"/>
          </w:tcPr>
          <w:p>
            <w:r>
              <w:t>/releases/{id}/diff/{other}</w:t>
            </w:r>
          </w:p>
        </w:tc>
        <w:tc>
          <w:tcPr>
            <w:tcW w:type="dxa" w:w="4422"/>
            <w:vAlign w:val="center"/>
            <w:shd w:fill="F7F7F7"/>
          </w:tcPr>
          <w:p>
            <w:r>
              <w:t>Comparar revisiones.</w:t>
            </w:r>
          </w:p>
        </w:tc>
      </w:tr>
    </w:tbl>
    <w:p>
      <w:pPr>
        <w:spacing w:after="0"/>
      </w:pPr>
    </w:p>
    <w:p>
      <w:pPr>
        <w:pStyle w:val="Heading2"/>
        <w:keepNext/>
      </w:pPr>
      <w:r>
        <w:t>22.3 Eventos de dominio</w:t>
      </w:r>
    </w:p>
    <w:p>
      <w:pPr>
        <w:pStyle w:val="ListBullet"/>
        <w:spacing w:after="40"/>
      </w:pPr>
      <w:r>
        <w:t>release.created</w:t>
      </w:r>
    </w:p>
    <w:p>
      <w:pPr>
        <w:pStyle w:val="ListBullet"/>
        <w:spacing w:after="40"/>
      </w:pPr>
      <w:r>
        <w:t>release.validation_failed</w:t>
      </w:r>
    </w:p>
    <w:p>
      <w:pPr>
        <w:pStyle w:val="ListBullet"/>
        <w:spacing w:after="40"/>
      </w:pPr>
      <w:r>
        <w:t>release.ready_for_review</w:t>
      </w:r>
    </w:p>
    <w:p>
      <w:pPr>
        <w:pStyle w:val="ListBullet"/>
        <w:spacing w:after="40"/>
      </w:pPr>
      <w:r>
        <w:t>review.completed</w:t>
      </w:r>
    </w:p>
    <w:p>
      <w:pPr>
        <w:pStyle w:val="ListBullet"/>
        <w:spacing w:after="40"/>
      </w:pPr>
      <w:r>
        <w:t>approval.granted</w:t>
      </w:r>
    </w:p>
    <w:p>
      <w:pPr>
        <w:pStyle w:val="ListBullet"/>
        <w:spacing w:after="40"/>
      </w:pPr>
      <w:r>
        <w:t>approval.rejected</w:t>
      </w:r>
    </w:p>
    <w:p>
      <w:pPr>
        <w:pStyle w:val="ListBullet"/>
        <w:spacing w:after="40"/>
      </w:pPr>
      <w:r>
        <w:t>release.published</w:t>
      </w:r>
    </w:p>
    <w:p>
      <w:pPr>
        <w:pStyle w:val="ListBullet"/>
        <w:spacing w:after="40"/>
      </w:pPr>
      <w:r>
        <w:t>release.revoked</w:t>
      </w:r>
    </w:p>
    <w:p>
      <w:pPr>
        <w:pStyle w:val="ListBullet"/>
        <w:spacing w:after="40"/>
      </w:pPr>
      <w:r>
        <w:t>document.superseded</w:t>
      </w:r>
    </w:p>
    <w:p>
      <w:pPr>
        <w:pStyle w:val="ListBullet"/>
        <w:spacing w:after="40"/>
      </w:pPr>
      <w:r>
        <w:t>library.change_impacted_release</w:t>
      </w:r>
    </w:p>
    <w:p>
      <w:pPr>
        <w:pStyle w:val="Heading1"/>
        <w:keepNext/>
      </w:pPr>
      <w:r>
        <w:t>23. Rendimiento, resiliencia y archivo</w:t>
      </w:r>
    </w:p>
    <w:tbl>
      <w:tblPr>
        <w:tblStyle w:val="TableGrid"/>
        <w:tblW w:type="auto" w:w="0"/>
        <w:jc w:val="center"/>
        <w:tblLook w:firstColumn="1" w:firstRow="1" w:lastColumn="0" w:lastRow="0" w:noHBand="0" w:noVBand="1" w:val="04A0"/>
      </w:tblPr>
      <w:tblGrid>
        <w:gridCol w:w="5083"/>
        <w:gridCol w:w="5083"/>
      </w:tblGrid>
      <w:tr>
        <w:tc>
          <w:tcPr>
            <w:tcW w:type="dxa" w:w="2835"/>
            <w:vAlign w:val="center"/>
            <w:shd w:fill="111111"/>
          </w:tcPr>
          <w:p>
            <w:r>
              <w:t>Área</w:t>
            </w:r>
          </w:p>
        </w:tc>
        <w:tc>
          <w:tcPr>
            <w:tcW w:type="dxa" w:w="6236"/>
            <w:vAlign w:val="center"/>
            <w:shd w:fill="111111"/>
          </w:tcPr>
          <w:p>
            <w:r>
              <w:t>Objetivo inicial</w:t>
            </w:r>
          </w:p>
        </w:tc>
      </w:tr>
      <w:tr>
        <w:tc>
          <w:tcPr>
            <w:tcW w:type="dxa" w:w="2835"/>
            <w:vAlign w:val="center"/>
          </w:tcPr>
          <w:p>
            <w:r>
              <w:t>Generación informe resumido</w:t>
            </w:r>
          </w:p>
        </w:tc>
        <w:tc>
          <w:tcPr>
            <w:tcW w:type="dxa" w:w="6236"/>
            <w:vAlign w:val="center"/>
          </w:tcPr>
          <w:p>
            <w:r>
              <w:t>&lt; 30 s para caso típico.</w:t>
            </w:r>
          </w:p>
        </w:tc>
      </w:tr>
      <w:tr>
        <w:tc>
          <w:tcPr>
            <w:tcW w:type="dxa" w:w="2835"/>
            <w:vAlign w:val="center"/>
            <w:shd w:fill="F7F7F7"/>
          </w:tcPr>
          <w:p>
            <w:r>
              <w:t>Memoria extensa</w:t>
            </w:r>
          </w:p>
        </w:tc>
        <w:tc>
          <w:tcPr>
            <w:tcW w:type="dxa" w:w="6236"/>
            <w:vAlign w:val="center"/>
            <w:shd w:fill="F7F7F7"/>
          </w:tcPr>
          <w:p>
            <w:r>
              <w:t>&lt; 3 min sin anexos CAD pesados.</w:t>
            </w:r>
          </w:p>
        </w:tc>
      </w:tr>
      <w:tr>
        <w:tc>
          <w:tcPr>
            <w:tcW w:type="dxa" w:w="2835"/>
            <w:vAlign w:val="center"/>
          </w:tcPr>
          <w:p>
            <w:r>
              <w:t>Validación de coherencia</w:t>
            </w:r>
          </w:p>
        </w:tc>
        <w:tc>
          <w:tcPr>
            <w:tcW w:type="dxa" w:w="6236"/>
            <w:vAlign w:val="center"/>
          </w:tcPr>
          <w:p>
            <w:r>
              <w:t>&lt; 60 s para expediente típico.</w:t>
            </w:r>
          </w:p>
        </w:tc>
      </w:tr>
      <w:tr>
        <w:tc>
          <w:tcPr>
            <w:tcW w:type="dxa" w:w="2835"/>
            <w:vAlign w:val="center"/>
            <w:shd w:fill="F7F7F7"/>
          </w:tcPr>
          <w:p>
            <w:r>
              <w:t>Disponibilidad</w:t>
            </w:r>
          </w:p>
        </w:tc>
        <w:tc>
          <w:tcPr>
            <w:tcW w:type="dxa" w:w="6236"/>
            <w:vAlign w:val="center"/>
            <w:shd w:fill="F7F7F7"/>
          </w:tcPr>
          <w:p>
            <w:r>
              <w:t>99,5 % en horario de trabajo objetivo inicial.</w:t>
            </w:r>
          </w:p>
        </w:tc>
      </w:tr>
      <w:tr>
        <w:tc>
          <w:tcPr>
            <w:tcW w:type="dxa" w:w="2835"/>
            <w:vAlign w:val="center"/>
          </w:tcPr>
          <w:p>
            <w:r>
              <w:t>RPO</w:t>
            </w:r>
          </w:p>
        </w:tc>
        <w:tc>
          <w:tcPr>
            <w:tcW w:type="dxa" w:w="6236"/>
            <w:vAlign w:val="center"/>
          </w:tcPr>
          <w:p>
            <w:r>
              <w:t>≤ 15 min para metadatos y workflow.</w:t>
            </w:r>
          </w:p>
        </w:tc>
      </w:tr>
      <w:tr>
        <w:tc>
          <w:tcPr>
            <w:tcW w:type="dxa" w:w="2835"/>
            <w:vAlign w:val="center"/>
            <w:shd w:fill="F7F7F7"/>
          </w:tcPr>
          <w:p>
            <w:r>
              <w:t>RTO</w:t>
            </w:r>
          </w:p>
        </w:tc>
        <w:tc>
          <w:tcPr>
            <w:tcW w:type="dxa" w:w="6236"/>
            <w:vAlign w:val="center"/>
            <w:shd w:fill="F7F7F7"/>
          </w:tcPr>
          <w:p>
            <w:r>
              <w:t>≤ 4 h para servicio de liberación.</w:t>
            </w:r>
          </w:p>
        </w:tc>
      </w:tr>
      <w:tr>
        <w:tc>
          <w:tcPr>
            <w:tcW w:type="dxa" w:w="2835"/>
            <w:vAlign w:val="center"/>
          </w:tcPr>
          <w:p>
            <w:r>
              <w:t>Retención</w:t>
            </w:r>
          </w:p>
        </w:tc>
        <w:tc>
          <w:tcPr>
            <w:tcW w:type="dxa" w:w="6236"/>
            <w:vAlign w:val="center"/>
          </w:tcPr>
          <w:p>
            <w:r>
              <w:t>Permanente para M3/M4, según política corporativa.</w:t>
            </w:r>
          </w:p>
        </w:tc>
      </w:tr>
      <w:tr>
        <w:tc>
          <w:tcPr>
            <w:tcW w:type="dxa" w:w="2835"/>
            <w:vAlign w:val="center"/>
            <w:shd w:fill="F7F7F7"/>
          </w:tcPr>
          <w:p>
            <w:r>
              <w:t>Reproducibilidad</w:t>
            </w:r>
          </w:p>
        </w:tc>
        <w:tc>
          <w:tcPr>
            <w:tcW w:type="dxa" w:w="6236"/>
            <w:vAlign w:val="center"/>
            <w:shd w:fill="F7F7F7"/>
          </w:tcPr>
          <w:p>
            <w:r>
              <w:t>Regeneración bit-a-bit cuando el renderer lo permita; semántica idéntica en todo caso.</w:t>
            </w:r>
          </w:p>
        </w:tc>
      </w:tr>
    </w:tbl>
    <w:p>
      <w:pPr>
        <w:spacing w:after="0"/>
      </w:pPr>
    </w:p>
    <w:p>
      <w:pPr>
        <w:pStyle w:val="Heading2"/>
        <w:keepNext/>
      </w:pPr>
      <w:r>
        <w:t>23.1 Fallos parciales</w:t>
      </w:r>
    </w:p>
    <w:p>
      <w:pPr>
        <w:spacing w:after="100" w:line="252" w:lineRule="auto"/>
      </w:pPr>
      <w:r>
        <w:t>Si falla la generación de un anexo, el paquete no se liberará incompleto. Los jobs serán idempotentes y reanudables. El manifiesto solo se firmará cuando todos los artefactos obligatorios hayan finalizado y superado validación.</w:t>
      </w:r>
    </w:p>
    <w:p>
      <w:pPr>
        <w:pStyle w:val="Heading1"/>
        <w:keepNext/>
      </w:pPr>
      <w:r>
        <w:t>24. Estrategia de pruebas y aceptación</w:t>
      </w:r>
    </w:p>
    <w:p>
      <w:pPr>
        <w:pStyle w:val="Heading2"/>
        <w:keepNext/>
      </w:pPr>
      <w:r>
        <w:t>24.1 Pirámide de pruebas</w:t>
      </w:r>
    </w:p>
    <w:p>
      <w:pPr>
        <w:pStyle w:val="ListBullet"/>
        <w:spacing w:after="40"/>
      </w:pPr>
      <w:r>
        <w:t>Unitarias para reglas, plantillas y transformaciones.</w:t>
      </w:r>
    </w:p>
    <w:p>
      <w:pPr>
        <w:pStyle w:val="ListBullet"/>
        <w:spacing w:after="40"/>
      </w:pPr>
      <w:r>
        <w:t>Contrato para APIs y eventos.</w:t>
      </w:r>
    </w:p>
    <w:p>
      <w:pPr>
        <w:pStyle w:val="ListBullet"/>
        <w:spacing w:after="40"/>
      </w:pPr>
      <w:r>
        <w:t>Golden documents para contenido y maquetación.</w:t>
      </w:r>
    </w:p>
    <w:p>
      <w:pPr>
        <w:pStyle w:val="ListBullet"/>
        <w:spacing w:after="40"/>
      </w:pPr>
      <w:r>
        <w:t>Regresión visual de páginas.</w:t>
      </w:r>
    </w:p>
    <w:p>
      <w:pPr>
        <w:pStyle w:val="ListBullet"/>
        <w:spacing w:after="40"/>
      </w:pPr>
      <w:r>
        <w:t>Pruebas de coherencia con snapshots manipulados.</w:t>
      </w:r>
    </w:p>
    <w:p>
      <w:pPr>
        <w:pStyle w:val="ListBullet"/>
        <w:spacing w:after="40"/>
      </w:pPr>
      <w:r>
        <w:t>Seguridad y permisos.</w:t>
      </w:r>
    </w:p>
    <w:p>
      <w:pPr>
        <w:pStyle w:val="ListBullet"/>
        <w:spacing w:after="40"/>
      </w:pPr>
      <w:r>
        <w:t>Multilingüismo y unidades.</w:t>
      </w:r>
    </w:p>
    <w:p>
      <w:pPr>
        <w:pStyle w:val="ListBullet"/>
        <w:spacing w:after="40"/>
      </w:pPr>
      <w:r>
        <w:t>Rendimiento y concurrencia.</w:t>
      </w:r>
    </w:p>
    <w:p>
      <w:pPr>
        <w:pStyle w:val="ListBullet"/>
        <w:spacing w:after="40"/>
      </w:pPr>
      <w:r>
        <w:t>Restauración y archivo.</w:t>
      </w:r>
    </w:p>
    <w:p>
      <w:pPr>
        <w:pStyle w:val="ListBullet"/>
        <w:spacing w:after="40"/>
      </w:pPr>
      <w:r>
        <w:t>Pruebas de usuario con comercial, OT, producción y calidad.</w:t>
      </w:r>
    </w:p>
    <w:p>
      <w:pPr>
        <w:pStyle w:val="Heading2"/>
        <w:keepNext/>
      </w:pPr>
      <w:r>
        <w:t>24.2 Casos de aceptación mínimos AC15-001 a AC15-300</w:t>
      </w:r>
    </w:p>
    <w:tbl>
      <w:tblPr>
        <w:tblStyle w:val="TableGrid"/>
        <w:tblW w:type="auto" w:w="0"/>
        <w:jc w:val="center"/>
        <w:tblLook w:firstColumn="1" w:firstRow="1" w:lastColumn="0" w:lastRow="0" w:noHBand="0" w:noVBand="1" w:val="04A0"/>
      </w:tblPr>
      <w:tblGrid>
        <w:gridCol w:w="3389"/>
        <w:gridCol w:w="3389"/>
        <w:gridCol w:w="3389"/>
      </w:tblGrid>
      <w:tr>
        <w:tc>
          <w:tcPr>
            <w:tcW w:type="dxa" w:w="2835"/>
            <w:vAlign w:val="center"/>
            <w:shd w:fill="111111"/>
          </w:tcPr>
          <w:p>
            <w:r>
              <w:t>Grupo</w:t>
            </w:r>
          </w:p>
        </w:tc>
        <w:tc>
          <w:tcPr>
            <w:tcW w:type="dxa" w:w="2268"/>
            <w:vAlign w:val="center"/>
            <w:shd w:fill="111111"/>
          </w:tcPr>
          <w:p>
            <w:r>
              <w:t>Rango</w:t>
            </w:r>
          </w:p>
        </w:tc>
        <w:tc>
          <w:tcPr>
            <w:tcW w:type="dxa" w:w="3969"/>
            <w:vAlign w:val="center"/>
            <w:shd w:fill="111111"/>
          </w:tcPr>
          <w:p>
            <w:r>
              <w:t>Cobertura</w:t>
            </w:r>
          </w:p>
        </w:tc>
      </w:tr>
      <w:tr>
        <w:tc>
          <w:tcPr>
            <w:tcW w:type="dxa" w:w="2835"/>
            <w:vAlign w:val="center"/>
          </w:tcPr>
          <w:p>
            <w:r>
              <w:t>A. Snapshots y coherencia</w:t>
            </w:r>
          </w:p>
        </w:tc>
        <w:tc>
          <w:tcPr>
            <w:tcW w:type="dxa" w:w="2268"/>
            <w:vAlign w:val="center"/>
          </w:tcPr>
          <w:p>
            <w:r>
              <w:t>AC15-001 a AC15-030</w:t>
            </w:r>
          </w:p>
        </w:tc>
        <w:tc>
          <w:tcPr>
            <w:tcW w:type="dxa" w:w="3969"/>
            <w:vAlign w:val="center"/>
          </w:tcPr>
          <w:p>
            <w:r>
              <w:t>30 casos obligatorios con datos nominales, límites, error y regresión.</w:t>
            </w:r>
          </w:p>
        </w:tc>
      </w:tr>
      <w:tr>
        <w:tc>
          <w:tcPr>
            <w:tcW w:type="dxa" w:w="2835"/>
            <w:vAlign w:val="center"/>
            <w:shd w:fill="F7F7F7"/>
          </w:tcPr>
          <w:p>
            <w:r>
              <w:t>B. Informes cliente</w:t>
            </w:r>
          </w:p>
        </w:tc>
        <w:tc>
          <w:tcPr>
            <w:tcW w:type="dxa" w:w="2268"/>
            <w:vAlign w:val="center"/>
            <w:shd w:fill="F7F7F7"/>
          </w:tcPr>
          <w:p>
            <w:r>
              <w:t>AC15-031 a AC15-050</w:t>
            </w:r>
          </w:p>
        </w:tc>
        <w:tc>
          <w:tcPr>
            <w:tcW w:type="dxa" w:w="3969"/>
            <w:vAlign w:val="center"/>
            <w:shd w:fill="F7F7F7"/>
          </w:tcPr>
          <w:p>
            <w:r>
              <w:t>20 casos obligatorios con datos nominales, límites, error y regresión.</w:t>
            </w:r>
          </w:p>
        </w:tc>
      </w:tr>
      <w:tr>
        <w:tc>
          <w:tcPr>
            <w:tcW w:type="dxa" w:w="2835"/>
            <w:vAlign w:val="center"/>
          </w:tcPr>
          <w:p>
            <w:r>
              <w:t>C. Memoria de cálculo</w:t>
            </w:r>
          </w:p>
        </w:tc>
        <w:tc>
          <w:tcPr>
            <w:tcW w:type="dxa" w:w="2268"/>
            <w:vAlign w:val="center"/>
          </w:tcPr>
          <w:p>
            <w:r>
              <w:t>AC15-051 a AC15-075</w:t>
            </w:r>
          </w:p>
        </w:tc>
        <w:tc>
          <w:tcPr>
            <w:tcW w:type="dxa" w:w="3969"/>
            <w:vAlign w:val="center"/>
          </w:tcPr>
          <w:p>
            <w:r>
              <w:t>25 casos obligatorios con datos nominales, límites, error y regresión.</w:t>
            </w:r>
          </w:p>
        </w:tc>
      </w:tr>
      <w:tr>
        <w:tc>
          <w:tcPr>
            <w:tcW w:type="dxa" w:w="2835"/>
            <w:vAlign w:val="center"/>
            <w:shd w:fill="F7F7F7"/>
          </w:tcPr>
          <w:p>
            <w:r>
              <w:t>D. Producción y calidad</w:t>
            </w:r>
          </w:p>
        </w:tc>
        <w:tc>
          <w:tcPr>
            <w:tcW w:type="dxa" w:w="2268"/>
            <w:vAlign w:val="center"/>
            <w:shd w:fill="F7F7F7"/>
          </w:tcPr>
          <w:p>
            <w:r>
              <w:t>AC15-076 a AC15-095</w:t>
            </w:r>
          </w:p>
        </w:tc>
        <w:tc>
          <w:tcPr>
            <w:tcW w:type="dxa" w:w="3969"/>
            <w:vAlign w:val="center"/>
            <w:shd w:fill="F7F7F7"/>
          </w:tcPr>
          <w:p>
            <w:r>
              <w:t>20 casos obligatorios con datos nominales, límites, error y regresión.</w:t>
            </w:r>
          </w:p>
        </w:tc>
      </w:tr>
      <w:tr>
        <w:tc>
          <w:tcPr>
            <w:tcW w:type="dxa" w:w="2835"/>
            <w:vAlign w:val="center"/>
          </w:tcPr>
          <w:p>
            <w:r>
              <w:t>E. Workflow y aprobación</w:t>
            </w:r>
          </w:p>
        </w:tc>
        <w:tc>
          <w:tcPr>
            <w:tcW w:type="dxa" w:w="2268"/>
            <w:vAlign w:val="center"/>
          </w:tcPr>
          <w:p>
            <w:r>
              <w:t>AC15-096 a AC15-120</w:t>
            </w:r>
          </w:p>
        </w:tc>
        <w:tc>
          <w:tcPr>
            <w:tcW w:type="dxa" w:w="3969"/>
            <w:vAlign w:val="center"/>
          </w:tcPr>
          <w:p>
            <w:r>
              <w:t>25 casos obligatorios con datos nominales, límites, error y regresión.</w:t>
            </w:r>
          </w:p>
        </w:tc>
      </w:tr>
      <w:tr>
        <w:tc>
          <w:tcPr>
            <w:tcW w:type="dxa" w:w="2835"/>
            <w:vAlign w:val="center"/>
            <w:shd w:fill="F7F7F7"/>
          </w:tcPr>
          <w:p>
            <w:r>
              <w:t>F. Firma y distribución</w:t>
            </w:r>
          </w:p>
        </w:tc>
        <w:tc>
          <w:tcPr>
            <w:tcW w:type="dxa" w:w="2268"/>
            <w:vAlign w:val="center"/>
            <w:shd w:fill="F7F7F7"/>
          </w:tcPr>
          <w:p>
            <w:r>
              <w:t>AC15-121 a AC15-135</w:t>
            </w:r>
          </w:p>
        </w:tc>
        <w:tc>
          <w:tcPr>
            <w:tcW w:type="dxa" w:w="3969"/>
            <w:vAlign w:val="center"/>
            <w:shd w:fill="F7F7F7"/>
          </w:tcPr>
          <w:p>
            <w:r>
              <w:t>15 casos obligatorios con datos nominales, límites, error y regresión.</w:t>
            </w:r>
          </w:p>
        </w:tc>
      </w:tr>
      <w:tr>
        <w:tc>
          <w:tcPr>
            <w:tcW w:type="dxa" w:w="2835"/>
            <w:vAlign w:val="center"/>
          </w:tcPr>
          <w:p>
            <w:r>
              <w:t>G. IA y multilingüismo</w:t>
            </w:r>
          </w:p>
        </w:tc>
        <w:tc>
          <w:tcPr>
            <w:tcW w:type="dxa" w:w="2268"/>
            <w:vAlign w:val="center"/>
          </w:tcPr>
          <w:p>
            <w:r>
              <w:t>AC15-136 a AC15-155</w:t>
            </w:r>
          </w:p>
        </w:tc>
        <w:tc>
          <w:tcPr>
            <w:tcW w:type="dxa" w:w="3969"/>
            <w:vAlign w:val="center"/>
          </w:tcPr>
          <w:p>
            <w:r>
              <w:t>20 casos obligatorios con datos nominales, límites, error y regresión.</w:t>
            </w:r>
          </w:p>
        </w:tc>
      </w:tr>
      <w:tr>
        <w:tc>
          <w:tcPr>
            <w:tcW w:type="dxa" w:w="2835"/>
            <w:vAlign w:val="center"/>
            <w:shd w:fill="F7F7F7"/>
          </w:tcPr>
          <w:p>
            <w:r>
              <w:t>H. Seguridad, archivo y rendimiento</w:t>
            </w:r>
          </w:p>
        </w:tc>
        <w:tc>
          <w:tcPr>
            <w:tcW w:type="dxa" w:w="2268"/>
            <w:vAlign w:val="center"/>
            <w:shd w:fill="F7F7F7"/>
          </w:tcPr>
          <w:p>
            <w:r>
              <w:t>AC15-156 a AC15-180</w:t>
            </w:r>
          </w:p>
        </w:tc>
        <w:tc>
          <w:tcPr>
            <w:tcW w:type="dxa" w:w="3969"/>
            <w:vAlign w:val="center"/>
            <w:shd w:fill="F7F7F7"/>
          </w:tcPr>
          <w:p>
            <w:r>
              <w:t>25 casos obligatorios con datos nominales, límites, error y regresión.</w:t>
            </w:r>
          </w:p>
        </w:tc>
      </w:tr>
    </w:tbl>
    <w:p>
      <w:pPr>
        <w:spacing w:after="0"/>
      </w:pPr>
    </w:p>
    <w:p>
      <w:pPr>
        <w:pStyle w:val="Heading2"/>
        <w:keepNext/>
      </w:pPr>
      <w:r>
        <w:t>24.3 Casos críticos explícitos</w:t>
      </w:r>
    </w:p>
    <w:p>
      <w:pPr>
        <w:pStyle w:val="ListNumber"/>
        <w:spacing w:after="40"/>
      </w:pPr>
      <w:r>
        <w:t>Detectar mezcla de ProductSnapshot y AnalysisSnapshot.</w:t>
      </w:r>
    </w:p>
    <w:p>
      <w:pPr>
        <w:pStyle w:val="ListNumber"/>
        <w:spacing w:after="40"/>
      </w:pPr>
      <w:r>
        <w:t>Bloquear un informe que oculte una verificación fallida.</w:t>
      </w:r>
    </w:p>
    <w:p>
      <w:pPr>
        <w:pStyle w:val="ListNumber"/>
        <w:spacing w:after="40"/>
      </w:pPr>
      <w:r>
        <w:t>Invalidar M3 al cambiar una carga crítica.</w:t>
      </w:r>
    </w:p>
    <w:p>
      <w:pPr>
        <w:pStyle w:val="ListNumber"/>
        <w:spacing w:after="40"/>
      </w:pPr>
      <w:r>
        <w:t>Mantener madurez ante una corrección editorial sin cambio semántico.</w:t>
      </w:r>
    </w:p>
    <w:p>
      <w:pPr>
        <w:pStyle w:val="ListNumber"/>
        <w:spacing w:after="40"/>
      </w:pPr>
      <w:r>
        <w:t>Rechazar aprobación por el mismo autor cuando se exige cuatro ojos.</w:t>
      </w:r>
    </w:p>
    <w:p>
      <w:pPr>
        <w:pStyle w:val="ListNumber"/>
        <w:spacing w:after="40"/>
      </w:pPr>
      <w:r>
        <w:t>Generar paquetes cliente e interno con redacción correcta.</w:t>
      </w:r>
    </w:p>
    <w:p>
      <w:pPr>
        <w:pStyle w:val="ListNumber"/>
        <w:spacing w:after="40"/>
      </w:pPr>
      <w:r>
        <w:t>Detectar una cifra editada manualmente en DOCX.</w:t>
      </w:r>
    </w:p>
    <w:p>
      <w:pPr>
        <w:pStyle w:val="ListNumber"/>
        <w:spacing w:after="40"/>
      </w:pPr>
      <w:r>
        <w:t>Verificar QR/hash después de descargar y reenviar.</w:t>
      </w:r>
    </w:p>
    <w:p>
      <w:pPr>
        <w:pStyle w:val="ListNumber"/>
        <w:spacing w:after="40"/>
      </w:pPr>
      <w:r>
        <w:t>Revocar una revisión y mostrar sustitución.</w:t>
      </w:r>
    </w:p>
    <w:p>
      <w:pPr>
        <w:pStyle w:val="ListNumber"/>
        <w:spacing w:after="40"/>
      </w:pPr>
      <w:r>
        <w:t>Comparar dos revisiones con cambio de material y recalcular impacto.</w:t>
      </w:r>
    </w:p>
    <w:p>
      <w:pPr>
        <w:pStyle w:val="ListNumber"/>
        <w:spacing w:after="40"/>
      </w:pPr>
      <w:r>
        <w:t>Generar informe en seis idiomas sin alterar valores.</w:t>
      </w:r>
    </w:p>
    <w:p>
      <w:pPr>
        <w:pStyle w:val="ListNumber"/>
        <w:spacing w:after="40"/>
      </w:pPr>
      <w:r>
        <w:t>Rechazar texto de IA que introduzca un valor inexistente.</w:t>
      </w:r>
    </w:p>
    <w:p>
      <w:pPr>
        <w:pStyle w:val="ListNumber"/>
        <w:spacing w:after="40"/>
      </w:pPr>
      <w:r>
        <w:t>Recuperar expediente M4 desde backup y verificar hashes.</w:t>
      </w:r>
    </w:p>
    <w:p>
      <w:pPr>
        <w:pStyle w:val="ListNumber"/>
        <w:spacing w:after="40"/>
      </w:pPr>
      <w:r>
        <w:t>Liberar paquete industrial solo con BOM/CAD/planos coherentes.</w:t>
      </w:r>
    </w:p>
    <w:p>
      <w:pPr>
        <w:pStyle w:val="ListNumber"/>
        <w:spacing w:after="40"/>
      </w:pPr>
      <w:r>
        <w:t>Archivar PDF/A y conservar manifiesto y evidencias.</w:t>
      </w:r>
    </w:p>
    <w:p>
      <w:pPr>
        <w:pStyle w:val="Heading2"/>
        <w:keepNext/>
      </w:pPr>
      <w:r>
        <w:t>24.4 Criterios de calidad</w:t>
      </w:r>
    </w:p>
    <w:tbl>
      <w:tblPr>
        <w:tblStyle w:val="TableGrid"/>
        <w:tblW w:type="auto" w:w="0"/>
        <w:jc w:val="center"/>
        <w:tblLook w:firstColumn="1" w:firstRow="1" w:lastColumn="0" w:lastRow="0" w:noHBand="0" w:noVBand="1" w:val="04A0"/>
      </w:tblPr>
      <w:tblGrid>
        <w:gridCol w:w="5083"/>
        <w:gridCol w:w="5083"/>
      </w:tblGrid>
      <w:tr>
        <w:tc>
          <w:tcPr>
            <w:tcW w:type="dxa" w:w="3402"/>
            <w:vAlign w:val="center"/>
            <w:shd w:fill="111111"/>
          </w:tcPr>
          <w:p>
            <w:r>
              <w:t>Métrica</w:t>
            </w:r>
          </w:p>
        </w:tc>
        <w:tc>
          <w:tcPr>
            <w:tcW w:type="dxa" w:w="5669"/>
            <w:vAlign w:val="center"/>
            <w:shd w:fill="111111"/>
          </w:tcPr>
          <w:p>
            <w:r>
              <w:t>Objetivo</w:t>
            </w:r>
          </w:p>
        </w:tc>
      </w:tr>
      <w:tr>
        <w:tc>
          <w:tcPr>
            <w:tcW w:type="dxa" w:w="3402"/>
            <w:vAlign w:val="center"/>
          </w:tcPr>
          <w:p>
            <w:r>
              <w:t>Errores técnicos introducidos por motor documental</w:t>
            </w:r>
          </w:p>
        </w:tc>
        <w:tc>
          <w:tcPr>
            <w:tcW w:type="dxa" w:w="5669"/>
            <w:vAlign w:val="center"/>
          </w:tcPr>
          <w:p>
            <w:r>
              <w:t>0 en casos de aceptación.</w:t>
            </w:r>
          </w:p>
        </w:tc>
      </w:tr>
      <w:tr>
        <w:tc>
          <w:tcPr>
            <w:tcW w:type="dxa" w:w="3402"/>
            <w:vAlign w:val="center"/>
            <w:shd w:fill="F7F7F7"/>
          </w:tcPr>
          <w:p>
            <w:r>
              <w:t>Bloqueos no detectados</w:t>
            </w:r>
          </w:p>
        </w:tc>
        <w:tc>
          <w:tcPr>
            <w:tcW w:type="dxa" w:w="5669"/>
            <w:vAlign w:val="center"/>
            <w:shd w:fill="F7F7F7"/>
          </w:tcPr>
          <w:p>
            <w:r>
              <w:t>0 críticos.</w:t>
            </w:r>
          </w:p>
        </w:tc>
      </w:tr>
      <w:tr>
        <w:tc>
          <w:tcPr>
            <w:tcW w:type="dxa" w:w="3402"/>
            <w:vAlign w:val="center"/>
          </w:tcPr>
          <w:p>
            <w:r>
              <w:t>Diferencias numéricas frente a snapshot</w:t>
            </w:r>
          </w:p>
        </w:tc>
        <w:tc>
          <w:tcPr>
            <w:tcW w:type="dxa" w:w="5669"/>
            <w:vAlign w:val="center"/>
          </w:tcPr>
          <w:p>
            <w:r>
              <w:t>0.</w:t>
            </w:r>
          </w:p>
        </w:tc>
      </w:tr>
      <w:tr>
        <w:tc>
          <w:tcPr>
            <w:tcW w:type="dxa" w:w="3402"/>
            <w:vAlign w:val="center"/>
            <w:shd w:fill="F7F7F7"/>
          </w:tcPr>
          <w:p>
            <w:r>
              <w:t>Cobertura de reglas críticas</w:t>
            </w:r>
          </w:p>
        </w:tc>
        <w:tc>
          <w:tcPr>
            <w:tcW w:type="dxa" w:w="5669"/>
            <w:vAlign w:val="center"/>
            <w:shd w:fill="F7F7F7"/>
          </w:tcPr>
          <w:p>
            <w:r>
              <w:t>100 %.</w:t>
            </w:r>
          </w:p>
        </w:tc>
      </w:tr>
      <w:tr>
        <w:tc>
          <w:tcPr>
            <w:tcW w:type="dxa" w:w="3402"/>
            <w:vAlign w:val="center"/>
          </w:tcPr>
          <w:p>
            <w:r>
              <w:t>Regresión visual</w:t>
            </w:r>
          </w:p>
        </w:tc>
        <w:tc>
          <w:tcPr>
            <w:tcW w:type="dxa" w:w="5669"/>
            <w:vAlign w:val="center"/>
          </w:tcPr>
          <w:p>
            <w:r>
              <w:t>Sin clipping, solapes o tablas rotas.</w:t>
            </w:r>
          </w:p>
        </w:tc>
      </w:tr>
      <w:tr>
        <w:tc>
          <w:tcPr>
            <w:tcW w:type="dxa" w:w="3402"/>
            <w:vAlign w:val="center"/>
            <w:shd w:fill="F7F7F7"/>
          </w:tcPr>
          <w:p>
            <w:r>
              <w:t>Tasa de traducciones técnicas revisadas</w:t>
            </w:r>
          </w:p>
        </w:tc>
        <w:tc>
          <w:tcPr>
            <w:tcW w:type="dxa" w:w="5669"/>
            <w:vAlign w:val="center"/>
            <w:shd w:fill="F7F7F7"/>
          </w:tcPr>
          <w:p>
            <w:r>
              <w:t>100 % para M3/M4.</w:t>
            </w:r>
          </w:p>
        </w:tc>
      </w:tr>
      <w:tr>
        <w:tc>
          <w:tcPr>
            <w:tcW w:type="dxa" w:w="3402"/>
            <w:vAlign w:val="center"/>
          </w:tcPr>
          <w:p>
            <w:r>
              <w:t>Trazabilidad de cifras críticas</w:t>
            </w:r>
          </w:p>
        </w:tc>
        <w:tc>
          <w:tcPr>
            <w:tcW w:type="dxa" w:w="5669"/>
            <w:vAlign w:val="center"/>
          </w:tcPr>
          <w:p>
            <w:r>
              <w:t>100 %.</w:t>
            </w:r>
          </w:p>
        </w:tc>
      </w:tr>
      <w:tr>
        <w:tc>
          <w:tcPr>
            <w:tcW w:type="dxa" w:w="3402"/>
            <w:vAlign w:val="center"/>
            <w:shd w:fill="F7F7F7"/>
          </w:tcPr>
          <w:p>
            <w:r>
              <w:t>Reproducibilidad de manifiesto</w:t>
            </w:r>
          </w:p>
        </w:tc>
        <w:tc>
          <w:tcPr>
            <w:tcW w:type="dxa" w:w="5669"/>
            <w:vAlign w:val="center"/>
            <w:shd w:fill="F7F7F7"/>
          </w:tcPr>
          <w:p>
            <w:r>
              <w:t>100 %.</w:t>
            </w:r>
          </w:p>
        </w:tc>
      </w:tr>
    </w:tbl>
    <w:p>
      <w:pPr>
        <w:spacing w:after="0"/>
      </w:pPr>
    </w:p>
    <w:p>
      <w:pPr>
        <w:pStyle w:val="Heading1"/>
        <w:keepNext/>
      </w:pPr>
      <w:r>
        <w:t>25. Entregables y criterios de cierre</w:t>
      </w:r>
    </w:p>
    <w:p>
      <w:pPr>
        <w:pStyle w:val="Heading2"/>
        <w:keepNext/>
      </w:pPr>
      <w:r>
        <w:t>25.1 Entregables</w:t>
      </w:r>
    </w:p>
    <w:p>
      <w:pPr>
        <w:pStyle w:val="ListBullet"/>
        <w:spacing w:after="40"/>
      </w:pPr>
      <w:r>
        <w:t>Modelo de dominio y esquema de base de datos.</w:t>
      </w:r>
    </w:p>
    <w:p>
      <w:pPr>
        <w:pStyle w:val="ListBullet"/>
        <w:spacing w:after="40"/>
      </w:pPr>
      <w:r>
        <w:t>Registro de plantillas y bloques.</w:t>
      </w:r>
    </w:p>
    <w:p>
      <w:pPr>
        <w:pStyle w:val="ListBullet"/>
        <w:spacing w:after="40"/>
      </w:pPr>
      <w:r>
        <w:t>Motor documental y reglas de inclusión.</w:t>
      </w:r>
    </w:p>
    <w:p>
      <w:pPr>
        <w:pStyle w:val="ListBullet"/>
        <w:spacing w:after="40"/>
      </w:pPr>
      <w:r>
        <w:t>Validador de coherencia y severidades.</w:t>
      </w:r>
    </w:p>
    <w:p>
      <w:pPr>
        <w:pStyle w:val="ListBullet"/>
        <w:spacing w:after="40"/>
      </w:pPr>
      <w:r>
        <w:t>Workflow de revisión y aprobación.</w:t>
      </w:r>
    </w:p>
    <w:p>
      <w:pPr>
        <w:pStyle w:val="ListBullet"/>
        <w:spacing w:after="40"/>
      </w:pPr>
      <w:r>
        <w:t>Centro de liberación front-end.</w:t>
      </w:r>
    </w:p>
    <w:p>
      <w:pPr>
        <w:pStyle w:val="ListBullet"/>
        <w:spacing w:after="40"/>
      </w:pPr>
      <w:r>
        <w:t>Manifiesto, hash y verificación externa.</w:t>
      </w:r>
    </w:p>
    <w:p>
      <w:pPr>
        <w:pStyle w:val="ListBullet"/>
        <w:spacing w:after="40"/>
      </w:pPr>
      <w:r>
        <w:t>Paquetes estándar por destinatario.</w:t>
      </w:r>
    </w:p>
    <w:p>
      <w:pPr>
        <w:pStyle w:val="ListBullet"/>
        <w:spacing w:after="40"/>
      </w:pPr>
      <w:r>
        <w:t>Comparador de revisiones.</w:t>
      </w:r>
    </w:p>
    <w:p>
      <w:pPr>
        <w:pStyle w:val="ListBullet"/>
        <w:spacing w:after="40"/>
      </w:pPr>
      <w:r>
        <w:t>Glosario y memoria multilingüe.</w:t>
      </w:r>
    </w:p>
    <w:p>
      <w:pPr>
        <w:pStyle w:val="ListBullet"/>
        <w:spacing w:after="40"/>
      </w:pPr>
      <w:r>
        <w:t>Plan de pruebas AC15-001 a AC15-300.</w:t>
      </w:r>
    </w:p>
    <w:p>
      <w:pPr>
        <w:pStyle w:val="ListBullet"/>
        <w:spacing w:after="40"/>
      </w:pPr>
      <w:r>
        <w:t>Runbooks de operación, revocación y recuperación.</w:t>
      </w:r>
    </w:p>
    <w:p>
      <w:pPr>
        <w:pStyle w:val="Heading2"/>
        <w:keepNext/>
      </w:pPr>
      <w:r>
        <w:t>25.2 Criterios de cierre de Fase 15</w:t>
      </w:r>
    </w:p>
    <w:p>
      <w:pPr>
        <w:pStyle w:val="ListNumber"/>
        <w:spacing w:after="40"/>
      </w:pPr>
      <w:r>
        <w:t>Los estados M0–M4 y sus gates están implementados y probados.</w:t>
      </w:r>
    </w:p>
    <w:p>
      <w:pPr>
        <w:pStyle w:val="ListNumber"/>
        <w:spacing w:after="40"/>
      </w:pPr>
      <w:r>
        <w:t>No es posible liberar un paquete con snapshots incompatibles.</w:t>
      </w:r>
    </w:p>
    <w:p>
      <w:pPr>
        <w:pStyle w:val="ListNumber"/>
        <w:spacing w:after="40"/>
      </w:pPr>
      <w:r>
        <w:t>Las plantillas de cliente, cálculo, producción, calidad y montaje están aprobadas.</w:t>
      </w:r>
    </w:p>
    <w:p>
      <w:pPr>
        <w:pStyle w:val="ListNumber"/>
        <w:spacing w:after="40"/>
      </w:pPr>
      <w:r>
        <w:t>Todas las cifras críticas son trazables y no editables manualmente.</w:t>
      </w:r>
    </w:p>
    <w:p>
      <w:pPr>
        <w:pStyle w:val="ListNumber"/>
        <w:spacing w:after="40"/>
      </w:pPr>
      <w:r>
        <w:t>Los roles y la regla de cuatro ojos funcionan.</w:t>
      </w:r>
    </w:p>
    <w:p>
      <w:pPr>
        <w:pStyle w:val="ListNumber"/>
        <w:spacing w:after="40"/>
      </w:pPr>
      <w:r>
        <w:t>Los paquetes externos eliminan información interna y metadatos ocultos.</w:t>
      </w:r>
    </w:p>
    <w:p>
      <w:pPr>
        <w:pStyle w:val="ListNumber"/>
        <w:spacing w:after="40"/>
      </w:pPr>
      <w:r>
        <w:t>El comparador de revisiones identifica cambios técnicos y documentales.</w:t>
      </w:r>
    </w:p>
    <w:p>
      <w:pPr>
        <w:pStyle w:val="ListNumber"/>
        <w:spacing w:after="40"/>
      </w:pPr>
      <w:r>
        <w:t>La validación automática cubre todas las interfaces de Fases 1–14.</w:t>
      </w:r>
    </w:p>
    <w:p>
      <w:pPr>
        <w:pStyle w:val="ListNumber"/>
        <w:spacing w:after="40"/>
      </w:pPr>
      <w:r>
        <w:t>Los documentos M3/M4 quedan archivados con hash y manifiesto.</w:t>
      </w:r>
    </w:p>
    <w:p>
      <w:pPr>
        <w:pStyle w:val="ListNumber"/>
        <w:spacing w:after="40"/>
      </w:pPr>
      <w:r>
        <w:t>Oficina Técnica, Producción, Calidad y Comercial completan UAT y firman aceptación.</w:t>
      </w:r>
    </w:p>
    <w:p>
      <w:pPr>
        <w:pStyle w:val="Heading2"/>
        <w:keepNext/>
      </w:pPr>
      <w:r>
        <w:t>25.3 Gaps transferidos a Fase 16</w:t>
      </w:r>
    </w:p>
    <w:p>
      <w:pPr>
        <w:spacing w:after="100" w:line="252" w:lineRule="auto"/>
      </w:pPr>
      <w:r>
        <w:t>La Fase 15 define cómo validar y liberar un expediente. La Fase 16 utilizará esta infraestructura para la validación industrial del producto y del software mediante golden cases, ensayos, comparaciones externas, regresión, calibración y aprobación formal de Oficina Técnica.</w:t>
      </w:r>
    </w:p>
    <w:p>
      <w:r>
        <w:br w:type="page"/>
      </w:r>
    </w:p>
    <w:p>
      <w:pPr>
        <w:pStyle w:val="Heading1"/>
      </w:pPr>
      <w:r>
        <w:t>26. Contrato documental ejecutable y trazabilidad de campo</w:t>
      </w:r>
    </w:p>
    <w:p>
      <w:pPr/>
      <w:r>
        <w:t>La v0.2 sustituye el concepto de plantilla puramente visual por un contrato documental ejecutable. Cada informe se definirá mediante un esquema versionado que establece datos obligatorios, condiciones de inclusión, fuentes autorizadas, reglas de formato, validaciones, permisos y criterios de aceptación. El documento generado será una vista del expediente, nunca una fuente primaria de datos.</w:t>
      </w:r>
    </w:p>
    <w:p>
      <w:pPr>
        <w:pStyle w:val="Heading2"/>
      </w:pPr>
      <w:r>
        <w:t>26.1 Estructura del contrato</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1F2"/>
            <w:vAlign w:val="center"/>
          </w:tcPr>
          <w:p>
            <w:r>
              <w:t>Elemento</w:t>
            </w:r>
          </w:p>
        </w:tc>
        <w:tc>
          <w:tcPr>
            <w:tcW w:type="dxa" w:w="3400"/>
            <w:shd w:fill="D9E1F2"/>
            <w:vAlign w:val="center"/>
          </w:tcPr>
          <w:p>
            <w:r>
              <w:t>Contenido obligatorio</w:t>
            </w:r>
          </w:p>
        </w:tc>
        <w:tc>
          <w:tcPr>
            <w:tcW w:type="dxa" w:w="3400"/>
            <w:shd w:fill="D9E1F2"/>
            <w:vAlign w:val="center"/>
          </w:tcPr>
          <w:p>
            <w:r>
              <w:t>Comportamiento ante fallo</w:t>
            </w:r>
          </w:p>
        </w:tc>
      </w:tr>
      <w:tr>
        <w:tc>
          <w:tcPr>
            <w:tcW w:type="dxa" w:w="3400"/>
            <w:vAlign w:val="center"/>
          </w:tcPr>
          <w:p>
            <w:r>
              <w:t>templateId / version</w:t>
            </w:r>
          </w:p>
        </w:tc>
        <w:tc>
          <w:tcPr>
            <w:tcW w:type="dxa" w:w="3400"/>
            <w:vAlign w:val="center"/>
          </w:tcPr>
          <w:p>
            <w:r>
              <w:t>Identificador estable, versión semántica, idioma, mercado y propósito.</w:t>
            </w:r>
          </w:p>
        </w:tc>
        <w:tc>
          <w:tcPr>
            <w:tcW w:type="dxa" w:w="3400"/>
            <w:vAlign w:val="center"/>
          </w:tcPr>
          <w:p>
            <w:r>
              <w:t>Bloquear si no existe versión aprobada.</w:t>
            </w:r>
          </w:p>
        </w:tc>
      </w:tr>
      <w:tr>
        <w:tc>
          <w:tcPr>
            <w:tcW w:type="dxa" w:w="3400"/>
            <w:vAlign w:val="center"/>
          </w:tcPr>
          <w:p>
            <w:r>
              <w:t>dataBinding</w:t>
            </w:r>
          </w:p>
        </w:tc>
        <w:tc>
          <w:tcPr>
            <w:tcW w:type="dxa" w:w="3400"/>
            <w:vAlign w:val="center"/>
          </w:tcPr>
          <w:p>
            <w:r>
              <w:t>Ruta exacta al snapshot y tipo esperado.</w:t>
            </w:r>
          </w:p>
        </w:tc>
        <w:tc>
          <w:tcPr>
            <w:tcW w:type="dxa" w:w="3400"/>
            <w:vAlign w:val="center"/>
          </w:tcPr>
          <w:p>
            <w:r>
              <w:t>No permitir texto libre como sustitución.</w:t>
            </w:r>
          </w:p>
        </w:tc>
      </w:tr>
      <w:tr>
        <w:tc>
          <w:tcPr>
            <w:tcW w:type="dxa" w:w="3400"/>
            <w:vAlign w:val="center"/>
          </w:tcPr>
          <w:p>
            <w:r>
              <w:t>inclusionRule</w:t>
            </w:r>
          </w:p>
        </w:tc>
        <w:tc>
          <w:tcPr>
            <w:tcW w:type="dxa" w:w="3400"/>
            <w:vAlign w:val="center"/>
          </w:tcPr>
          <w:p>
            <w:r>
              <w:t>Expresión declarativa y testeable.</w:t>
            </w:r>
          </w:p>
        </w:tc>
        <w:tc>
          <w:tcPr>
            <w:tcW w:type="dxa" w:w="3400"/>
            <w:vAlign w:val="center"/>
          </w:tcPr>
          <w:p>
            <w:r>
              <w:t>Registrar regla y resultado en el manifiesto.</w:t>
            </w:r>
          </w:p>
        </w:tc>
      </w:tr>
      <w:tr>
        <w:tc>
          <w:tcPr>
            <w:tcW w:type="dxa" w:w="3400"/>
            <w:vAlign w:val="center"/>
          </w:tcPr>
          <w:p>
            <w:r>
              <w:t>formatRule</w:t>
            </w:r>
          </w:p>
        </w:tc>
        <w:tc>
          <w:tcPr>
            <w:tcW w:type="dxa" w:w="3400"/>
            <w:vAlign w:val="center"/>
          </w:tcPr>
          <w:p>
            <w:r>
              <w:t>Unidad, decimales, signo, redondeo, notación y etiqueta.</w:t>
            </w:r>
          </w:p>
        </w:tc>
        <w:tc>
          <w:tcPr>
            <w:tcW w:type="dxa" w:w="3400"/>
            <w:vAlign w:val="center"/>
          </w:tcPr>
          <w:p>
            <w:r>
              <w:t>Bloquear magnitudes críticas sin regla.</w:t>
            </w:r>
          </w:p>
        </w:tc>
      </w:tr>
      <w:tr>
        <w:tc>
          <w:tcPr>
            <w:tcW w:type="dxa" w:w="3400"/>
            <w:vAlign w:val="center"/>
          </w:tcPr>
          <w:p>
            <w:r>
              <w:t>visibilityPolicy</w:t>
            </w:r>
          </w:p>
        </w:tc>
        <w:tc>
          <w:tcPr>
            <w:tcW w:type="dxa" w:w="3400"/>
            <w:vAlign w:val="center"/>
          </w:tcPr>
          <w:p>
            <w:r>
              <w:t>Rol, destinatario, clasificación y redacción.</w:t>
            </w:r>
          </w:p>
        </w:tc>
        <w:tc>
          <w:tcPr>
            <w:tcW w:type="dxa" w:w="3400"/>
            <w:vAlign w:val="center"/>
          </w:tcPr>
          <w:p>
            <w:r>
              <w:t>Excluir el bloque y registrar motivo.</w:t>
            </w:r>
          </w:p>
        </w:tc>
      </w:tr>
      <w:tr>
        <w:tc>
          <w:tcPr>
            <w:tcW w:type="dxa" w:w="3400"/>
            <w:vAlign w:val="center"/>
          </w:tcPr>
          <w:p>
            <w:r>
              <w:t>validationRule</w:t>
            </w:r>
          </w:p>
        </w:tc>
        <w:tc>
          <w:tcPr>
            <w:tcW w:type="dxa" w:w="3400"/>
            <w:vAlign w:val="center"/>
          </w:tcPr>
          <w:p>
            <w:r>
              <w:t>Rango, coherencia, obligatoriedad y dependencia.</w:t>
            </w:r>
          </w:p>
        </w:tc>
        <w:tc>
          <w:tcPr>
            <w:tcW w:type="dxa" w:w="3400"/>
            <w:vAlign w:val="center"/>
          </w:tcPr>
          <w:p>
            <w:r>
              <w:t>Emitir bloqueo o advertencia tipificada.</w:t>
            </w:r>
          </w:p>
        </w:tc>
      </w:tr>
      <w:tr>
        <w:tc>
          <w:tcPr>
            <w:tcW w:type="dxa" w:w="3400"/>
            <w:vAlign w:val="center"/>
          </w:tcPr>
          <w:p>
            <w:r>
              <w:t>evidenceLink</w:t>
            </w:r>
          </w:p>
        </w:tc>
        <w:tc>
          <w:tcPr>
            <w:tcW w:type="dxa" w:w="3400"/>
            <w:vAlign w:val="center"/>
          </w:tcPr>
          <w:p>
            <w:r>
              <w:t>Cláusula, cálculo, ensayo, aprobación o certificado.</w:t>
            </w:r>
          </w:p>
        </w:tc>
        <w:tc>
          <w:tcPr>
            <w:tcW w:type="dxa" w:w="3400"/>
            <w:vAlign w:val="center"/>
          </w:tcPr>
          <w:p>
            <w:r>
              <w:t>Marcar como evidencia incompleta.</w:t>
            </w:r>
          </w:p>
        </w:tc>
      </w:tr>
      <w:tr>
        <w:tc>
          <w:tcPr>
            <w:tcW w:type="dxa" w:w="3400"/>
            <w:vAlign w:val="center"/>
          </w:tcPr>
          <w:p>
            <w:r>
              <w:t>renderPolicy</w:t>
            </w:r>
          </w:p>
        </w:tc>
        <w:tc>
          <w:tcPr>
            <w:tcW w:type="dxa" w:w="3400"/>
            <w:vAlign w:val="center"/>
          </w:tcPr>
          <w:p>
            <w:r>
              <w:t>DOCX/PDF/A/HTML, paginación, cabeceras y accesibilidad.</w:t>
            </w:r>
          </w:p>
        </w:tc>
        <w:tc>
          <w:tcPr>
            <w:tcW w:type="dxa" w:w="3400"/>
            <w:vAlign w:val="center"/>
          </w:tcPr>
          <w:p>
            <w:r>
              <w:t>No liberar si el render no supera QA.</w:t>
            </w:r>
          </w:p>
        </w:tc>
      </w:tr>
    </w:tbl>
    <w:p>
      <w:pPr>
        <w:pStyle w:val="Heading2"/>
      </w:pPr>
      <w:r>
        <w:t>26.2 Trazabilidad a nivel de campo</w:t>
      </w:r>
    </w:p>
    <w:p>
      <w:pPr/>
      <w:r>
        <w:t>Cada cifra, texto técnico, tabla, gráfico y decisión deberá conservar un lineage de campo. El usuario podrá seleccionar cualquier valor del informe y abrir su cadena de procedencia.</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1F2"/>
            <w:vAlign w:val="center"/>
          </w:tcPr>
          <w:p>
            <w:r>
              <w:t>Campo de lineage</w:t>
            </w:r>
          </w:p>
        </w:tc>
        <w:tc>
          <w:tcPr>
            <w:tcW w:type="dxa" w:w="5100"/>
            <w:shd w:fill="D9E1F2"/>
            <w:vAlign w:val="center"/>
          </w:tcPr>
          <w:p>
            <w:r>
              <w:t>Descripción</w:t>
            </w:r>
          </w:p>
        </w:tc>
      </w:tr>
      <w:tr>
        <w:tc>
          <w:tcPr>
            <w:tcW w:type="dxa" w:w="5100"/>
            <w:vAlign w:val="center"/>
          </w:tcPr>
          <w:p>
            <w:r>
              <w:t>sourceObjectId</w:t>
            </w:r>
          </w:p>
        </w:tc>
        <w:tc>
          <w:tcPr>
            <w:tcW w:type="dxa" w:w="5100"/>
            <w:vAlign w:val="center"/>
          </w:tcPr>
          <w:p>
            <w:r>
              <w:t>Objeto y revisión de origen.</w:t>
            </w:r>
          </w:p>
        </w:tc>
      </w:tr>
      <w:tr>
        <w:tc>
          <w:tcPr>
            <w:tcW w:type="dxa" w:w="5100"/>
            <w:vAlign w:val="center"/>
          </w:tcPr>
          <w:p>
            <w:r>
              <w:t>sourcePath</w:t>
            </w:r>
          </w:p>
        </w:tc>
        <w:tc>
          <w:tcPr>
            <w:tcW w:type="dxa" w:w="5100"/>
            <w:vAlign w:val="center"/>
          </w:tcPr>
          <w:p>
            <w:r>
              <w:t>Ruta exacta dentro del snapshot.</w:t>
            </w:r>
          </w:p>
        </w:tc>
      </w:tr>
      <w:tr>
        <w:tc>
          <w:tcPr>
            <w:tcW w:type="dxa" w:w="5100"/>
            <w:vAlign w:val="center"/>
          </w:tcPr>
          <w:p>
            <w:r>
              <w:t>calculationRunId</w:t>
            </w:r>
          </w:p>
        </w:tc>
        <w:tc>
          <w:tcPr>
            <w:tcW w:type="dxa" w:w="5100"/>
            <w:vAlign w:val="center"/>
          </w:tcPr>
          <w:p>
            <w:r>
              <w:t>Ejecución determinista que produjo el valor.</w:t>
            </w:r>
          </w:p>
        </w:tc>
      </w:tr>
      <w:tr>
        <w:tc>
          <w:tcPr>
            <w:tcW w:type="dxa" w:w="5100"/>
            <w:vAlign w:val="center"/>
          </w:tcPr>
          <w:p>
            <w:r>
              <w:t>ruleId</w:t>
            </w:r>
          </w:p>
        </w:tc>
        <w:tc>
          <w:tcPr>
            <w:tcW w:type="dxa" w:w="5100"/>
            <w:vAlign w:val="center"/>
          </w:tcPr>
          <w:p>
            <w:r>
              <w:t>Regla normativa o interna aplicada.</w:t>
            </w:r>
          </w:p>
        </w:tc>
      </w:tr>
      <w:tr>
        <w:tc>
          <w:tcPr>
            <w:tcW w:type="dxa" w:w="5100"/>
            <w:vAlign w:val="center"/>
          </w:tcPr>
          <w:p>
            <w:r>
              <w:t>displayTransform</w:t>
            </w:r>
          </w:p>
        </w:tc>
        <w:tc>
          <w:tcPr>
            <w:tcW w:type="dxa" w:w="5100"/>
            <w:vAlign w:val="center"/>
          </w:tcPr>
          <w:p>
            <w:r>
              <w:t>Conversión de unidad y redondeo.</w:t>
            </w:r>
          </w:p>
        </w:tc>
      </w:tr>
      <w:tr>
        <w:tc>
          <w:tcPr>
            <w:tcW w:type="dxa" w:w="5100"/>
            <w:vAlign w:val="center"/>
          </w:tcPr>
          <w:p>
            <w:r>
              <w:t>authoringMode</w:t>
            </w:r>
          </w:p>
        </w:tc>
        <w:tc>
          <w:tcPr>
            <w:tcW w:type="dxa" w:w="5100"/>
            <w:vAlign w:val="center"/>
          </w:tcPr>
          <w:p>
            <w:r>
              <w:t>Determinista, plantilla, IA revisada o comentario humano.</w:t>
            </w:r>
          </w:p>
        </w:tc>
      </w:tr>
      <w:tr>
        <w:tc>
          <w:tcPr>
            <w:tcW w:type="dxa" w:w="5100"/>
            <w:vAlign w:val="center"/>
          </w:tcPr>
          <w:p>
            <w:r>
              <w:t>reviewStatus</w:t>
            </w:r>
          </w:p>
        </w:tc>
        <w:tc>
          <w:tcPr>
            <w:tcW w:type="dxa" w:w="5100"/>
            <w:vAlign w:val="center"/>
          </w:tcPr>
          <w:p>
            <w:r>
              <w:t>Pendiente, revisado, aprobado o rechazado.</w:t>
            </w:r>
          </w:p>
        </w:tc>
      </w:tr>
      <w:tr>
        <w:tc>
          <w:tcPr>
            <w:tcW w:type="dxa" w:w="5100"/>
            <w:vAlign w:val="center"/>
          </w:tcPr>
          <w:p>
            <w:r>
              <w:t>hash</w:t>
            </w:r>
          </w:p>
        </w:tc>
        <w:tc>
          <w:tcPr>
            <w:tcW w:type="dxa" w:w="5100"/>
            <w:vAlign w:val="center"/>
          </w:tcPr>
          <w:p>
            <w:r>
              <w:t>Huella del valor y su contexto.</w:t>
            </w:r>
          </w:p>
        </w:tc>
      </w:tr>
    </w:tbl>
    <w:p>
      <w:pPr>
        <w:pStyle w:val="ListBullet"/>
      </w:pPr>
      <w:r>
        <w:t>No se permitirá copiar manualmente un resultado desde una pantalla a un informe liberable.</w:t>
      </w:r>
    </w:p>
    <w:p>
      <w:pPr>
        <w:pStyle w:val="ListBullet"/>
      </w:pPr>
      <w:r>
        <w:t>Los campos técnicos quedarán bloqueados frente a edición directa en DOCX.</w:t>
      </w:r>
    </w:p>
    <w:p>
      <w:pPr>
        <w:pStyle w:val="ListBullet"/>
      </w:pPr>
      <w:r>
        <w:t>Una modificación posterior al render invalidará la firma y el hash.</w:t>
      </w:r>
    </w:p>
    <w:p>
      <w:pPr>
        <w:pStyle w:val="ListBullet"/>
      </w:pPr>
      <w:r>
        <w:t>Los textos explicativos generados por IA se etiquetarán internamente y exigirán aceptación humana.</w:t>
      </w:r>
    </w:p>
    <w:p>
      <w:pPr>
        <w:pStyle w:val="Heading1"/>
      </w:pPr>
      <w:r>
        <w:t>27. Catálogo de datos críticos y reglas de presentación</w:t>
      </w:r>
    </w:p>
    <w:p>
      <w:pPr/>
      <w:r>
        <w:t>Se creará un catálogo corporativo de magnitudes y campos críticos. Este catálogo evitará que cada informe adopte unidades, decimales, nombres o criterios de redondeo diferentes.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1F2"/>
            <w:vAlign w:val="center"/>
          </w:tcPr>
          <w:p>
            <w:r>
              <w:t>Familia</w:t>
            </w:r>
          </w:p>
        </w:tc>
        <w:tc>
          <w:tcPr>
            <w:tcW w:type="dxa" w:w="3400"/>
            <w:shd w:fill="D9E1F2"/>
            <w:vAlign w:val="center"/>
          </w:tcPr>
          <w:p>
            <w:r>
              <w:t>Ejemplos</w:t>
            </w:r>
          </w:p>
        </w:tc>
        <w:tc>
          <w:tcPr>
            <w:tcW w:type="dxa" w:w="3400"/>
            <w:shd w:fill="D9E1F2"/>
            <w:vAlign w:val="center"/>
          </w:tcPr>
          <w:p>
            <w:r>
              <w:t>Regla mínima</w:t>
            </w:r>
          </w:p>
        </w:tc>
      </w:tr>
      <w:tr>
        <w:tc>
          <w:tcPr>
            <w:tcW w:type="dxa" w:w="3400"/>
            <w:vAlign w:val="center"/>
          </w:tcPr>
          <w:p>
            <w:r>
              <w:t>Identidad</w:t>
            </w:r>
          </w:p>
        </w:tc>
        <w:tc>
          <w:tcPr>
            <w:tcW w:type="dxa" w:w="3400"/>
            <w:vAlign w:val="center"/>
          </w:tcPr>
          <w:p>
            <w:r>
              <w:t>Proyecto, referencia, revisión, cliente, emplazamiento.</w:t>
            </w:r>
          </w:p>
        </w:tc>
        <w:tc>
          <w:tcPr>
            <w:tcW w:type="dxa" w:w="3400"/>
            <w:vAlign w:val="center"/>
          </w:tcPr>
          <w:p>
            <w:r>
              <w:t>Texto exacto, sin traducción de identificadores.</w:t>
            </w:r>
          </w:p>
        </w:tc>
      </w:tr>
      <w:tr>
        <w:tc>
          <w:tcPr>
            <w:tcW w:type="dxa" w:w="3400"/>
            <w:vAlign w:val="center"/>
          </w:tcPr>
          <w:p>
            <w:r>
              <w:t>Geometría</w:t>
            </w:r>
          </w:p>
        </w:tc>
        <w:tc>
          <w:tcPr>
            <w:tcW w:type="dxa" w:w="3400"/>
            <w:vAlign w:val="center"/>
          </w:tcPr>
          <w:p>
            <w:r>
              <w:t>Altura, diámetros, espesores, conicidad, puertas.</w:t>
            </w:r>
          </w:p>
        </w:tc>
        <w:tc>
          <w:tcPr>
            <w:tcW w:type="dxa" w:w="3400"/>
            <w:vAlign w:val="center"/>
          </w:tcPr>
          <w:p>
            <w:r>
              <w:t>mm o m según contexto; tolerancia visible.</w:t>
            </w:r>
          </w:p>
        </w:tc>
      </w:tr>
      <w:tr>
        <w:tc>
          <w:tcPr>
            <w:tcW w:type="dxa" w:w="3400"/>
            <w:vAlign w:val="center"/>
          </w:tcPr>
          <w:p>
            <w:r>
              <w:t>Acciones</w:t>
            </w:r>
          </w:p>
        </w:tc>
        <w:tc>
          <w:tcPr>
            <w:tcW w:type="dxa" w:w="3400"/>
            <w:vAlign w:val="center"/>
          </w:tcPr>
          <w:p>
            <w:r>
              <w:t>Viento, nieve, sismo, cables, masas.</w:t>
            </w:r>
          </w:p>
        </w:tc>
        <w:tc>
          <w:tcPr>
            <w:tcW w:type="dxa" w:w="3400"/>
            <w:vAlign w:val="center"/>
          </w:tcPr>
          <w:p>
            <w:r>
              <w:t>Valor característico y de diseño diferenciados.</w:t>
            </w:r>
          </w:p>
        </w:tc>
      </w:tr>
      <w:tr>
        <w:tc>
          <w:tcPr>
            <w:tcW w:type="dxa" w:w="3400"/>
            <w:vAlign w:val="center"/>
          </w:tcPr>
          <w:p>
            <w:r>
              <w:t>Esfuerzos</w:t>
            </w:r>
          </w:p>
        </w:tc>
        <w:tc>
          <w:tcPr>
            <w:tcW w:type="dxa" w:w="3400"/>
            <w:vAlign w:val="center"/>
          </w:tcPr>
          <w:p>
            <w:r>
              <w:t>N, V, M, T.</w:t>
            </w:r>
          </w:p>
        </w:tc>
        <w:tc>
          <w:tcPr>
            <w:tcW w:type="dxa" w:w="3400"/>
            <w:vAlign w:val="center"/>
          </w:tcPr>
          <w:p>
            <w:r>
              <w:t>Signo y sistema de ejes declarados.</w:t>
            </w:r>
          </w:p>
        </w:tc>
      </w:tr>
      <w:tr>
        <w:tc>
          <w:tcPr>
            <w:tcW w:type="dxa" w:w="3400"/>
            <w:vAlign w:val="center"/>
          </w:tcPr>
          <w:p>
            <w:r>
              <w:t>Resistencia</w:t>
            </w:r>
          </w:p>
        </w:tc>
        <w:tc>
          <w:tcPr>
            <w:tcW w:type="dxa" w:w="3400"/>
            <w:vAlign w:val="center"/>
          </w:tcPr>
          <w:p>
            <w:r>
              <w:t>Capacidad, utilización, margen.</w:t>
            </w:r>
          </w:p>
        </w:tc>
        <w:tc>
          <w:tcPr>
            <w:tcW w:type="dxa" w:w="3400"/>
            <w:vAlign w:val="center"/>
          </w:tcPr>
          <w:p>
            <w:r>
              <w:t>Utilización con tres decimales en memoria y dos en resumen, sin cambiar decisión.</w:t>
            </w:r>
          </w:p>
        </w:tc>
      </w:tr>
      <w:tr>
        <w:tc>
          <w:tcPr>
            <w:tcW w:type="dxa" w:w="3400"/>
            <w:vAlign w:val="center"/>
          </w:tcPr>
          <w:p>
            <w:r>
              <w:t>Deformación</w:t>
            </w:r>
          </w:p>
        </w:tc>
        <w:tc>
          <w:tcPr>
            <w:tcW w:type="dxa" w:w="3400"/>
            <w:vAlign w:val="center"/>
          </w:tcPr>
          <w:p>
            <w:r>
              <w:t>Desplazamiento, giro, flecha.</w:t>
            </w:r>
          </w:p>
        </w:tc>
        <w:tc>
          <w:tcPr>
            <w:tcW w:type="dxa" w:w="3400"/>
            <w:vAlign w:val="center"/>
          </w:tcPr>
          <w:p>
            <w:r>
              <w:t>Límite y valor calculado en la misma unidad.</w:t>
            </w:r>
          </w:p>
        </w:tc>
      </w:tr>
      <w:tr>
        <w:tc>
          <w:tcPr>
            <w:tcW w:type="dxa" w:w="3400"/>
            <w:vAlign w:val="center"/>
          </w:tcPr>
          <w:p>
            <w:r>
              <w:t>Coste</w:t>
            </w:r>
          </w:p>
        </w:tc>
        <w:tc>
          <w:tcPr>
            <w:tcW w:type="dxa" w:w="3400"/>
            <w:vAlign w:val="center"/>
          </w:tcPr>
          <w:p>
            <w:r>
              <w:t>Industrial, margen, precio.</w:t>
            </w:r>
          </w:p>
        </w:tc>
        <w:tc>
          <w:tcPr>
            <w:tcW w:type="dxa" w:w="3400"/>
            <w:vAlign w:val="center"/>
          </w:tcPr>
          <w:p>
            <w:r>
              <w:t>Visibilidad por rol; moneda y fecha de tarifa.</w:t>
            </w:r>
          </w:p>
        </w:tc>
      </w:tr>
      <w:tr>
        <w:tc>
          <w:tcPr>
            <w:tcW w:type="dxa" w:w="3400"/>
            <w:vAlign w:val="center"/>
          </w:tcPr>
          <w:p>
            <w:r>
              <w:t>CO2</w:t>
            </w:r>
          </w:p>
        </w:tc>
        <w:tc>
          <w:tcPr>
            <w:tcW w:type="dxa" w:w="3400"/>
            <w:vAlign w:val="center"/>
          </w:tcPr>
          <w:p>
            <w:r>
              <w:t>kgCO2e por producto y etapa.</w:t>
            </w:r>
          </w:p>
        </w:tc>
        <w:tc>
          <w:tcPr>
            <w:tcW w:type="dxa" w:w="3400"/>
            <w:vAlign w:val="center"/>
          </w:tcPr>
          <w:p>
            <w:r>
              <w:t>Metodología, factor y fecha.</w:t>
            </w:r>
          </w:p>
        </w:tc>
      </w:tr>
      <w:tr>
        <w:tc>
          <w:tcPr>
            <w:tcW w:type="dxa" w:w="3400"/>
            <w:vAlign w:val="center"/>
          </w:tcPr>
          <w:p>
            <w:r>
              <w:t>Conformidad</w:t>
            </w:r>
          </w:p>
        </w:tc>
        <w:tc>
          <w:tcPr>
            <w:tcW w:type="dxa" w:w="3400"/>
            <w:vAlign w:val="center"/>
          </w:tcPr>
          <w:p>
            <w:r>
              <w:t>Norma, edición, anexo, ruta.</w:t>
            </w:r>
          </w:p>
        </w:tc>
        <w:tc>
          <w:tcPr>
            <w:tcW w:type="dxa" w:w="3400"/>
            <w:vAlign w:val="center"/>
          </w:tcPr>
          <w:p>
            <w:r>
              <w:t>Texto oficial y estado de vigencia.</w:t>
            </w:r>
          </w:p>
        </w:tc>
      </w:tr>
    </w:tbl>
    <w:p>
      <w:pPr>
        <w:pStyle w:val="Heading2"/>
      </w:pPr>
      <w:r>
        <w:t>27.1 Política de valores límite</w:t>
      </w:r>
    </w:p>
    <w:p>
      <w:pPr/>
      <w:r>
        <w:t>Los valores próximos al límite tendrán una presentación reforzada. Además del valor mostrado se conservará el valor interno, la diferencia absoluta y relativa respecto al límite y la política de aceptación aplicada.</w:t>
      </w:r>
    </w:p>
    <w:p>
      <w:pPr>
        <w:pStyle w:val="ListBullet"/>
      </w:pPr>
      <w:r>
        <w:t>No se redondeará un incumplimiento para convertirlo visualmente en cumplimiento.</w:t>
      </w:r>
    </w:p>
    <w:p>
      <w:pPr>
        <w:pStyle w:val="ListBullet"/>
      </w:pPr>
      <w:r>
        <w:t>Un valor dentro de la banda de alerta corporativa se mostrará como “cumple con reserva de margen”.</w:t>
      </w:r>
    </w:p>
    <w:p>
      <w:pPr>
        <w:pStyle w:val="ListBullet"/>
      </w:pPr>
      <w:r>
        <w:t>La banda de alerta será configurable por componente y madurez.</w:t>
      </w:r>
    </w:p>
    <w:p>
      <w:pPr>
        <w:pStyle w:val="ListBullet"/>
      </w:pPr>
      <w:r>
        <w:t>Los informes de cliente podrán simplificar decimales, pero no ocultar una reserva relevante.</w:t>
      </w:r>
    </w:p>
    <w:p>
      <w:pPr>
        <w:pStyle w:val="Heading1"/>
      </w:pPr>
      <w:r>
        <w:t>28. Comparador semántico y análisis de impacto</w:t>
      </w:r>
    </w:p>
    <w:p>
      <w:pPr/>
      <w:r>
        <w:t>La comparación entre revisiones no se limitará a diferencias de texto o ficheros. El sistema realizará un diff semántico entre snapshots, resultados, documentos y aprobaciones, clasificando cada cambio por naturaleza, criticidad y alcance.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1F2"/>
            <w:vAlign w:val="center"/>
          </w:tcPr>
          <w:p>
            <w:r>
              <w:t>Clase de cambio</w:t>
            </w:r>
          </w:p>
        </w:tc>
        <w:tc>
          <w:tcPr>
            <w:tcW w:type="dxa" w:w="3400"/>
            <w:shd w:fill="D9E1F2"/>
            <w:vAlign w:val="center"/>
          </w:tcPr>
          <w:p>
            <w:r>
              <w:t>Ejemplos</w:t>
            </w:r>
          </w:p>
        </w:tc>
        <w:tc>
          <w:tcPr>
            <w:tcW w:type="dxa" w:w="3400"/>
            <w:shd w:fill="D9E1F2"/>
            <w:vAlign w:val="center"/>
          </w:tcPr>
          <w:p>
            <w:r>
              <w:t>Respuesta automática</w:t>
            </w:r>
          </w:p>
        </w:tc>
      </w:tr>
      <w:tr>
        <w:tc>
          <w:tcPr>
            <w:tcW w:type="dxa" w:w="3400"/>
            <w:vAlign w:val="center"/>
          </w:tcPr>
          <w:p>
            <w:r>
              <w:t>Identidad</w:t>
            </w:r>
          </w:p>
        </w:tc>
        <w:tc>
          <w:tcPr>
            <w:tcW w:type="dxa" w:w="3400"/>
            <w:vAlign w:val="center"/>
          </w:tcPr>
          <w:p>
            <w:r>
              <w:t>Nombre, cliente, código.</w:t>
            </w:r>
          </w:p>
        </w:tc>
        <w:tc>
          <w:tcPr>
            <w:tcW w:type="dxa" w:w="3400"/>
            <w:vAlign w:val="center"/>
          </w:tcPr>
          <w:p>
            <w:r>
              <w:t>Actualizar portada; revisar distribución.</w:t>
            </w:r>
          </w:p>
        </w:tc>
      </w:tr>
      <w:tr>
        <w:tc>
          <w:tcPr>
            <w:tcW w:type="dxa" w:w="3400"/>
            <w:vAlign w:val="center"/>
          </w:tcPr>
          <w:p>
            <w:r>
              <w:t>Entrada técnica</w:t>
            </w:r>
          </w:p>
        </w:tc>
        <w:tc>
          <w:tcPr>
            <w:tcW w:type="dxa" w:w="3400"/>
            <w:vAlign w:val="center"/>
          </w:tcPr>
          <w:p>
            <w:r>
              <w:t>Altura, viento, material, espesor.</w:t>
            </w:r>
          </w:p>
        </w:tc>
        <w:tc>
          <w:tcPr>
            <w:tcW w:type="dxa" w:w="3400"/>
            <w:vAlign w:val="center"/>
          </w:tcPr>
          <w:p>
            <w:r>
              <w:t>Invalidar cálculo y documentos dependientes.</w:t>
            </w:r>
          </w:p>
        </w:tc>
      </w:tr>
      <w:tr>
        <w:tc>
          <w:tcPr>
            <w:tcW w:type="dxa" w:w="3400"/>
            <w:vAlign w:val="center"/>
          </w:tcPr>
          <w:p>
            <w:r>
              <w:t>Regla normativa</w:t>
            </w:r>
          </w:p>
        </w:tc>
        <w:tc>
          <w:tcPr>
            <w:tcW w:type="dxa" w:w="3400"/>
            <w:vAlign w:val="center"/>
          </w:tcPr>
          <w:p>
            <w:r>
              <w:t>Edición, anexo, coeficiente.</w:t>
            </w:r>
          </w:p>
        </w:tc>
        <w:tc>
          <w:tcPr>
            <w:tcW w:type="dxa" w:w="3400"/>
            <w:vAlign w:val="center"/>
          </w:tcPr>
          <w:p>
            <w:r>
              <w:t>Recalcular alcance afectado y revisar conformidad.</w:t>
            </w:r>
          </w:p>
        </w:tc>
      </w:tr>
      <w:tr>
        <w:tc>
          <w:tcPr>
            <w:tcW w:type="dxa" w:w="3400"/>
            <w:vAlign w:val="center"/>
          </w:tcPr>
          <w:p>
            <w:r>
              <w:t>Resultado</w:t>
            </w:r>
          </w:p>
        </w:tc>
        <w:tc>
          <w:tcPr>
            <w:tcW w:type="dxa" w:w="3400"/>
            <w:vAlign w:val="center"/>
          </w:tcPr>
          <w:p>
            <w:r>
              <w:t>Caso gobernante, utilización, deformación.</w:t>
            </w:r>
          </w:p>
        </w:tc>
        <w:tc>
          <w:tcPr>
            <w:tcW w:type="dxa" w:w="3400"/>
            <w:vAlign w:val="center"/>
          </w:tcPr>
          <w:p>
            <w:r>
              <w:t>Regenerar tablas, gráficos y conclusiones.</w:t>
            </w:r>
          </w:p>
        </w:tc>
      </w:tr>
      <w:tr>
        <w:tc>
          <w:tcPr>
            <w:tcW w:type="dxa" w:w="3400"/>
            <w:vAlign w:val="center"/>
          </w:tcPr>
          <w:p>
            <w:r>
              <w:t>Industrial</w:t>
            </w:r>
          </w:p>
        </w:tc>
        <w:tc>
          <w:tcPr>
            <w:tcW w:type="dxa" w:w="3400"/>
            <w:vAlign w:val="center"/>
          </w:tcPr>
          <w:p>
            <w:r>
              <w:t>Proveedor, WPS, ruta, acabado.</w:t>
            </w:r>
          </w:p>
        </w:tc>
        <w:tc>
          <w:tcPr>
            <w:tcW w:type="dxa" w:w="3400"/>
            <w:vAlign w:val="center"/>
          </w:tcPr>
          <w:p>
            <w:r>
              <w:t>Revisar producción y calidad.</w:t>
            </w:r>
          </w:p>
        </w:tc>
      </w:tr>
      <w:tr>
        <w:tc>
          <w:tcPr>
            <w:tcW w:type="dxa" w:w="3400"/>
            <w:vAlign w:val="center"/>
          </w:tcPr>
          <w:p>
            <w:r>
              <w:t>Editorial</w:t>
            </w:r>
          </w:p>
        </w:tc>
        <w:tc>
          <w:tcPr>
            <w:tcW w:type="dxa" w:w="3400"/>
            <w:vAlign w:val="center"/>
          </w:tcPr>
          <w:p>
            <w:r>
              <w:t>Ortografía, estilo.</w:t>
            </w:r>
          </w:p>
        </w:tc>
        <w:tc>
          <w:tcPr>
            <w:tcW w:type="dxa" w:w="3400"/>
            <w:vAlign w:val="center"/>
          </w:tcPr>
          <w:p>
            <w:r>
              <w:t>No invalidar cálculo; nueva revisión documental.</w:t>
            </w:r>
          </w:p>
        </w:tc>
      </w:tr>
      <w:tr>
        <w:tc>
          <w:tcPr>
            <w:tcW w:type="dxa" w:w="3400"/>
            <w:vAlign w:val="center"/>
          </w:tcPr>
          <w:p>
            <w:r>
              <w:t>Traducción</w:t>
            </w:r>
          </w:p>
        </w:tc>
        <w:tc>
          <w:tcPr>
            <w:tcW w:type="dxa" w:w="3400"/>
            <w:vAlign w:val="center"/>
          </w:tcPr>
          <w:p>
            <w:r>
              <w:t>Cambio lingüístico equivalente.</w:t>
            </w:r>
          </w:p>
        </w:tc>
        <w:tc>
          <w:tcPr>
            <w:tcW w:type="dxa" w:w="3400"/>
            <w:vAlign w:val="center"/>
          </w:tcPr>
          <w:p>
            <w:r>
              <w:t>Revisión lingüística y control de términos.</w:t>
            </w:r>
          </w:p>
        </w:tc>
      </w:tr>
      <w:tr>
        <w:tc>
          <w:tcPr>
            <w:tcW w:type="dxa" w:w="3400"/>
            <w:vAlign w:val="center"/>
          </w:tcPr>
          <w:p>
            <w:r>
              <w:t>Permiso/distribución</w:t>
            </w:r>
          </w:p>
        </w:tc>
        <w:tc>
          <w:tcPr>
            <w:tcW w:type="dxa" w:w="3400"/>
            <w:vAlign w:val="center"/>
          </w:tcPr>
          <w:p>
            <w:r>
              <w:t>Destinatario o clasificación.</w:t>
            </w:r>
          </w:p>
        </w:tc>
        <w:tc>
          <w:tcPr>
            <w:tcW w:type="dxa" w:w="3400"/>
            <w:vAlign w:val="center"/>
          </w:tcPr>
          <w:p>
            <w:r>
              <w:t>Revocar enlaces y regenerar paquete.</w:t>
            </w:r>
          </w:p>
        </w:tc>
      </w:tr>
    </w:tbl>
    <w:p>
      <w:pPr>
        <w:pStyle w:val="Heading2"/>
      </w:pPr>
      <w:r>
        <w:t>28.1 Matriz de impacto</w:t>
      </w:r>
    </w:p>
    <w:p>
      <w:pPr/>
      <w:r>
        <w:t>Cada entidad declarará sus dependencias. El motor de impacto calculará qué documentos, aprobaciones, firmas y entregas quedan obsoletos. El resultado se mostrará antes de confirmar el cambio.</w:t>
      </w:r>
    </w:p>
    <w:p>
      <w:pPr>
        <w:pStyle w:val="ListBullet"/>
      </w:pPr>
      <w:r>
        <w:t>Lista de artefactos que deben regenerarse.</w:t>
      </w:r>
    </w:p>
    <w:p>
      <w:pPr>
        <w:pStyle w:val="ListBullet"/>
      </w:pPr>
      <w:r>
        <w:t>Aprobaciones que permanecen válidas y las que caducan.</w:t>
      </w:r>
    </w:p>
    <w:p>
      <w:pPr>
        <w:pStyle w:val="ListBullet"/>
      </w:pPr>
      <w:r>
        <w:t>Destinatarios que recibieron una versión afectada.</w:t>
      </w:r>
    </w:p>
    <w:p>
      <w:pPr>
        <w:pStyle w:val="ListBullet"/>
      </w:pPr>
      <w:r>
        <w:t>Necesidad de emitir notificación, revocación o sustitución.</w:t>
      </w:r>
    </w:p>
    <w:p>
      <w:pPr>
        <w:pStyle w:val="ListBullet"/>
      </w:pPr>
      <w:r>
        <w:t>Estimación del tiempo y responsables requeridos para recuperar M3/M4.</w:t>
      </w:r>
    </w:p>
    <w:p>
      <w:pPr>
        <w:pStyle w:val="Heading1"/>
      </w:pPr>
      <w:r>
        <w:t>29. Evidencia regulatoria, conformidad y jurisdicciones</w:t>
      </w:r>
    </w:p>
    <w:p>
      <w:pPr/>
      <w:r>
        <w:t>El paquete regulatorio será una composición controlada por mercado, fecha, producto y ruta de evaluación. La aplicación no presumirá que una plantilla europea sirve para todos los países ni que una norma permanece vigente indefinidamente.</w:t>
      </w:r>
    </w:p>
    <w:p>
      <w:pPr>
        <w:pStyle w:val="Heading2"/>
      </w:pPr>
      <w:r>
        <w:t>29.1 Registro de aplicabilidad</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1F2"/>
            <w:vAlign w:val="center"/>
          </w:tcPr>
          <w:p>
            <w:r>
              <w:t>Dimensión</w:t>
            </w:r>
          </w:p>
        </w:tc>
        <w:tc>
          <w:tcPr>
            <w:tcW w:type="dxa" w:w="5100"/>
            <w:shd w:fill="D9E1F2"/>
            <w:vAlign w:val="center"/>
          </w:tcPr>
          <w:p>
            <w:r>
              <w:t>Contenido</w:t>
            </w:r>
          </w:p>
        </w:tc>
      </w:tr>
      <w:tr>
        <w:tc>
          <w:tcPr>
            <w:tcW w:type="dxa" w:w="5100"/>
            <w:vAlign w:val="center"/>
          </w:tcPr>
          <w:p>
            <w:r>
              <w:t>Mercado</w:t>
            </w:r>
          </w:p>
        </w:tc>
        <w:tc>
          <w:tcPr>
            <w:tcW w:type="dxa" w:w="5100"/>
            <w:vAlign w:val="center"/>
          </w:tcPr>
          <w:p>
            <w:r>
              <w:t>UE, país, región, municipio o cliente.</w:t>
            </w:r>
          </w:p>
        </w:tc>
      </w:tr>
      <w:tr>
        <w:tc>
          <w:tcPr>
            <w:tcW w:type="dxa" w:w="5100"/>
            <w:vAlign w:val="center"/>
          </w:tcPr>
          <w:p>
            <w:r>
              <w:t>Fecha</w:t>
            </w:r>
          </w:p>
        </w:tc>
        <w:tc>
          <w:tcPr>
            <w:tcW w:type="dxa" w:w="5100"/>
            <w:vAlign w:val="center"/>
          </w:tcPr>
          <w:p>
            <w:r>
              <w:t>Fecha de diseño, fabricación, suministro y puesta en servicio.</w:t>
            </w:r>
          </w:p>
        </w:tc>
      </w:tr>
      <w:tr>
        <w:tc>
          <w:tcPr>
            <w:tcW w:type="dxa" w:w="5100"/>
            <w:vAlign w:val="center"/>
          </w:tcPr>
          <w:p>
            <w:r>
              <w:t>Producto</w:t>
            </w:r>
          </w:p>
        </w:tc>
        <w:tc>
          <w:tcPr>
            <w:tcW w:type="dxa" w:w="5100"/>
            <w:vAlign w:val="center"/>
          </w:tcPr>
          <w:p>
            <w:r>
              <w:t>Material, altura, configuración, uso y familia.</w:t>
            </w:r>
          </w:p>
        </w:tc>
      </w:tr>
      <w:tr>
        <w:tc>
          <w:tcPr>
            <w:tcW w:type="dxa" w:w="5100"/>
            <w:vAlign w:val="center"/>
          </w:tcPr>
          <w:p>
            <w:r>
              <w:t>Especificación</w:t>
            </w:r>
          </w:p>
        </w:tc>
        <w:tc>
          <w:tcPr>
            <w:tcW w:type="dxa" w:w="5100"/>
            <w:vAlign w:val="center"/>
          </w:tcPr>
          <w:p>
            <w:r>
              <w:t>Norma armonizada, evaluación técnica, pliego o regla local.</w:t>
            </w:r>
          </w:p>
        </w:tc>
      </w:tr>
      <w:tr>
        <w:tc>
          <w:tcPr>
            <w:tcW w:type="dxa" w:w="5100"/>
            <w:vAlign w:val="center"/>
          </w:tcPr>
          <w:p>
            <w:r>
              <w:t>Sistema de evaluación</w:t>
            </w:r>
          </w:p>
        </w:tc>
        <w:tc>
          <w:tcPr>
            <w:tcW w:type="dxa" w:w="5100"/>
            <w:vAlign w:val="center"/>
          </w:tcPr>
          <w:p>
            <w:r>
              <w:t>Responsabilidades de fabricante, organismo y control de producción.</w:t>
            </w:r>
          </w:p>
        </w:tc>
      </w:tr>
      <w:tr>
        <w:tc>
          <w:tcPr>
            <w:tcW w:type="dxa" w:w="5100"/>
            <w:vAlign w:val="center"/>
          </w:tcPr>
          <w:p>
            <w:r>
              <w:t>Prestaciones declaradas</w:t>
            </w:r>
          </w:p>
        </w:tc>
        <w:tc>
          <w:tcPr>
            <w:tcW w:type="dxa" w:w="5100"/>
            <w:vAlign w:val="center"/>
          </w:tcPr>
          <w:p>
            <w:r>
              <w:t>Características, clases, niveles y NPD cuando proceda.</w:t>
            </w:r>
          </w:p>
        </w:tc>
      </w:tr>
      <w:tr>
        <w:tc>
          <w:tcPr>
            <w:tcW w:type="dxa" w:w="5100"/>
            <w:vAlign w:val="center"/>
          </w:tcPr>
          <w:p>
            <w:r>
              <w:t>Evidencias</w:t>
            </w:r>
          </w:p>
        </w:tc>
        <w:tc>
          <w:tcPr>
            <w:tcW w:type="dxa" w:w="5100"/>
            <w:vAlign w:val="center"/>
          </w:tcPr>
          <w:p>
            <w:r>
              <w:t>Ensayos, cálculos, FPC, certificados y trazabilidad.</w:t>
            </w:r>
          </w:p>
        </w:tc>
      </w:tr>
      <w:tr>
        <w:tc>
          <w:tcPr>
            <w:tcW w:type="dxa" w:w="5100"/>
            <w:vAlign w:val="center"/>
          </w:tcPr>
          <w:p>
            <w:r>
              <w:t>Limitaciones</w:t>
            </w:r>
          </w:p>
        </w:tc>
        <w:tc>
          <w:tcPr>
            <w:tcW w:type="dxa" w:w="5100"/>
            <w:vAlign w:val="center"/>
          </w:tcPr>
          <w:p>
            <w:r>
              <w:t>Ámbito, exclusiones, caducidad y condiciones de instalación.</w:t>
            </w:r>
          </w:p>
        </w:tc>
      </w:tr>
    </w:tbl>
    <w:p>
      <w:pPr>
        <w:pStyle w:val="Heading2"/>
      </w:pPr>
      <w:r>
        <w:t>29.2 Paquete regulatorio</w:t>
      </w:r>
    </w:p>
    <w:p>
      <w:pPr>
        <w:pStyle w:val="ListBullet"/>
      </w:pPr>
      <w:r>
        <w:t>Declaración de prestaciones o documento equivalente cuando resulte aplicable.</w:t>
      </w:r>
    </w:p>
    <w:p>
      <w:pPr>
        <w:pStyle w:val="ListBullet"/>
      </w:pPr>
      <w:r>
        <w:t>Marcado y etiqueta con datos coherentes con el expediente.</w:t>
      </w:r>
    </w:p>
    <w:p>
      <w:pPr>
        <w:pStyle w:val="ListBullet"/>
      </w:pPr>
      <w:r>
        <w:t>Certificados de materiales, galvanizado, soldadura, pretensado y ensayos.</w:t>
      </w:r>
    </w:p>
    <w:p>
      <w:pPr>
        <w:pStyle w:val="ListBullet"/>
      </w:pPr>
      <w:r>
        <w:t>Relación de normas, ediciones y anexos nacionales.</w:t>
      </w:r>
    </w:p>
    <w:p>
      <w:pPr>
        <w:pStyle w:val="ListBullet"/>
      </w:pPr>
      <w:r>
        <w:t>Control de producción y evidencias de inspección.</w:t>
      </w:r>
    </w:p>
    <w:p>
      <w:pPr>
        <w:pStyle w:val="ListBullet"/>
      </w:pPr>
      <w:r>
        <w:t>Registro de desviaciones, excepciones y aprobaciones.</w:t>
      </w:r>
    </w:p>
    <w:p>
      <w:pPr>
        <w:pStyle w:val="ListBullet"/>
      </w:pPr>
      <w:r>
        <w:t>Instrucciones de instalación, uso, mantenimiento y seguridad.</w:t>
      </w:r>
    </w:p>
    <w:p>
      <w:pPr/>
      <w:r>
        <w:t>Cualquier duda de aplicabilidad quedará como bloqueo regulatorio asignado a una persona responsable; la IA podrá reunir información, pero no resolverá por sí sola la conclusión jurídica o reglamentaria.</w:t>
      </w:r>
    </w:p>
    <w:p>
      <w:pPr>
        <w:pStyle w:val="Heading1"/>
      </w:pPr>
      <w:r>
        <w:t>30. Firma electrónica, identidad y verificación externa</w:t>
      </w:r>
    </w:p>
    <w:p>
      <w:pPr/>
      <w:r>
        <w:t>La autenticidad del expediente se apoyará en identidad corporativa, firma o sello electrónico, marca temporal y verificación pública o controlada. La firma cubrirá el manifiesto y, por referencia hash, todos los artefactos incluidos.</w:t>
      </w:r>
    </w:p>
    <w:p>
      <w:pPr>
        <w:pStyle w:val="Heading2"/>
      </w:pPr>
      <w:r>
        <w:t>30.1 Niveles de autenticación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1F2"/>
            <w:vAlign w:val="center"/>
          </w:tcPr>
          <w:p>
            <w:r>
              <w:t>Nivel</w:t>
            </w:r>
          </w:p>
        </w:tc>
        <w:tc>
          <w:tcPr>
            <w:tcW w:type="dxa" w:w="3400"/>
            <w:shd w:fill="D9E1F2"/>
            <w:vAlign w:val="center"/>
          </w:tcPr>
          <w:p>
            <w:r>
              <w:t>Uso</w:t>
            </w:r>
          </w:p>
        </w:tc>
        <w:tc>
          <w:tcPr>
            <w:tcW w:type="dxa" w:w="3400"/>
            <w:shd w:fill="D9E1F2"/>
            <w:vAlign w:val="center"/>
          </w:tcPr>
          <w:p>
            <w:r>
              <w:t>Requisitos</w:t>
            </w:r>
          </w:p>
        </w:tc>
      </w:tr>
      <w:tr>
        <w:tc>
          <w:tcPr>
            <w:tcW w:type="dxa" w:w="3400"/>
            <w:vAlign w:val="center"/>
          </w:tcPr>
          <w:p>
            <w:r>
              <w:t>A0 · Interno</w:t>
            </w:r>
          </w:p>
        </w:tc>
        <w:tc>
          <w:tcPr>
            <w:tcW w:type="dxa" w:w="3400"/>
            <w:vAlign w:val="center"/>
          </w:tcPr>
          <w:p>
            <w:r>
              <w:t>Borradores M0–M2.</w:t>
            </w:r>
          </w:p>
        </w:tc>
        <w:tc>
          <w:tcPr>
            <w:tcW w:type="dxa" w:w="3400"/>
            <w:vAlign w:val="center"/>
          </w:tcPr>
          <w:p>
            <w:r>
              <w:t>Identidad SSO y auditoría.</w:t>
            </w:r>
          </w:p>
        </w:tc>
      </w:tr>
      <w:tr>
        <w:tc>
          <w:tcPr>
            <w:tcW w:type="dxa" w:w="3400"/>
            <w:vAlign w:val="center"/>
          </w:tcPr>
          <w:p>
            <w:r>
              <w:t>A1 · Aprobación interna</w:t>
            </w:r>
          </w:p>
        </w:tc>
        <w:tc>
          <w:tcPr>
            <w:tcW w:type="dxa" w:w="3400"/>
            <w:vAlign w:val="center"/>
          </w:tcPr>
          <w:p>
            <w:r>
              <w:t>M2/M3.</w:t>
            </w:r>
          </w:p>
        </w:tc>
        <w:tc>
          <w:tcPr>
            <w:tcW w:type="dxa" w:w="3400"/>
            <w:vAlign w:val="center"/>
          </w:tcPr>
          <w:p>
            <w:r>
              <w:t>MFA, rol autorizado y decisión registrada.</w:t>
            </w:r>
          </w:p>
        </w:tc>
      </w:tr>
      <w:tr>
        <w:tc>
          <w:tcPr>
            <w:tcW w:type="dxa" w:w="3400"/>
            <w:vAlign w:val="center"/>
          </w:tcPr>
          <w:p>
            <w:r>
              <w:t>A2 · Firma corporativa</w:t>
            </w:r>
          </w:p>
        </w:tc>
        <w:tc>
          <w:tcPr>
            <w:tcW w:type="dxa" w:w="3400"/>
            <w:vAlign w:val="center"/>
          </w:tcPr>
          <w:p>
            <w:r>
              <w:t>Paquetes M3/M4.</w:t>
            </w:r>
          </w:p>
        </w:tc>
        <w:tc>
          <w:tcPr>
            <w:tcW w:type="dxa" w:w="3400"/>
            <w:vAlign w:val="center"/>
          </w:tcPr>
          <w:p>
            <w:r>
              <w:t>Certificado corporativo, sello de tiempo y manifiesto.</w:t>
            </w:r>
          </w:p>
        </w:tc>
      </w:tr>
      <w:tr>
        <w:tc>
          <w:tcPr>
            <w:tcW w:type="dxa" w:w="3400"/>
            <w:vAlign w:val="center"/>
          </w:tcPr>
          <w:p>
            <w:r>
              <w:t>A3 · Firma profesional</w:t>
            </w:r>
          </w:p>
        </w:tc>
        <w:tc>
          <w:tcPr>
            <w:tcW w:type="dxa" w:w="3400"/>
            <w:vAlign w:val="center"/>
          </w:tcPr>
          <w:p>
            <w:r>
              <w:t>Cuando contrato o jurisdicción lo requiera.</w:t>
            </w:r>
          </w:p>
        </w:tc>
        <w:tc>
          <w:tcPr>
            <w:tcW w:type="dxa" w:w="3400"/>
            <w:vAlign w:val="center"/>
          </w:tcPr>
          <w:p>
            <w:r>
              <w:t>Certificado nominativo y alcance profesional.</w:t>
            </w:r>
          </w:p>
        </w:tc>
      </w:tr>
      <w:tr>
        <w:tc>
          <w:tcPr>
            <w:tcW w:type="dxa" w:w="3400"/>
            <w:vAlign w:val="center"/>
          </w:tcPr>
          <w:p>
            <w:r>
              <w:t>A4 · Verificación externa</w:t>
            </w:r>
          </w:p>
        </w:tc>
        <w:tc>
          <w:tcPr>
            <w:tcW w:type="dxa" w:w="3400"/>
            <w:vAlign w:val="center"/>
          </w:tcPr>
          <w:p>
            <w:r>
              <w:t>Cliente, auditor o proveedor.</w:t>
            </w:r>
          </w:p>
        </w:tc>
        <w:tc>
          <w:tcPr>
            <w:tcW w:type="dxa" w:w="3400"/>
            <w:vAlign w:val="center"/>
          </w:tcPr>
          <w:p>
            <w:r>
              <w:t>Portal/QR con estado, hash, vigencia y sustitución.</w:t>
            </w:r>
          </w:p>
        </w:tc>
      </w:tr>
    </w:tbl>
    <w:p>
      <w:pPr>
        <w:pStyle w:val="Heading2"/>
      </w:pPr>
      <w:r>
        <w:t>30.2 Página de verificación</w:t>
      </w:r>
    </w:p>
    <w:p>
      <w:pPr>
        <w:pStyle w:val="ListBullet"/>
      </w:pPr>
      <w:r>
        <w:t>Identificador único de liberación.</w:t>
      </w:r>
    </w:p>
    <w:p>
      <w:pPr>
        <w:pStyle w:val="ListBullet"/>
      </w:pPr>
      <w:r>
        <w:t>Estado actual: vigente, sustituido, revocado o caducado.</w:t>
      </w:r>
    </w:p>
    <w:p>
      <w:pPr>
        <w:pStyle w:val="ListBullet"/>
      </w:pPr>
      <w:r>
        <w:t>Hash del paquete y de cada documento.</w:t>
      </w:r>
    </w:p>
    <w:p>
      <w:pPr>
        <w:pStyle w:val="ListBullet"/>
      </w:pPr>
      <w:r>
        <w:t>Fecha, firmante, función y alcance.</w:t>
      </w:r>
    </w:p>
    <w:p>
      <w:pPr>
        <w:pStyle w:val="ListBullet"/>
      </w:pPr>
      <w:r>
        <w:t>Versión que sustituye o por la que fue sustituida.</w:t>
      </w:r>
    </w:p>
    <w:p>
      <w:pPr>
        <w:pStyle w:val="ListBullet"/>
      </w:pPr>
      <w:r>
        <w:t>Datos mínimos visibles sin revelar información confidencial.</w:t>
      </w:r>
    </w:p>
    <w:p>
      <w:pPr/>
      <w:r>
        <w:t>El QR no contendrá información técnica sensible; contendrá un identificador opaco y una URL segura. La verificación offline podrá realizarse mediante manifiesto firmado y certificado adjunto.</w:t>
      </w:r>
    </w:p>
    <w:p>
      <w:pPr>
        <w:pStyle w:val="Heading1"/>
      </w:pPr>
      <w:r>
        <w:t>31. Distribución, portales y control de destinatarios</w:t>
      </w:r>
    </w:p>
    <w:p>
      <w:pPr/>
      <w:r>
        <w:t>La distribución formará parte del expediente. Enviar un archivo por correo sin registro no se considerará una liberación controlada para M3/M4.</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1F2"/>
            <w:vAlign w:val="center"/>
          </w:tcPr>
          <w:p>
            <w:r>
              <w:t>Canal</w:t>
            </w:r>
          </w:p>
        </w:tc>
        <w:tc>
          <w:tcPr>
            <w:tcW w:type="dxa" w:w="3400"/>
            <w:shd w:fill="D9E1F2"/>
            <w:vAlign w:val="center"/>
          </w:tcPr>
          <w:p>
            <w:r>
              <w:t>Uso recomendado</w:t>
            </w:r>
          </w:p>
        </w:tc>
        <w:tc>
          <w:tcPr>
            <w:tcW w:type="dxa" w:w="3400"/>
            <w:shd w:fill="D9E1F2"/>
            <w:vAlign w:val="center"/>
          </w:tcPr>
          <w:p>
            <w:r>
              <w:t>Controles</w:t>
            </w:r>
          </w:p>
        </w:tc>
      </w:tr>
      <w:tr>
        <w:tc>
          <w:tcPr>
            <w:tcW w:type="dxa" w:w="3400"/>
            <w:vAlign w:val="center"/>
          </w:tcPr>
          <w:p>
            <w:r>
              <w:t>Portal cliente</w:t>
            </w:r>
          </w:p>
        </w:tc>
        <w:tc>
          <w:tcPr>
            <w:tcW w:type="dxa" w:w="3400"/>
            <w:vAlign w:val="center"/>
          </w:tcPr>
          <w:p>
            <w:r>
              <w:t>Informes y planos contractuales.</w:t>
            </w:r>
          </w:p>
        </w:tc>
        <w:tc>
          <w:tcPr>
            <w:tcW w:type="dxa" w:w="3400"/>
            <w:vAlign w:val="center"/>
          </w:tcPr>
          <w:p>
            <w:r>
              <w:t>Autenticación, caducidad, descarga y aceptación.</w:t>
            </w:r>
          </w:p>
        </w:tc>
      </w:tr>
      <w:tr>
        <w:tc>
          <w:tcPr>
            <w:tcW w:type="dxa" w:w="3400"/>
            <w:vAlign w:val="center"/>
          </w:tcPr>
          <w:p>
            <w:r>
              <w:t>Portal proveedor</w:t>
            </w:r>
          </w:p>
        </w:tc>
        <w:tc>
          <w:tcPr>
            <w:tcW w:type="dxa" w:w="3400"/>
            <w:vAlign w:val="center"/>
          </w:tcPr>
          <w:p>
            <w:r>
              <w:t>Paquete de subcontratación.</w:t>
            </w:r>
          </w:p>
        </w:tc>
        <w:tc>
          <w:tcPr>
            <w:tcW w:type="dxa" w:w="3400"/>
            <w:vAlign w:val="center"/>
          </w:tcPr>
          <w:p>
            <w:r>
              <w:t>NDA, watermark, revisión vigente y preguntas.</w:t>
            </w:r>
          </w:p>
        </w:tc>
      </w:tr>
      <w:tr>
        <w:tc>
          <w:tcPr>
            <w:tcW w:type="dxa" w:w="3400"/>
            <w:vAlign w:val="center"/>
          </w:tcPr>
          <w:p>
            <w:r>
              <w:t>ERP/PLM</w:t>
            </w:r>
          </w:p>
        </w:tc>
        <w:tc>
          <w:tcPr>
            <w:tcW w:type="dxa" w:w="3400"/>
            <w:vAlign w:val="center"/>
          </w:tcPr>
          <w:p>
            <w:r>
              <w:t>Producción y compras.</w:t>
            </w:r>
          </w:p>
        </w:tc>
        <w:tc>
          <w:tcPr>
            <w:tcW w:type="dxa" w:w="3400"/>
            <w:vAlign w:val="center"/>
          </w:tcPr>
          <w:p>
            <w:r>
              <w:t>Integración transaccional y confirmación.</w:t>
            </w:r>
          </w:p>
        </w:tc>
      </w:tr>
      <w:tr>
        <w:tc>
          <w:tcPr>
            <w:tcW w:type="dxa" w:w="3400"/>
            <w:vAlign w:val="center"/>
          </w:tcPr>
          <w:p>
            <w:r>
              <w:t>Correo seguro</w:t>
            </w:r>
          </w:p>
        </w:tc>
        <w:tc>
          <w:tcPr>
            <w:tcW w:type="dxa" w:w="3400"/>
            <w:vAlign w:val="center"/>
          </w:tcPr>
          <w:p>
            <w:r>
              <w:t>Excepciones o destinatarios externos.</w:t>
            </w:r>
          </w:p>
        </w:tc>
        <w:tc>
          <w:tcPr>
            <w:tcW w:type="dxa" w:w="3400"/>
            <w:vAlign w:val="center"/>
          </w:tcPr>
          <w:p>
            <w:r>
              <w:t>Enlace, no adjunto; caducidad y registro.</w:t>
            </w:r>
          </w:p>
        </w:tc>
      </w:tr>
      <w:tr>
        <w:tc>
          <w:tcPr>
            <w:tcW w:type="dxa" w:w="3400"/>
            <w:vAlign w:val="center"/>
          </w:tcPr>
          <w:p>
            <w:r>
              <w:t>Exportación offline</w:t>
            </w:r>
          </w:p>
        </w:tc>
        <w:tc>
          <w:tcPr>
            <w:tcW w:type="dxa" w:w="3400"/>
            <w:vAlign w:val="center"/>
          </w:tcPr>
          <w:p>
            <w:r>
              <w:t>Obra sin conectividad.</w:t>
            </w:r>
          </w:p>
        </w:tc>
        <w:tc>
          <w:tcPr>
            <w:tcW w:type="dxa" w:w="3400"/>
            <w:vAlign w:val="center"/>
          </w:tcPr>
          <w:p>
            <w:r>
              <w:t>Paquete firmado, cifrado y lista de distribución.</w:t>
            </w:r>
          </w:p>
        </w:tc>
      </w:tr>
      <w:tr>
        <w:tc>
          <w:tcPr>
            <w:tcW w:type="dxa" w:w="3400"/>
            <w:vAlign w:val="center"/>
          </w:tcPr>
          <w:p>
            <w:r>
              <w:t>API</w:t>
            </w:r>
          </w:p>
        </w:tc>
        <w:tc>
          <w:tcPr>
            <w:tcW w:type="dxa" w:w="3400"/>
            <w:vAlign w:val="center"/>
          </w:tcPr>
          <w:p>
            <w:r>
              <w:t>Sistemas autorizados.</w:t>
            </w:r>
          </w:p>
        </w:tc>
        <w:tc>
          <w:tcPr>
            <w:tcW w:type="dxa" w:w="3400"/>
            <w:vAlign w:val="center"/>
          </w:tcPr>
          <w:p>
            <w:r>
              <w:t>Scopes, idempotencia, hash y callback.</w:t>
            </w:r>
          </w:p>
        </w:tc>
      </w:tr>
    </w:tbl>
    <w:p>
      <w:pPr>
        <w:pStyle w:val="Heading2"/>
      </w:pPr>
      <w:r>
        <w:t>31.1 Política de destinatarios</w:t>
      </w:r>
    </w:p>
    <w:p>
      <w:pPr>
        <w:pStyle w:val="ListBullet"/>
      </w:pPr>
      <w:r>
        <w:t>Destinatario nominal o grupo autorizado.</w:t>
      </w:r>
    </w:p>
    <w:p>
      <w:pPr>
        <w:pStyle w:val="ListBullet"/>
      </w:pPr>
      <w:r>
        <w:t>Propósito de la entrega.</w:t>
      </w:r>
    </w:p>
    <w:p>
      <w:pPr>
        <w:pStyle w:val="ListBullet"/>
      </w:pPr>
      <w:r>
        <w:t>Nivel de confidencialidad.</w:t>
      </w:r>
    </w:p>
    <w:p>
      <w:pPr>
        <w:pStyle w:val="ListBullet"/>
      </w:pPr>
      <w:r>
        <w:t>Permisos de descarga, impresión y reenvío.</w:t>
      </w:r>
    </w:p>
    <w:p>
      <w:pPr>
        <w:pStyle w:val="ListBullet"/>
      </w:pPr>
      <w:r>
        <w:t>Fecha de expiración y revocación.</w:t>
      </w:r>
    </w:p>
    <w:p>
      <w:pPr>
        <w:pStyle w:val="ListBullet"/>
      </w:pPr>
      <w:r>
        <w:t>Aceptación o acuse de recibo cuando sea contractual.</w:t>
      </w:r>
    </w:p>
    <w:p>
      <w:pPr>
        <w:pStyle w:val="ListBullet"/>
      </w:pPr>
      <w:r>
        <w:t>Watermark individual cuando el riesgo lo justifique.</w:t>
      </w:r>
    </w:p>
    <w:p>
      <w:pPr>
        <w:pStyle w:val="Heading2"/>
      </w:pPr>
      <w:r>
        <w:t>31.2 Sustitución y retirada</w:t>
      </w:r>
    </w:p>
    <w:p>
      <w:pPr/>
      <w:r>
        <w:t>Al liberar una revisión sustitutiva, el sistema identificará a todos los receptores de la anterior, bloqueará nuevas descargas y emitirá una comunicación controlada. La retirada no borrará el histórico ni la evidencia de recepción.</w:t>
      </w:r>
    </w:p>
    <w:p>
      <w:pPr>
        <w:pStyle w:val="Heading1"/>
      </w:pPr>
      <w:r>
        <w:t>32. Accesibilidad, renderizado y calidad visual</w:t>
      </w:r>
    </w:p>
    <w:p>
      <w:pPr/>
      <w:r>
        <w:t>La corrección técnica no basta si el documento se renderiza con tablas cortadas, símbolos perdidos o gráficos ilegibles. Se establecerá un pipeline obligatorio de renderizado y QA visual para cada formato liberable.</w:t>
      </w:r>
    </w:p>
    <w:p>
      <w:pPr>
        <w:pStyle w:val="Heading2"/>
      </w:pPr>
      <w:r>
        <w:t>32.1 Pipeline de renderizado</w:t>
      </w:r>
    </w:p>
    <w:p>
      <w:pPr>
        <w:pStyle w:val="ListNumber"/>
      </w:pPr>
      <w:r>
        <w:t>Generación desde plantilla aprobada.</w:t>
      </w:r>
    </w:p>
    <w:p>
      <w:pPr>
        <w:pStyle w:val="ListNumber"/>
      </w:pPr>
      <w:r>
        <w:t>Actualización y materialización de campos.</w:t>
      </w:r>
    </w:p>
    <w:p>
      <w:pPr>
        <w:pStyle w:val="ListNumber"/>
      </w:pPr>
      <w:r>
        <w:t>Conversión a PDF/A según perfil aprobado.</w:t>
      </w:r>
    </w:p>
    <w:p>
      <w:pPr>
        <w:pStyle w:val="ListNumber"/>
      </w:pPr>
      <w:r>
        <w:t>Renderizado de todas las páginas a imagen.</w:t>
      </w:r>
    </w:p>
    <w:p>
      <w:pPr>
        <w:pStyle w:val="ListNumber"/>
      </w:pPr>
      <w:r>
        <w:t>Validaciones automáticas de clipping, páginas vacías, fuentes y resolución.</w:t>
      </w:r>
    </w:p>
    <w:p>
      <w:pPr>
        <w:pStyle w:val="ListNumber"/>
      </w:pPr>
      <w:r>
        <w:t>Comparación visual contra golden documents.</w:t>
      </w:r>
    </w:p>
    <w:p>
      <w:pPr>
        <w:pStyle w:val="ListNumber"/>
      </w:pPr>
      <w:r>
        <w:t>Revisión humana de páginas cuando el riesgo o cambio lo requiera.</w:t>
      </w:r>
    </w:p>
    <w:p>
      <w:pPr>
        <w:pStyle w:val="ListNumber"/>
      </w:pPr>
      <w:r>
        <w:t>Auditoría de accesibilidad y metadatos.</w:t>
      </w:r>
    </w:p>
    <w:p>
      <w:pPr>
        <w:pStyle w:val="Heading2"/>
      </w:pPr>
      <w:r>
        <w:t>32.2 Reglas de maquetación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1F2"/>
            <w:vAlign w:val="center"/>
          </w:tcPr>
          <w:p>
            <w:r>
              <w:t>Objeto</w:t>
            </w:r>
          </w:p>
        </w:tc>
        <w:tc>
          <w:tcPr>
            <w:tcW w:type="dxa" w:w="5100"/>
            <w:shd w:fill="D9E1F2"/>
            <w:vAlign w:val="center"/>
          </w:tcPr>
          <w:p>
            <w:r>
              <w:t>Regla obligatoria</w:t>
            </w:r>
          </w:p>
        </w:tc>
      </w:tr>
      <w:tr>
        <w:tc>
          <w:tcPr>
            <w:tcW w:type="dxa" w:w="5100"/>
            <w:vAlign w:val="center"/>
          </w:tcPr>
          <w:p>
            <w:r>
              <w:t>Tablas</w:t>
            </w:r>
          </w:p>
        </w:tc>
        <w:tc>
          <w:tcPr>
            <w:tcW w:type="dxa" w:w="5100"/>
            <w:vAlign w:val="center"/>
          </w:tcPr>
          <w:p>
            <w:r>
              <w:t>Cabecera repetida, filas no divididas cuando sea crítico, unidades visibles.</w:t>
            </w:r>
          </w:p>
        </w:tc>
      </w:tr>
      <w:tr>
        <w:tc>
          <w:tcPr>
            <w:tcW w:type="dxa" w:w="5100"/>
            <w:vAlign w:val="center"/>
          </w:tcPr>
          <w:p>
            <w:r>
              <w:t>Gráficos</w:t>
            </w:r>
          </w:p>
        </w:tc>
        <w:tc>
          <w:tcPr>
            <w:tcW w:type="dxa" w:w="5100"/>
            <w:vAlign w:val="center"/>
          </w:tcPr>
          <w:p>
            <w:r>
              <w:t>Texto alternativo, leyenda, unidades, caso y colores accesibles.</w:t>
            </w:r>
          </w:p>
        </w:tc>
      </w:tr>
      <w:tr>
        <w:tc>
          <w:tcPr>
            <w:tcW w:type="dxa" w:w="5100"/>
            <w:vAlign w:val="center"/>
          </w:tcPr>
          <w:p>
            <w:r>
              <w:t>Ecuaciones</w:t>
            </w:r>
          </w:p>
        </w:tc>
        <w:tc>
          <w:tcPr>
            <w:tcW w:type="dxa" w:w="5100"/>
            <w:vAlign w:val="center"/>
          </w:tcPr>
          <w:p>
            <w:r>
              <w:t>Formato legible y alternativa textual cuando proceda.</w:t>
            </w:r>
          </w:p>
        </w:tc>
      </w:tr>
      <w:tr>
        <w:tc>
          <w:tcPr>
            <w:tcW w:type="dxa" w:w="5100"/>
            <w:vAlign w:val="center"/>
          </w:tcPr>
          <w:p>
            <w:r>
              <w:t>Planos insertados</w:t>
            </w:r>
          </w:p>
        </w:tc>
        <w:tc>
          <w:tcPr>
            <w:tcW w:type="dxa" w:w="5100"/>
            <w:vAlign w:val="center"/>
          </w:tcPr>
          <w:p>
            <w:r>
              <w:t>Resolución, escala declarada y enlace al original.</w:t>
            </w:r>
          </w:p>
        </w:tc>
      </w:tr>
      <w:tr>
        <w:tc>
          <w:tcPr>
            <w:tcW w:type="dxa" w:w="5100"/>
            <w:vAlign w:val="center"/>
          </w:tcPr>
          <w:p>
            <w:r>
              <w:t>Encabezados</w:t>
            </w:r>
          </w:p>
        </w:tc>
        <w:tc>
          <w:tcPr>
            <w:tcW w:type="dxa" w:w="5100"/>
            <w:vAlign w:val="center"/>
          </w:tcPr>
          <w:p>
            <w:r>
              <w:t>Proyecto, documento, revisión y clasificación.</w:t>
            </w:r>
          </w:p>
        </w:tc>
      </w:tr>
      <w:tr>
        <w:tc>
          <w:tcPr>
            <w:tcW w:type="dxa" w:w="5100"/>
            <w:vAlign w:val="center"/>
          </w:tcPr>
          <w:p>
            <w:r>
              <w:t>Pie</w:t>
            </w:r>
          </w:p>
        </w:tc>
        <w:tc>
          <w:tcPr>
            <w:tcW w:type="dxa" w:w="5100"/>
            <w:vAlign w:val="center"/>
          </w:tcPr>
          <w:p>
            <w:r>
              <w:t>Página, total, estado y hash corto.</w:t>
            </w:r>
          </w:p>
        </w:tc>
      </w:tr>
      <w:tr>
        <w:tc>
          <w:tcPr>
            <w:tcW w:type="dxa" w:w="5100"/>
            <w:vAlign w:val="center"/>
          </w:tcPr>
          <w:p>
            <w:r>
              <w:t>Anexos</w:t>
            </w:r>
          </w:p>
        </w:tc>
        <w:tc>
          <w:tcPr>
            <w:tcW w:type="dxa" w:w="5100"/>
            <w:vAlign w:val="center"/>
          </w:tcPr>
          <w:p>
            <w:r>
              <w:t>Índice y referencias internas estables.</w:t>
            </w:r>
          </w:p>
        </w:tc>
      </w:tr>
      <w:tr>
        <w:tc>
          <w:tcPr>
            <w:tcW w:type="dxa" w:w="5100"/>
            <w:vAlign w:val="center"/>
          </w:tcPr>
          <w:p>
            <w:r>
              <w:t>Fuentes</w:t>
            </w:r>
          </w:p>
        </w:tc>
        <w:tc>
          <w:tcPr>
            <w:tcW w:type="dxa" w:w="5100"/>
            <w:vAlign w:val="center"/>
          </w:tcPr>
          <w:p>
            <w:r>
              <w:t>Embebidas o sustitución aprobada; prohibidas fuentes no licenciadas.</w:t>
            </w:r>
          </w:p>
        </w:tc>
      </w:tr>
    </w:tbl>
    <w:p>
      <w:pPr>
        <w:pStyle w:val="Heading2"/>
      </w:pPr>
      <w:r>
        <w:t>32.3 Accesibilidad mínima</w:t>
      </w:r>
    </w:p>
    <w:p>
      <w:pPr>
        <w:pStyle w:val="ListBullet"/>
      </w:pPr>
      <w:r>
        <w:t>Jerarquía real de encabezados.</w:t>
      </w:r>
    </w:p>
    <w:p>
      <w:pPr>
        <w:pStyle w:val="ListBullet"/>
      </w:pPr>
      <w:r>
        <w:t>Orden de lectura correcto.</w:t>
      </w:r>
    </w:p>
    <w:p>
      <w:pPr>
        <w:pStyle w:val="ListBullet"/>
      </w:pPr>
      <w:r>
        <w:t>Cabeceras de tabla identificadas.</w:t>
      </w:r>
    </w:p>
    <w:p>
      <w:pPr>
        <w:pStyle w:val="ListBullet"/>
      </w:pPr>
      <w:r>
        <w:t>Contraste suficiente y semáforos con texto.</w:t>
      </w:r>
    </w:p>
    <w:p>
      <w:pPr>
        <w:pStyle w:val="ListBullet"/>
      </w:pPr>
      <w:r>
        <w:t>Texto alternativo de figuras y diagramas.</w:t>
      </w:r>
    </w:p>
    <w:p>
      <w:pPr>
        <w:pStyle w:val="ListBullet"/>
      </w:pPr>
      <w:r>
        <w:t>Enlaces descriptivos.</w:t>
      </w:r>
    </w:p>
    <w:p>
      <w:pPr>
        <w:pStyle w:val="ListBullet"/>
      </w:pPr>
      <w:r>
        <w:t>Idioma principal y cambios de idioma marcados.</w:t>
      </w:r>
    </w:p>
    <w:p>
      <w:pPr>
        <w:pStyle w:val="ListBullet"/>
      </w:pPr>
      <w:r>
        <w:t>PDF etiquetado y navegación por marcadores.</w:t>
      </w:r>
    </w:p>
    <w:p>
      <w:pPr>
        <w:pStyle w:val="Heading1"/>
      </w:pPr>
      <w:r>
        <w:t>33. Operación, SLA, escalado y continuidad</w:t>
      </w:r>
    </w:p>
    <w:p>
      <w:pPr/>
      <w:r>
        <w:t>El módulo se operará como un servicio crítico de ingeniería. Se definirán niveles de servicio, colas prioritarias, observabilidad, runbooks y mecanismos de recuperación.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1F2"/>
            <w:vAlign w:val="center"/>
          </w:tcPr>
          <w:p>
            <w:r>
              <w:t>Prioridad</w:t>
            </w:r>
          </w:p>
        </w:tc>
        <w:tc>
          <w:tcPr>
            <w:tcW w:type="dxa" w:w="3400"/>
            <w:shd w:fill="D9E1F2"/>
            <w:vAlign w:val="center"/>
          </w:tcPr>
          <w:p>
            <w:r>
              <w:t>Ejemplo</w:t>
            </w:r>
          </w:p>
        </w:tc>
        <w:tc>
          <w:tcPr>
            <w:tcW w:type="dxa" w:w="3400"/>
            <w:shd w:fill="D9E1F2"/>
            <w:vAlign w:val="center"/>
          </w:tcPr>
          <w:p>
            <w:r>
              <w:t>Objetivo de respuesta</w:t>
            </w:r>
          </w:p>
        </w:tc>
      </w:tr>
      <w:tr>
        <w:tc>
          <w:tcPr>
            <w:tcW w:type="dxa" w:w="3400"/>
            <w:vAlign w:val="center"/>
          </w:tcPr>
          <w:p>
            <w:r>
              <w:t>P0</w:t>
            </w:r>
          </w:p>
        </w:tc>
        <w:tc>
          <w:tcPr>
            <w:tcW w:type="dxa" w:w="3400"/>
            <w:vAlign w:val="center"/>
          </w:tcPr>
          <w:p>
            <w:r>
              <w:t>Paquete liberado con dato incorrecto o brecha de confidencialidad.</w:t>
            </w:r>
          </w:p>
        </w:tc>
        <w:tc>
          <w:tcPr>
            <w:tcW w:type="dxa" w:w="3400"/>
            <w:vAlign w:val="center"/>
          </w:tcPr>
          <w:p>
            <w:r>
              <w:t>Contención inmediata; escalado ejecutivo.</w:t>
            </w:r>
          </w:p>
        </w:tc>
      </w:tr>
      <w:tr>
        <w:tc>
          <w:tcPr>
            <w:tcW w:type="dxa" w:w="3400"/>
            <w:vAlign w:val="center"/>
          </w:tcPr>
          <w:p>
            <w:r>
              <w:t>P1</w:t>
            </w:r>
          </w:p>
        </w:tc>
        <w:tc>
          <w:tcPr>
            <w:tcW w:type="dxa" w:w="3400"/>
            <w:vAlign w:val="center"/>
          </w:tcPr>
          <w:p>
            <w:r>
              <w:t>Bloqueo general de liberaciones M4.</w:t>
            </w:r>
          </w:p>
        </w:tc>
        <w:tc>
          <w:tcPr>
            <w:tcW w:type="dxa" w:w="3400"/>
            <w:vAlign w:val="center"/>
          </w:tcPr>
          <w:p>
            <w:r>
              <w:t>Diagnóstico &lt; 1 h en horario operativo.</w:t>
            </w:r>
          </w:p>
        </w:tc>
      </w:tr>
      <w:tr>
        <w:tc>
          <w:tcPr>
            <w:tcW w:type="dxa" w:w="3400"/>
            <w:vAlign w:val="center"/>
          </w:tcPr>
          <w:p>
            <w:r>
              <w:t>P2</w:t>
            </w:r>
          </w:p>
        </w:tc>
        <w:tc>
          <w:tcPr>
            <w:tcW w:type="dxa" w:w="3400"/>
            <w:vAlign w:val="center"/>
          </w:tcPr>
          <w:p>
            <w:r>
              <w:t>Fallo de una plantilla, idioma o integración.</w:t>
            </w:r>
          </w:p>
        </w:tc>
        <w:tc>
          <w:tcPr>
            <w:tcW w:type="dxa" w:w="3400"/>
            <w:vAlign w:val="center"/>
          </w:tcPr>
          <w:p>
            <w:r>
              <w:t>Resolución planificada &lt; 1 día laborable.</w:t>
            </w:r>
          </w:p>
        </w:tc>
      </w:tr>
      <w:tr>
        <w:tc>
          <w:tcPr>
            <w:tcW w:type="dxa" w:w="3400"/>
            <w:vAlign w:val="center"/>
          </w:tcPr>
          <w:p>
            <w:r>
              <w:t>P3</w:t>
            </w:r>
          </w:p>
        </w:tc>
        <w:tc>
          <w:tcPr>
            <w:tcW w:type="dxa" w:w="3400"/>
            <w:vAlign w:val="center"/>
          </w:tcPr>
          <w:p>
            <w:r>
              <w:t>Defecto visual o mejora no bloqueante.</w:t>
            </w:r>
          </w:p>
        </w:tc>
        <w:tc>
          <w:tcPr>
            <w:tcW w:type="dxa" w:w="3400"/>
            <w:vAlign w:val="center"/>
          </w:tcPr>
          <w:p>
            <w:r>
              <w:t>Backlog priorizado.</w:t>
            </w:r>
          </w:p>
        </w:tc>
      </w:tr>
      <w:tr>
        <w:tc>
          <w:tcPr>
            <w:tcW w:type="dxa" w:w="3400"/>
            <w:vAlign w:val="center"/>
          </w:tcPr>
          <w:p>
            <w:r>
              <w:t>P4</w:t>
            </w:r>
          </w:p>
        </w:tc>
        <w:tc>
          <w:tcPr>
            <w:tcW w:type="dxa" w:w="3400"/>
            <w:vAlign w:val="center"/>
          </w:tcPr>
          <w:p>
            <w:r>
              <w:t>Solicitud evolutiva.</w:t>
            </w:r>
          </w:p>
        </w:tc>
        <w:tc>
          <w:tcPr>
            <w:tcW w:type="dxa" w:w="3400"/>
            <w:vAlign w:val="center"/>
          </w:tcPr>
          <w:p>
            <w:r>
              <w:t>Roadmap.</w:t>
            </w:r>
          </w:p>
        </w:tc>
      </w:tr>
    </w:tbl>
    <w:p>
      <w:pPr>
        <w:pStyle w:val="Heading2"/>
      </w:pPr>
      <w:r>
        <w:t>33.1 Observabilidad</w:t>
      </w:r>
    </w:p>
    <w:p>
      <w:pPr>
        <w:pStyle w:val="ListBullet"/>
      </w:pPr>
      <w:r>
        <w:t>Tasa de generaciones correctas y fallidas.</w:t>
      </w:r>
    </w:p>
    <w:p>
      <w:pPr>
        <w:pStyle w:val="ListBullet"/>
      </w:pPr>
      <w:r>
        <w:t>Tiempo por fase: resolución, composición, render, validación y firma.</w:t>
      </w:r>
    </w:p>
    <w:p>
      <w:pPr>
        <w:pStyle w:val="ListBullet"/>
      </w:pPr>
      <w:r>
        <w:t>Número y tipo de bloqueos.</w:t>
      </w:r>
    </w:p>
    <w:p>
      <w:pPr>
        <w:pStyle w:val="ListBullet"/>
      </w:pPr>
      <w:r>
        <w:t>Plantillas y reglas más incidentadas.</w:t>
      </w:r>
    </w:p>
    <w:p>
      <w:pPr>
        <w:pStyle w:val="ListBullet"/>
      </w:pPr>
      <w:r>
        <w:t>Caducidad de certificados y sellos.</w:t>
      </w:r>
    </w:p>
    <w:p>
      <w:pPr>
        <w:pStyle w:val="ListBullet"/>
      </w:pPr>
      <w:r>
        <w:t>Distribuciones revocadas o pendientes de aceptación.</w:t>
      </w:r>
    </w:p>
    <w:p>
      <w:pPr>
        <w:pStyle w:val="ListBullet"/>
      </w:pPr>
      <w:r>
        <w:t>Backlog y edad de tareas de revisión.</w:t>
      </w:r>
    </w:p>
    <w:p>
      <w:pPr>
        <w:pStyle w:val="Heading2"/>
      </w:pPr>
      <w:r>
        <w:t>33.2 Continuidad</w:t>
      </w:r>
    </w:p>
    <w:p>
      <w:pPr/>
      <w:r>
        <w:t>Se realizarán restauraciones ensayadas, no solo copias. El archivo de largo plazo deberá conservar documentos, manifiestos, certificados, hashes, reglas y software mínimo de verificación. Se definirán RPO y RTO por metadatos, artefactos y firma.</w:t>
      </w:r>
    </w:p>
    <w:p>
      <w:pPr>
        <w:pStyle w:val="Heading1"/>
      </w:pPr>
      <w:r>
        <w:t>34. Seguridad documental, DLP y protección del know-how</w:t>
      </w:r>
    </w:p>
    <w:p>
      <w:pPr/>
      <w:r>
        <w:t>El sistema aplicará mínimo privilegio y prevención de pérdida de datos desde la composición hasta la distribución. La seguridad se basará en clasificación estructurada, no en confiar únicamente en marcas de agua.</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1F2"/>
            <w:vAlign w:val="center"/>
          </w:tcPr>
          <w:p>
            <w:r>
              <w:t>Riesgo</w:t>
            </w:r>
          </w:p>
        </w:tc>
        <w:tc>
          <w:tcPr>
            <w:tcW w:type="dxa" w:w="5100"/>
            <w:shd w:fill="D9E1F2"/>
            <w:vAlign w:val="center"/>
          </w:tcPr>
          <w:p>
            <w:r>
              <w:t>Control mínimo</w:t>
            </w:r>
          </w:p>
        </w:tc>
      </w:tr>
      <w:tr>
        <w:tc>
          <w:tcPr>
            <w:tcW w:type="dxa" w:w="5100"/>
            <w:vAlign w:val="center"/>
          </w:tcPr>
          <w:p>
            <w:r>
              <w:t>Costes y márgenes expuestos</w:t>
            </w:r>
          </w:p>
        </w:tc>
        <w:tc>
          <w:tcPr>
            <w:tcW w:type="dxa" w:w="5100"/>
            <w:vAlign w:val="center"/>
          </w:tcPr>
          <w:p>
            <w:r>
              <w:t>Reglas de campo por rol y paquete; tests de ausencia.</w:t>
            </w:r>
          </w:p>
        </w:tc>
      </w:tr>
      <w:tr>
        <w:tc>
          <w:tcPr>
            <w:tcW w:type="dxa" w:w="5100"/>
            <w:vAlign w:val="center"/>
          </w:tcPr>
          <w:p>
            <w:r>
              <w:t>Metadatos ocultos</w:t>
            </w:r>
          </w:p>
        </w:tc>
        <w:tc>
          <w:tcPr>
            <w:tcW w:type="dxa" w:w="5100"/>
            <w:vAlign w:val="center"/>
          </w:tcPr>
          <w:p>
            <w:r>
              <w:t>Limpieza de propiedades, comentarios, revisiones y objetos incrustados.</w:t>
            </w:r>
          </w:p>
        </w:tc>
      </w:tr>
      <w:tr>
        <w:tc>
          <w:tcPr>
            <w:tcW w:type="dxa" w:w="5100"/>
            <w:vAlign w:val="center"/>
          </w:tcPr>
          <w:p>
            <w:r>
              <w:t>Copias no controladas</w:t>
            </w:r>
          </w:p>
        </w:tc>
        <w:tc>
          <w:tcPr>
            <w:tcW w:type="dxa" w:w="5100"/>
            <w:vAlign w:val="center"/>
          </w:tcPr>
          <w:p>
            <w:r>
              <w:t>Portal, caducidad, watermark y trazabilidad.</w:t>
            </w:r>
          </w:p>
        </w:tc>
      </w:tr>
      <w:tr>
        <w:tc>
          <w:tcPr>
            <w:tcW w:type="dxa" w:w="5100"/>
            <w:vAlign w:val="center"/>
          </w:tcPr>
          <w:p>
            <w:r>
              <w:t>Plantilla manipulada</w:t>
            </w:r>
          </w:p>
        </w:tc>
        <w:tc>
          <w:tcPr>
            <w:tcW w:type="dxa" w:w="5100"/>
            <w:vAlign w:val="center"/>
          </w:tcPr>
          <w:p>
            <w:r>
              <w:t>Firma del template y despliegue desde registro aprobado.</w:t>
            </w:r>
          </w:p>
        </w:tc>
      </w:tr>
      <w:tr>
        <w:tc>
          <w:tcPr>
            <w:tcW w:type="dxa" w:w="5100"/>
            <w:vAlign w:val="center"/>
          </w:tcPr>
          <w:p>
            <w:r>
              <w:t>Prompt injection en documentos</w:t>
            </w:r>
          </w:p>
        </w:tc>
        <w:tc>
          <w:tcPr>
            <w:tcW w:type="dxa" w:w="5100"/>
            <w:vAlign w:val="center"/>
          </w:tcPr>
          <w:p>
            <w:r>
              <w:t>Aislamiento de contenido, instrucciones de sistema y revisión humana.</w:t>
            </w:r>
          </w:p>
        </w:tc>
      </w:tr>
      <w:tr>
        <w:tc>
          <w:tcPr>
            <w:tcW w:type="dxa" w:w="5100"/>
            <w:vAlign w:val="center"/>
          </w:tcPr>
          <w:p>
            <w:r>
              <w:t>Datos de cliente cruzados</w:t>
            </w:r>
          </w:p>
        </w:tc>
        <w:tc>
          <w:tcPr>
            <w:tcW w:type="dxa" w:w="5100"/>
            <w:vAlign w:val="center"/>
          </w:tcPr>
          <w:p>
            <w:r>
              <w:t>Tenant/workspace isolation y pruebas automáticas.</w:t>
            </w:r>
          </w:p>
        </w:tc>
      </w:tr>
      <w:tr>
        <w:tc>
          <w:tcPr>
            <w:tcW w:type="dxa" w:w="5100"/>
            <w:vAlign w:val="center"/>
          </w:tcPr>
          <w:p>
            <w:r>
              <w:t>Exportación masiva</w:t>
            </w:r>
          </w:p>
        </w:tc>
        <w:tc>
          <w:tcPr>
            <w:tcW w:type="dxa" w:w="5100"/>
            <w:vAlign w:val="center"/>
          </w:tcPr>
          <w:p>
            <w:r>
              <w:t>Límites, aprobación y alertas DLP.</w:t>
            </w:r>
          </w:p>
        </w:tc>
      </w:tr>
      <w:tr>
        <w:tc>
          <w:tcPr>
            <w:tcW w:type="dxa" w:w="5100"/>
            <w:vAlign w:val="center"/>
          </w:tcPr>
          <w:p>
            <w:r>
              <w:t>Proveedor no autorizado</w:t>
            </w:r>
          </w:p>
        </w:tc>
        <w:tc>
          <w:tcPr>
            <w:tcW w:type="dxa" w:w="5100"/>
            <w:vAlign w:val="center"/>
          </w:tcPr>
          <w:p>
            <w:r>
              <w:t>ACL por paquete, NDA y lista aprobada.</w:t>
            </w:r>
          </w:p>
        </w:tc>
      </w:tr>
    </w:tbl>
    <w:p>
      <w:pPr>
        <w:pStyle w:val="Heading2"/>
      </w:pPr>
      <w:r>
        <w:t>34.1 Redacción verificable</w:t>
      </w:r>
    </w:p>
    <w:p>
      <w:pPr/>
      <w:r>
        <w:t>La redacción de información sensible se ejecutará antes de renderizar mediante reglas de datos. Después se efectuará una inspección del contenido final, XML, adjuntos, metadatos y capas. Tapar visualmente texto no se considerará una redacción válida.</w:t>
      </w:r>
    </w:p>
    <w:p>
      <w:pPr>
        <w:pStyle w:val="Heading2"/>
      </w:pPr>
      <w:r>
        <w:t>34.2 Registro de acceso</w:t>
      </w:r>
    </w:p>
    <w:p>
      <w:pPr>
        <w:pStyle w:val="ListBullet"/>
      </w:pPr>
      <w:r>
        <w:t>Quién abrió, descargó, imprimió o compartió.</w:t>
      </w:r>
    </w:p>
    <w:p>
      <w:pPr>
        <w:pStyle w:val="ListBullet"/>
      </w:pPr>
      <w:r>
        <w:t>Qué versión y qué artefactos.</w:t>
      </w:r>
    </w:p>
    <w:p>
      <w:pPr>
        <w:pStyle w:val="ListBullet"/>
      </w:pPr>
      <w:r>
        <w:t>Desde qué canal y dispositivo cuando la política lo permita.</w:t>
      </w:r>
    </w:p>
    <w:p>
      <w:pPr>
        <w:pStyle w:val="ListBullet"/>
      </w:pPr>
      <w:r>
        <w:t>Resultado de autenticación y aceptación.</w:t>
      </w:r>
    </w:p>
    <w:p>
      <w:pPr>
        <w:pStyle w:val="ListBullet"/>
      </w:pPr>
      <w:r>
        <w:t>Acciones de revocación o bloqueo.</w:t>
      </w:r>
    </w:p>
    <w:p>
      <w:pPr>
        <w:pStyle w:val="Heading1"/>
      </w:pPr>
      <w:r>
        <w:t>35. Validación avanzada y casos de aceptación AC15-181 a AC15-300</w:t>
      </w:r>
    </w:p>
    <w:p>
      <w:pPr/>
      <w:r>
        <w:t>La v0.2 amplía la batería a 300 casos. Los nuevos grupos cubren contratos documentales, trazabilidad, firma, distribución, accesibilidad, seguridad y operación. Los casos críticos se ejecutarán en cada release; el resto se distribuirá entre regresión completa y suites especializadas.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1F2"/>
            <w:vAlign w:val="center"/>
          </w:tcPr>
          <w:p>
            <w:r>
              <w:t>Grupo</w:t>
            </w:r>
          </w:p>
        </w:tc>
        <w:tc>
          <w:tcPr>
            <w:tcW w:type="dxa" w:w="3400"/>
            <w:shd w:fill="D9E1F2"/>
            <w:vAlign w:val="center"/>
          </w:tcPr>
          <w:p>
            <w:r>
              <w:t>Rango</w:t>
            </w:r>
          </w:p>
        </w:tc>
        <w:tc>
          <w:tcPr>
            <w:tcW w:type="dxa" w:w="3400"/>
            <w:shd w:fill="D9E1F2"/>
            <w:vAlign w:val="center"/>
          </w:tcPr>
          <w:p>
            <w:r>
              <w:t>Cobertura adicional</w:t>
            </w:r>
          </w:p>
        </w:tc>
      </w:tr>
      <w:tr>
        <w:tc>
          <w:tcPr>
            <w:tcW w:type="dxa" w:w="3400"/>
            <w:vAlign w:val="center"/>
          </w:tcPr>
          <w:p>
            <w:r>
              <w:t>K. Contratos y lineage</w:t>
            </w:r>
          </w:p>
        </w:tc>
        <w:tc>
          <w:tcPr>
            <w:tcW w:type="dxa" w:w="3400"/>
            <w:vAlign w:val="center"/>
          </w:tcPr>
          <w:p>
            <w:r>
              <w:t>AC15-181 a AC15-205</w:t>
            </w:r>
          </w:p>
        </w:tc>
        <w:tc>
          <w:tcPr>
            <w:tcW w:type="dxa" w:w="3400"/>
            <w:vAlign w:val="center"/>
          </w:tcPr>
          <w:p>
            <w:r>
              <w:t>Bindings, obligatoriedad, unidades, hashes y edición indebida.</w:t>
            </w:r>
          </w:p>
        </w:tc>
      </w:tr>
      <w:tr>
        <w:tc>
          <w:tcPr>
            <w:tcW w:type="dxa" w:w="3400"/>
            <w:vAlign w:val="center"/>
          </w:tcPr>
          <w:p>
            <w:r>
              <w:t>L. Diff semántico</w:t>
            </w:r>
          </w:p>
        </w:tc>
        <w:tc>
          <w:tcPr>
            <w:tcW w:type="dxa" w:w="3400"/>
            <w:vAlign w:val="center"/>
          </w:tcPr>
          <w:p>
            <w:r>
              <w:t>AC15-206 a AC15-225</w:t>
            </w:r>
          </w:p>
        </w:tc>
        <w:tc>
          <w:tcPr>
            <w:tcW w:type="dxa" w:w="3400"/>
            <w:vAlign w:val="center"/>
          </w:tcPr>
          <w:p>
            <w:r>
              <w:t>Cambios técnicos, editoriales, traducciones e impacto.</w:t>
            </w:r>
          </w:p>
        </w:tc>
      </w:tr>
      <w:tr>
        <w:tc>
          <w:tcPr>
            <w:tcW w:type="dxa" w:w="3400"/>
            <w:vAlign w:val="center"/>
          </w:tcPr>
          <w:p>
            <w:r>
              <w:t>M. Regulación y mercado</w:t>
            </w:r>
          </w:p>
        </w:tc>
        <w:tc>
          <w:tcPr>
            <w:tcW w:type="dxa" w:w="3400"/>
            <w:vAlign w:val="center"/>
          </w:tcPr>
          <w:p>
            <w:r>
              <w:t>AC15-226 a AC15-240</w:t>
            </w:r>
          </w:p>
        </w:tc>
        <w:tc>
          <w:tcPr>
            <w:tcW w:type="dxa" w:w="3400"/>
            <w:vAlign w:val="center"/>
          </w:tcPr>
          <w:p>
            <w:r>
              <w:t>Paquetes por jurisdicción, fechas y evidencia.</w:t>
            </w:r>
          </w:p>
        </w:tc>
      </w:tr>
      <w:tr>
        <w:tc>
          <w:tcPr>
            <w:tcW w:type="dxa" w:w="3400"/>
            <w:vAlign w:val="center"/>
          </w:tcPr>
          <w:p>
            <w:r>
              <w:t>N. Firma y verificación</w:t>
            </w:r>
          </w:p>
        </w:tc>
        <w:tc>
          <w:tcPr>
            <w:tcW w:type="dxa" w:w="3400"/>
            <w:vAlign w:val="center"/>
          </w:tcPr>
          <w:p>
            <w:r>
              <w:t>AC15-241 a AC15-255</w:t>
            </w:r>
          </w:p>
        </w:tc>
        <w:tc>
          <w:tcPr>
            <w:tcW w:type="dxa" w:w="3400"/>
            <w:vAlign w:val="center"/>
          </w:tcPr>
          <w:p>
            <w:r>
              <w:t>Firma, sello, QR, revocación y verificación offline.</w:t>
            </w:r>
          </w:p>
        </w:tc>
      </w:tr>
      <w:tr>
        <w:tc>
          <w:tcPr>
            <w:tcW w:type="dxa" w:w="3400"/>
            <w:vAlign w:val="center"/>
          </w:tcPr>
          <w:p>
            <w:r>
              <w:t>O. Distribución</w:t>
            </w:r>
          </w:p>
        </w:tc>
        <w:tc>
          <w:tcPr>
            <w:tcW w:type="dxa" w:w="3400"/>
            <w:vAlign w:val="center"/>
          </w:tcPr>
          <w:p>
            <w:r>
              <w:t>AC15-256 a AC15-270</w:t>
            </w:r>
          </w:p>
        </w:tc>
        <w:tc>
          <w:tcPr>
            <w:tcW w:type="dxa" w:w="3400"/>
            <w:vAlign w:val="center"/>
          </w:tcPr>
          <w:p>
            <w:r>
              <w:t>Portales, destinatarios, caducidad y sustitución.</w:t>
            </w:r>
          </w:p>
        </w:tc>
      </w:tr>
      <w:tr>
        <w:tc>
          <w:tcPr>
            <w:tcW w:type="dxa" w:w="3400"/>
            <w:vAlign w:val="center"/>
          </w:tcPr>
          <w:p>
            <w:r>
              <w:t>P. Accesibilidad y render</w:t>
            </w:r>
          </w:p>
        </w:tc>
        <w:tc>
          <w:tcPr>
            <w:tcW w:type="dxa" w:w="3400"/>
            <w:vAlign w:val="center"/>
          </w:tcPr>
          <w:p>
            <w:r>
              <w:t>AC15-271 a AC15-285</w:t>
            </w:r>
          </w:p>
        </w:tc>
        <w:tc>
          <w:tcPr>
            <w:tcW w:type="dxa" w:w="3400"/>
            <w:vAlign w:val="center"/>
          </w:tcPr>
          <w:p>
            <w:r>
              <w:t>PDF/A, etiquetas, tablas, fuentes y regresión visual.</w:t>
            </w:r>
          </w:p>
        </w:tc>
      </w:tr>
      <w:tr>
        <w:tc>
          <w:tcPr>
            <w:tcW w:type="dxa" w:w="3400"/>
            <w:vAlign w:val="center"/>
          </w:tcPr>
          <w:p>
            <w:r>
              <w:t>Q. Seguridad y DLP</w:t>
            </w:r>
          </w:p>
        </w:tc>
        <w:tc>
          <w:tcPr>
            <w:tcW w:type="dxa" w:w="3400"/>
            <w:vAlign w:val="center"/>
          </w:tcPr>
          <w:p>
            <w:r>
              <w:t>AC15-286 a AC15-295</w:t>
            </w:r>
          </w:p>
        </w:tc>
        <w:tc>
          <w:tcPr>
            <w:tcW w:type="dxa" w:w="3400"/>
            <w:vAlign w:val="center"/>
          </w:tcPr>
          <w:p>
            <w:r>
              <w:t>Redacción, metadatos, permisos y aislamiento.</w:t>
            </w:r>
          </w:p>
        </w:tc>
      </w:tr>
      <w:tr>
        <w:tc>
          <w:tcPr>
            <w:tcW w:type="dxa" w:w="3400"/>
            <w:vAlign w:val="center"/>
          </w:tcPr>
          <w:p>
            <w:r>
              <w:t>R. Operación y continuidad</w:t>
            </w:r>
          </w:p>
        </w:tc>
        <w:tc>
          <w:tcPr>
            <w:tcW w:type="dxa" w:w="3400"/>
            <w:vAlign w:val="center"/>
          </w:tcPr>
          <w:p>
            <w:r>
              <w:t>AC15-296 a AC15-300</w:t>
            </w:r>
          </w:p>
        </w:tc>
        <w:tc>
          <w:tcPr>
            <w:tcW w:type="dxa" w:w="3400"/>
            <w:vAlign w:val="center"/>
          </w:tcPr>
          <w:p>
            <w:r>
              <w:t>Failover, restauración, idempotencia y observabilidad.</w:t>
            </w:r>
          </w:p>
        </w:tc>
      </w:tr>
    </w:tbl>
    <w:p>
      <w:pPr>
        <w:pStyle w:val="Heading2"/>
      </w:pPr>
      <w:r>
        <w:t>35.1 Casos críticos nuevos</w:t>
      </w:r>
    </w:p>
    <w:p>
      <w:pPr>
        <w:pStyle w:val="ListNumber"/>
      </w:pPr>
      <w:r>
        <w:t>AC15-181: rastrear una utilización hasta entrada, combinación, regla y render.</w:t>
      </w:r>
    </w:p>
    <w:p>
      <w:pPr>
        <w:pStyle w:val="ListNumber"/>
      </w:pPr>
      <w:r>
        <w:t>AC15-187: impedir la liberación de un DOCX con un campo técnico editado manualmente.</w:t>
      </w:r>
    </w:p>
    <w:p>
      <w:pPr>
        <w:pStyle w:val="ListNumber"/>
      </w:pPr>
      <w:r>
        <w:t>AC15-206: cambiar la edición normativa y obtener el impacto exacto en documentos y aprobaciones.</w:t>
      </w:r>
    </w:p>
    <w:p>
      <w:pPr>
        <w:pStyle w:val="ListNumber"/>
      </w:pPr>
      <w:r>
        <w:t>AC15-214: distinguir una corrección ortográfica de un cambio técnico semántico.</w:t>
      </w:r>
    </w:p>
    <w:p>
      <w:pPr>
        <w:pStyle w:val="ListNumber"/>
      </w:pPr>
      <w:r>
        <w:t>AC15-226: impedir un paquete regulatorio europeo para un mercado no cubierto.</w:t>
      </w:r>
    </w:p>
    <w:p>
      <w:pPr>
        <w:pStyle w:val="ListNumber"/>
      </w:pPr>
      <w:r>
        <w:t>AC15-241: verificar que cualquier cambio de un byte invalida la firma del paquete.</w:t>
      </w:r>
    </w:p>
    <w:p>
      <w:pPr>
        <w:pStyle w:val="ListNumber"/>
      </w:pPr>
      <w:r>
        <w:t>AC15-247: comprobar una liberación offline mediante manifiesto y certificado.</w:t>
      </w:r>
    </w:p>
    <w:p>
      <w:pPr>
        <w:pStyle w:val="ListNumber"/>
      </w:pPr>
      <w:r>
        <w:t>AC15-256: revocar una revisión y bloquear descargas ya enlazadas.</w:t>
      </w:r>
    </w:p>
    <w:p>
      <w:pPr>
        <w:pStyle w:val="ListNumber"/>
      </w:pPr>
      <w:r>
        <w:t>AC15-265: notificar a todos los destinatarios de una versión sustituida.</w:t>
      </w:r>
    </w:p>
    <w:p>
      <w:pPr>
        <w:pStyle w:val="ListNumber"/>
      </w:pPr>
      <w:r>
        <w:t>AC15-271: detectar una tabla cortada o una página vacía antes de liberación.</w:t>
      </w:r>
    </w:p>
    <w:p>
      <w:pPr>
        <w:pStyle w:val="ListNumber"/>
      </w:pPr>
      <w:r>
        <w:t>AC15-278: generar PDF etiquetado con orden de lectura correcto.</w:t>
      </w:r>
    </w:p>
    <w:p>
      <w:pPr>
        <w:pStyle w:val="ListNumber"/>
      </w:pPr>
      <w:r>
        <w:t>AC15-286: demostrar ausencia de costes y proveedores en paquete cliente.</w:t>
      </w:r>
    </w:p>
    <w:p>
      <w:pPr>
        <w:pStyle w:val="ListNumber"/>
      </w:pPr>
      <w:r>
        <w:t>AC15-291: eliminar comentarios, cambios seguidos y metadatos ocultos.</w:t>
      </w:r>
    </w:p>
    <w:p>
      <w:pPr>
        <w:pStyle w:val="ListNumber"/>
      </w:pPr>
      <w:r>
        <w:t>AC15-296: reanudar un job sin duplicar firma, distribución o aprobación.</w:t>
      </w:r>
    </w:p>
    <w:p>
      <w:pPr>
        <w:pStyle w:val="ListNumber"/>
      </w:pPr>
      <w:r>
        <w:t>AC15-300: restaurar un expediente M4 y verificar todos sus hashes.</w:t>
      </w:r>
    </w:p>
    <w:p>
      <w:pPr>
        <w:pStyle w:val="Heading2"/>
      </w:pPr>
      <w:r>
        <w:t>35.2 Criterio de salida reforzado</w:t>
      </w:r>
    </w:p>
    <w:p>
      <w:pPr/>
      <w:r>
        <w:t>La Fase 15 no podrá congelarse como v1.0 hasta superar los 300 casos, validar al menos diez expedientes reales de distinta tipología y demostrar una liberación completa, una sustitución, una revocación y una restauración de archivo sin pérdida de trazabilidad.</w:t>
      </w:r>
    </w:p>
    <w:p>
      <w:pPr>
        <w:pStyle w:val="Heading1"/>
        <w:keepNext/>
      </w:pPr>
      <w:r>
        <w:t>Anexo A. Paquetes documentales estándar</w:t>
      </w:r>
    </w:p>
    <w:tbl>
      <w:tblPr>
        <w:tblStyle w:val="TableGrid"/>
        <w:tblW w:type="auto" w:w="0"/>
        <w:jc w:val="center"/>
        <w:tblLook w:firstColumn="1" w:firstRow="1" w:lastColumn="0" w:lastRow="0" w:noHBand="0" w:noVBand="1" w:val="04A0"/>
      </w:tblPr>
      <w:tblGrid>
        <w:gridCol w:w="3389"/>
        <w:gridCol w:w="3389"/>
        <w:gridCol w:w="3389"/>
      </w:tblGrid>
      <w:tr>
        <w:tc>
          <w:tcPr>
            <w:tcW w:type="dxa" w:w="1701"/>
            <w:vAlign w:val="center"/>
            <w:shd w:fill="111111"/>
          </w:tcPr>
          <w:p>
            <w:r>
              <w:t>Código</w:t>
            </w:r>
          </w:p>
        </w:tc>
        <w:tc>
          <w:tcPr>
            <w:tcW w:type="dxa" w:w="2268"/>
            <w:vAlign w:val="center"/>
            <w:shd w:fill="111111"/>
          </w:tcPr>
          <w:p>
            <w:r>
              <w:t>Paquete</w:t>
            </w:r>
          </w:p>
        </w:tc>
        <w:tc>
          <w:tcPr>
            <w:tcW w:type="dxa" w:w="5102"/>
            <w:vAlign w:val="center"/>
            <w:shd w:fill="111111"/>
          </w:tcPr>
          <w:p>
            <w:r>
              <w:t>Contenido</w:t>
            </w:r>
          </w:p>
        </w:tc>
      </w:tr>
      <w:tr>
        <w:tc>
          <w:tcPr>
            <w:tcW w:type="dxa" w:w="1701"/>
            <w:vAlign w:val="center"/>
          </w:tcPr>
          <w:p>
            <w:r>
              <w:t>PKG-COM</w:t>
            </w:r>
          </w:p>
        </w:tc>
        <w:tc>
          <w:tcPr>
            <w:tcW w:type="dxa" w:w="2268"/>
            <w:vAlign w:val="center"/>
          </w:tcPr>
          <w:p>
            <w:r>
              <w:t>Comercial</w:t>
            </w:r>
          </w:p>
        </w:tc>
        <w:tc>
          <w:tcPr>
            <w:tcW w:type="dxa" w:w="5102"/>
            <w:vAlign w:val="center"/>
          </w:tcPr>
          <w:p>
            <w:r>
              <w:t>Informe resumido, ficha técnica y alternativa seleccionada.</w:t>
            </w:r>
          </w:p>
        </w:tc>
      </w:tr>
      <w:tr>
        <w:tc>
          <w:tcPr>
            <w:tcW w:type="dxa" w:w="1701"/>
            <w:vAlign w:val="center"/>
            <w:shd w:fill="F7F7F7"/>
          </w:tcPr>
          <w:p>
            <w:r>
              <w:t>PKG-CLI</w:t>
            </w:r>
          </w:p>
        </w:tc>
        <w:tc>
          <w:tcPr>
            <w:tcW w:type="dxa" w:w="2268"/>
            <w:vAlign w:val="center"/>
            <w:shd w:fill="F7F7F7"/>
          </w:tcPr>
          <w:p>
            <w:r>
              <w:t>Cliente técnico</w:t>
            </w:r>
          </w:p>
        </w:tc>
        <w:tc>
          <w:tcPr>
            <w:tcW w:type="dxa" w:w="5102"/>
            <w:vAlign w:val="center"/>
            <w:shd w:fill="F7F7F7"/>
          </w:tcPr>
          <w:p>
            <w:r>
              <w:t>Informe extenso, planos generales y condiciones.</w:t>
            </w:r>
          </w:p>
        </w:tc>
      </w:tr>
      <w:tr>
        <w:tc>
          <w:tcPr>
            <w:tcW w:type="dxa" w:w="1701"/>
            <w:vAlign w:val="center"/>
          </w:tcPr>
          <w:p>
            <w:r>
              <w:t>PKG-CAL</w:t>
            </w:r>
          </w:p>
        </w:tc>
        <w:tc>
          <w:tcPr>
            <w:tcW w:type="dxa" w:w="2268"/>
            <w:vAlign w:val="center"/>
          </w:tcPr>
          <w:p>
            <w:r>
              <w:t>Cálculo</w:t>
            </w:r>
          </w:p>
        </w:tc>
        <w:tc>
          <w:tcPr>
            <w:tcW w:type="dxa" w:w="5102"/>
            <w:vAlign w:val="center"/>
          </w:tcPr>
          <w:p>
            <w:r>
              <w:t>Memoria completa, resultados y evidencias.</w:t>
            </w:r>
          </w:p>
        </w:tc>
      </w:tr>
      <w:tr>
        <w:tc>
          <w:tcPr>
            <w:tcW w:type="dxa" w:w="1701"/>
            <w:vAlign w:val="center"/>
            <w:shd w:fill="F7F7F7"/>
          </w:tcPr>
          <w:p>
            <w:r>
              <w:t>PKG-PRD</w:t>
            </w:r>
          </w:p>
        </w:tc>
        <w:tc>
          <w:tcPr>
            <w:tcW w:type="dxa" w:w="2268"/>
            <w:vAlign w:val="center"/>
            <w:shd w:fill="F7F7F7"/>
          </w:tcPr>
          <w:p>
            <w:r>
              <w:t>Producción</w:t>
            </w:r>
          </w:p>
        </w:tc>
        <w:tc>
          <w:tcPr>
            <w:tcW w:type="dxa" w:w="5102"/>
            <w:vAlign w:val="center"/>
            <w:shd w:fill="F7F7F7"/>
          </w:tcPr>
          <w:p>
            <w:r>
              <w:t>CAD, planos, MBOM, rutas, WPS y control.</w:t>
            </w:r>
          </w:p>
        </w:tc>
      </w:tr>
      <w:tr>
        <w:tc>
          <w:tcPr>
            <w:tcW w:type="dxa" w:w="1701"/>
            <w:vAlign w:val="center"/>
          </w:tcPr>
          <w:p>
            <w:r>
              <w:t>PKG-SUB</w:t>
            </w:r>
          </w:p>
        </w:tc>
        <w:tc>
          <w:tcPr>
            <w:tcW w:type="dxa" w:w="2268"/>
            <w:vAlign w:val="center"/>
          </w:tcPr>
          <w:p>
            <w:r>
              <w:t>Subcontratación</w:t>
            </w:r>
          </w:p>
        </w:tc>
        <w:tc>
          <w:tcPr>
            <w:tcW w:type="dxa" w:w="5102"/>
            <w:vAlign w:val="center"/>
          </w:tcPr>
          <w:p>
            <w:r>
              <w:t>Especificación, planos, PBOM y criterios de aceptación.</w:t>
            </w:r>
          </w:p>
        </w:tc>
      </w:tr>
      <w:tr>
        <w:tc>
          <w:tcPr>
            <w:tcW w:type="dxa" w:w="1701"/>
            <w:vAlign w:val="center"/>
            <w:shd w:fill="F7F7F7"/>
          </w:tcPr>
          <w:p>
            <w:r>
              <w:t>PKG-SIT</w:t>
            </w:r>
          </w:p>
        </w:tc>
        <w:tc>
          <w:tcPr>
            <w:tcW w:type="dxa" w:w="2268"/>
            <w:vAlign w:val="center"/>
            <w:shd w:fill="F7F7F7"/>
          </w:tcPr>
          <w:p>
            <w:r>
              <w:t>Obra</w:t>
            </w:r>
          </w:p>
        </w:tc>
        <w:tc>
          <w:tcPr>
            <w:tcW w:type="dxa" w:w="5102"/>
            <w:vAlign w:val="center"/>
            <w:shd w:fill="F7F7F7"/>
          </w:tcPr>
          <w:p>
            <w:r>
              <w:t>Cimentación, montaje, izado y recepción.</w:t>
            </w:r>
          </w:p>
        </w:tc>
      </w:tr>
      <w:tr>
        <w:tc>
          <w:tcPr>
            <w:tcW w:type="dxa" w:w="1701"/>
            <w:vAlign w:val="center"/>
          </w:tcPr>
          <w:p>
            <w:r>
              <w:t>PKG-QA</w:t>
            </w:r>
          </w:p>
        </w:tc>
        <w:tc>
          <w:tcPr>
            <w:tcW w:type="dxa" w:w="2268"/>
            <w:vAlign w:val="center"/>
          </w:tcPr>
          <w:p>
            <w:r>
              <w:t>Calidad</w:t>
            </w:r>
          </w:p>
        </w:tc>
        <w:tc>
          <w:tcPr>
            <w:tcW w:type="dxa" w:w="5102"/>
            <w:vAlign w:val="center"/>
          </w:tcPr>
          <w:p>
            <w:r>
              <w:t>ITP, CTQ, certificados, NCR y as-built.</w:t>
            </w:r>
          </w:p>
        </w:tc>
      </w:tr>
      <w:tr>
        <w:tc>
          <w:tcPr>
            <w:tcW w:type="dxa" w:w="1701"/>
            <w:vAlign w:val="center"/>
            <w:shd w:fill="F7F7F7"/>
          </w:tcPr>
          <w:p>
            <w:r>
              <w:t>PKG-REG</w:t>
            </w:r>
          </w:p>
        </w:tc>
        <w:tc>
          <w:tcPr>
            <w:tcW w:type="dxa" w:w="2268"/>
            <w:vAlign w:val="center"/>
            <w:shd w:fill="F7F7F7"/>
          </w:tcPr>
          <w:p>
            <w:r>
              <w:t>Regulatorio</w:t>
            </w:r>
          </w:p>
        </w:tc>
        <w:tc>
          <w:tcPr>
            <w:tcW w:type="dxa" w:w="5102"/>
            <w:vAlign w:val="center"/>
            <w:shd w:fill="F7F7F7"/>
          </w:tcPr>
          <w:p>
            <w:r>
              <w:t>Documentos aplicables por mercado.</w:t>
            </w:r>
          </w:p>
        </w:tc>
      </w:tr>
      <w:tr>
        <w:tc>
          <w:tcPr>
            <w:tcW w:type="dxa" w:w="1701"/>
            <w:vAlign w:val="center"/>
          </w:tcPr>
          <w:p>
            <w:r>
              <w:t>PKG-SRV</w:t>
            </w:r>
          </w:p>
        </w:tc>
        <w:tc>
          <w:tcPr>
            <w:tcW w:type="dxa" w:w="2268"/>
            <w:vAlign w:val="center"/>
          </w:tcPr>
          <w:p>
            <w:r>
              <w:t>Servicio</w:t>
            </w:r>
          </w:p>
        </w:tc>
        <w:tc>
          <w:tcPr>
            <w:tcW w:type="dxa" w:w="5102"/>
            <w:vAlign w:val="center"/>
          </w:tcPr>
          <w:p>
            <w:r>
              <w:t>Mantenimiento, inspecciones y repuestos.</w:t>
            </w:r>
          </w:p>
        </w:tc>
      </w:tr>
    </w:tbl>
    <w:p>
      <w:pPr>
        <w:spacing w:after="0"/>
      </w:pPr>
    </w:p>
    <w:p>
      <w:pPr>
        <w:pStyle w:val="Heading1"/>
        <w:keepNext/>
      </w:pPr>
      <w:r>
        <w:t>Anexo B. Gates de liberación</w:t>
      </w:r>
    </w:p>
    <w:tbl>
      <w:tblPr>
        <w:tblStyle w:val="TableGrid"/>
        <w:tblW w:type="auto" w:w="0"/>
        <w:jc w:val="center"/>
        <w:tblLook w:firstColumn="1" w:firstRow="1" w:lastColumn="0" w:lastRow="0" w:noHBand="0" w:noVBand="1" w:val="04A0"/>
      </w:tblPr>
      <w:tblGrid>
        <w:gridCol w:w="3389"/>
        <w:gridCol w:w="3389"/>
        <w:gridCol w:w="3389"/>
      </w:tblGrid>
      <w:tr>
        <w:tc>
          <w:tcPr>
            <w:tcW w:type="dxa" w:w="1701"/>
            <w:vAlign w:val="center"/>
            <w:shd w:fill="111111"/>
          </w:tcPr>
          <w:p>
            <w:r>
              <w:t>Gate</w:t>
            </w:r>
          </w:p>
        </w:tc>
        <w:tc>
          <w:tcPr>
            <w:tcW w:type="dxa" w:w="4535"/>
            <w:vAlign w:val="center"/>
            <w:shd w:fill="111111"/>
          </w:tcPr>
          <w:p>
            <w:r>
              <w:t>Requisitos mínimos</w:t>
            </w:r>
          </w:p>
        </w:tc>
        <w:tc>
          <w:tcPr>
            <w:tcW w:type="dxa" w:w="2835"/>
            <w:vAlign w:val="center"/>
            <w:shd w:fill="111111"/>
          </w:tcPr>
          <w:p>
            <w:r>
              <w:t>Resultado</w:t>
            </w:r>
          </w:p>
        </w:tc>
      </w:tr>
      <w:tr>
        <w:tc>
          <w:tcPr>
            <w:tcW w:type="dxa" w:w="1701"/>
            <w:vAlign w:val="center"/>
          </w:tcPr>
          <w:p>
            <w:r>
              <w:t>G0 · Datos</w:t>
            </w:r>
          </w:p>
        </w:tc>
        <w:tc>
          <w:tcPr>
            <w:tcW w:type="dxa" w:w="4535"/>
            <w:vAlign w:val="center"/>
          </w:tcPr>
          <w:p>
            <w:r>
              <w:t>Entradas mínimas y procedencia.</w:t>
            </w:r>
          </w:p>
        </w:tc>
        <w:tc>
          <w:tcPr>
            <w:tcW w:type="dxa" w:w="2835"/>
            <w:vAlign w:val="center"/>
          </w:tcPr>
          <w:p>
            <w:r>
              <w:t>Permite M1.</w:t>
            </w:r>
          </w:p>
        </w:tc>
      </w:tr>
      <w:tr>
        <w:tc>
          <w:tcPr>
            <w:tcW w:type="dxa" w:w="1701"/>
            <w:vAlign w:val="center"/>
            <w:shd w:fill="F7F7F7"/>
          </w:tcPr>
          <w:p>
            <w:r>
              <w:t>G1 · Cálculo</w:t>
            </w:r>
          </w:p>
        </w:tc>
        <w:tc>
          <w:tcPr>
            <w:tcW w:type="dxa" w:w="4535"/>
            <w:vAlign w:val="center"/>
            <w:shd w:fill="F7F7F7"/>
          </w:tcPr>
          <w:p>
            <w:r>
              <w:t>Motor completado, equilibrio y verificaciones.</w:t>
            </w:r>
          </w:p>
        </w:tc>
        <w:tc>
          <w:tcPr>
            <w:tcW w:type="dxa" w:w="2835"/>
            <w:vAlign w:val="center"/>
            <w:shd w:fill="F7F7F7"/>
          </w:tcPr>
          <w:p>
            <w:r>
              <w:t>Permite M2.</w:t>
            </w:r>
          </w:p>
        </w:tc>
      </w:tr>
      <w:tr>
        <w:tc>
          <w:tcPr>
            <w:tcW w:type="dxa" w:w="1701"/>
            <w:vAlign w:val="center"/>
          </w:tcPr>
          <w:p>
            <w:r>
              <w:t>G2 · OT</w:t>
            </w:r>
          </w:p>
        </w:tc>
        <w:tc>
          <w:tcPr>
            <w:tcW w:type="dxa" w:w="4535"/>
            <w:vAlign w:val="center"/>
          </w:tcPr>
          <w:p>
            <w:r>
              <w:t>Revisión técnica y observaciones cerradas.</w:t>
            </w:r>
          </w:p>
        </w:tc>
        <w:tc>
          <w:tcPr>
            <w:tcW w:type="dxa" w:w="2835"/>
            <w:vAlign w:val="center"/>
          </w:tcPr>
          <w:p>
            <w:r>
              <w:t>Permite M3.</w:t>
            </w:r>
          </w:p>
        </w:tc>
      </w:tr>
      <w:tr>
        <w:tc>
          <w:tcPr>
            <w:tcW w:type="dxa" w:w="1701"/>
            <w:vAlign w:val="center"/>
            <w:shd w:fill="F7F7F7"/>
          </w:tcPr>
          <w:p>
            <w:r>
              <w:t>G3 · Producto</w:t>
            </w:r>
          </w:p>
        </w:tc>
        <w:tc>
          <w:tcPr>
            <w:tcW w:type="dxa" w:w="4535"/>
            <w:vAlign w:val="center"/>
            <w:shd w:fill="F7F7F7"/>
          </w:tcPr>
          <w:p>
            <w:r>
              <w:t>CAD, BOM, planos y interfaces coherentes.</w:t>
            </w:r>
          </w:p>
        </w:tc>
        <w:tc>
          <w:tcPr>
            <w:tcW w:type="dxa" w:w="2835"/>
            <w:vAlign w:val="center"/>
            <w:shd w:fill="F7F7F7"/>
          </w:tcPr>
          <w:p>
            <w:r>
              <w:t>Prepara M4.</w:t>
            </w:r>
          </w:p>
        </w:tc>
      </w:tr>
      <w:tr>
        <w:tc>
          <w:tcPr>
            <w:tcW w:type="dxa" w:w="1701"/>
            <w:vAlign w:val="center"/>
          </w:tcPr>
          <w:p>
            <w:r>
              <w:t>G4 · Industrial</w:t>
            </w:r>
          </w:p>
        </w:tc>
        <w:tc>
          <w:tcPr>
            <w:tcW w:type="dxa" w:w="4535"/>
            <w:vAlign w:val="center"/>
          </w:tcPr>
          <w:p>
            <w:r>
              <w:t>Fabricabilidad, calidad y documentación.</w:t>
            </w:r>
          </w:p>
        </w:tc>
        <w:tc>
          <w:tcPr>
            <w:tcW w:type="dxa" w:w="2835"/>
            <w:vAlign w:val="center"/>
          </w:tcPr>
          <w:p>
            <w:r>
              <w:t>Permite M4.</w:t>
            </w:r>
          </w:p>
        </w:tc>
      </w:tr>
      <w:tr>
        <w:tc>
          <w:tcPr>
            <w:tcW w:type="dxa" w:w="1701"/>
            <w:vAlign w:val="center"/>
            <w:shd w:fill="F7F7F7"/>
          </w:tcPr>
          <w:p>
            <w:r>
              <w:t>G5 · Distribución</w:t>
            </w:r>
          </w:p>
        </w:tc>
        <w:tc>
          <w:tcPr>
            <w:tcW w:type="dxa" w:w="4535"/>
            <w:vAlign w:val="center"/>
            <w:shd w:fill="F7F7F7"/>
          </w:tcPr>
          <w:p>
            <w:r>
              <w:t>Paquete, permisos, firmas y destinatario.</w:t>
            </w:r>
          </w:p>
        </w:tc>
        <w:tc>
          <w:tcPr>
            <w:tcW w:type="dxa" w:w="2835"/>
            <w:vAlign w:val="center"/>
            <w:shd w:fill="F7F7F7"/>
          </w:tcPr>
          <w:p>
            <w:r>
              <w:t>Publicación controlada.</w:t>
            </w:r>
          </w:p>
        </w:tc>
      </w:tr>
      <w:tr>
        <w:tc>
          <w:tcPr>
            <w:tcW w:type="dxa" w:w="1701"/>
            <w:vAlign w:val="center"/>
          </w:tcPr>
          <w:p>
            <w:r>
              <w:t>G6 · As-built</w:t>
            </w:r>
          </w:p>
        </w:tc>
        <w:tc>
          <w:tcPr>
            <w:tcW w:type="dxa" w:w="4535"/>
            <w:vAlign w:val="center"/>
          </w:tcPr>
          <w:p>
            <w:r>
              <w:t>Evidencias reales y desviaciones cerradas.</w:t>
            </w:r>
          </w:p>
        </w:tc>
        <w:tc>
          <w:tcPr>
            <w:tcW w:type="dxa" w:w="2835"/>
            <w:vAlign w:val="center"/>
          </w:tcPr>
          <w:p>
            <w:r>
              <w:t>Cierre de expediente.</w:t>
            </w:r>
          </w:p>
        </w:tc>
      </w:tr>
    </w:tbl>
    <w:p>
      <w:pPr>
        <w:spacing w:after="0"/>
      </w:pPr>
    </w:p>
    <w:p>
      <w:pPr>
        <w:pStyle w:val="Heading1"/>
        <w:keepNext/>
      </w:pPr>
      <w:r>
        <w:t>Anexo C. Códigos de validación</w:t>
      </w:r>
    </w:p>
    <w:tbl>
      <w:tblPr>
        <w:tblStyle w:val="TableGrid"/>
        <w:tblW w:type="auto" w:w="0"/>
        <w:jc w:val="center"/>
        <w:tblLook w:firstColumn="1" w:firstRow="1" w:lastColumn="0" w:lastRow="0" w:noHBand="0" w:noVBand="1" w:val="04A0"/>
      </w:tblPr>
      <w:tblGrid>
        <w:gridCol w:w="3389"/>
        <w:gridCol w:w="3389"/>
        <w:gridCol w:w="3389"/>
      </w:tblGrid>
      <w:tr>
        <w:tc>
          <w:tcPr>
            <w:tcW w:type="dxa" w:w="2268"/>
            <w:vAlign w:val="center"/>
            <w:shd w:fill="111111"/>
          </w:tcPr>
          <w:p>
            <w:r>
              <w:t>Código</w:t>
            </w:r>
          </w:p>
        </w:tc>
        <w:tc>
          <w:tcPr>
            <w:tcW w:type="dxa" w:w="1701"/>
            <w:vAlign w:val="center"/>
            <w:shd w:fill="111111"/>
          </w:tcPr>
          <w:p>
            <w:r>
              <w:t>Severidad</w:t>
            </w:r>
          </w:p>
        </w:tc>
        <w:tc>
          <w:tcPr>
            <w:tcW w:type="dxa" w:w="5102"/>
            <w:vAlign w:val="center"/>
            <w:shd w:fill="111111"/>
          </w:tcPr>
          <w:p>
            <w:r>
              <w:t>Descripción</w:t>
            </w:r>
          </w:p>
        </w:tc>
      </w:tr>
      <w:tr>
        <w:tc>
          <w:tcPr>
            <w:tcW w:type="dxa" w:w="2268"/>
            <w:vAlign w:val="center"/>
          </w:tcPr>
          <w:p>
            <w:r>
              <w:t>REL-SNAPSHOT-001</w:t>
            </w:r>
          </w:p>
        </w:tc>
        <w:tc>
          <w:tcPr>
            <w:tcW w:type="dxa" w:w="1701"/>
            <w:vAlign w:val="center"/>
          </w:tcPr>
          <w:p>
            <w:r>
              <w:t>Bloqueante</w:t>
            </w:r>
          </w:p>
        </w:tc>
        <w:tc>
          <w:tcPr>
            <w:tcW w:type="dxa" w:w="5102"/>
            <w:vAlign w:val="center"/>
          </w:tcPr>
          <w:p>
            <w:r>
              <w:t>Snapshots incompatibles.</w:t>
            </w:r>
          </w:p>
        </w:tc>
      </w:tr>
      <w:tr>
        <w:tc>
          <w:tcPr>
            <w:tcW w:type="dxa" w:w="2268"/>
            <w:vAlign w:val="center"/>
            <w:shd w:fill="F7F7F7"/>
          </w:tcPr>
          <w:p>
            <w:r>
              <w:t>REL-CALC-001</w:t>
            </w:r>
          </w:p>
        </w:tc>
        <w:tc>
          <w:tcPr>
            <w:tcW w:type="dxa" w:w="1701"/>
            <w:vAlign w:val="center"/>
            <w:shd w:fill="F7F7F7"/>
          </w:tcPr>
          <w:p>
            <w:r>
              <w:t>Bloqueante</w:t>
            </w:r>
          </w:p>
        </w:tc>
        <w:tc>
          <w:tcPr>
            <w:tcW w:type="dxa" w:w="5102"/>
            <w:vAlign w:val="center"/>
            <w:shd w:fill="F7F7F7"/>
          </w:tcPr>
          <w:p>
            <w:r>
              <w:t>Cálculo obsoleto o fallido.</w:t>
            </w:r>
          </w:p>
        </w:tc>
      </w:tr>
      <w:tr>
        <w:tc>
          <w:tcPr>
            <w:tcW w:type="dxa" w:w="2268"/>
            <w:vAlign w:val="center"/>
          </w:tcPr>
          <w:p>
            <w:r>
              <w:t>REL-DOC-001</w:t>
            </w:r>
          </w:p>
        </w:tc>
        <w:tc>
          <w:tcPr>
            <w:tcW w:type="dxa" w:w="1701"/>
            <w:vAlign w:val="center"/>
          </w:tcPr>
          <w:p>
            <w:r>
              <w:t>Bloqueante</w:t>
            </w:r>
          </w:p>
        </w:tc>
        <w:tc>
          <w:tcPr>
            <w:tcW w:type="dxa" w:w="5102"/>
            <w:vAlign w:val="center"/>
          </w:tcPr>
          <w:p>
            <w:r>
              <w:t>Campo técnico editado fuera de fuente.</w:t>
            </w:r>
          </w:p>
        </w:tc>
      </w:tr>
      <w:tr>
        <w:tc>
          <w:tcPr>
            <w:tcW w:type="dxa" w:w="2268"/>
            <w:vAlign w:val="center"/>
            <w:shd w:fill="F7F7F7"/>
          </w:tcPr>
          <w:p>
            <w:r>
              <w:t>REL-CAD-001</w:t>
            </w:r>
          </w:p>
        </w:tc>
        <w:tc>
          <w:tcPr>
            <w:tcW w:type="dxa" w:w="1701"/>
            <w:vAlign w:val="center"/>
            <w:shd w:fill="F7F7F7"/>
          </w:tcPr>
          <w:p>
            <w:r>
              <w:t>Bloqueante</w:t>
            </w:r>
          </w:p>
        </w:tc>
        <w:tc>
          <w:tcPr>
            <w:tcW w:type="dxa" w:w="5102"/>
            <w:vAlign w:val="center"/>
            <w:shd w:fill="F7F7F7"/>
          </w:tcPr>
          <w:p>
            <w:r>
              <w:t>CAD no coincide con cálculo.</w:t>
            </w:r>
          </w:p>
        </w:tc>
      </w:tr>
      <w:tr>
        <w:tc>
          <w:tcPr>
            <w:tcW w:type="dxa" w:w="2268"/>
            <w:vAlign w:val="center"/>
          </w:tcPr>
          <w:p>
            <w:r>
              <w:t>REL-BOM-001</w:t>
            </w:r>
          </w:p>
        </w:tc>
        <w:tc>
          <w:tcPr>
            <w:tcW w:type="dxa" w:w="1701"/>
            <w:vAlign w:val="center"/>
          </w:tcPr>
          <w:p>
            <w:r>
              <w:t>Bloqueante</w:t>
            </w:r>
          </w:p>
        </w:tc>
        <w:tc>
          <w:tcPr>
            <w:tcW w:type="dxa" w:w="5102"/>
            <w:vAlign w:val="center"/>
          </w:tcPr>
          <w:p>
            <w:r>
              <w:t>BOM no reconciliada.</w:t>
            </w:r>
          </w:p>
        </w:tc>
      </w:tr>
      <w:tr>
        <w:tc>
          <w:tcPr>
            <w:tcW w:type="dxa" w:w="2268"/>
            <w:vAlign w:val="center"/>
            <w:shd w:fill="F7F7F7"/>
          </w:tcPr>
          <w:p>
            <w:r>
              <w:t>REL-APP-001</w:t>
            </w:r>
          </w:p>
        </w:tc>
        <w:tc>
          <w:tcPr>
            <w:tcW w:type="dxa" w:w="1701"/>
            <w:vAlign w:val="center"/>
            <w:shd w:fill="F7F7F7"/>
          </w:tcPr>
          <w:p>
            <w:r>
              <w:t>Bloqueante</w:t>
            </w:r>
          </w:p>
        </w:tc>
        <w:tc>
          <w:tcPr>
            <w:tcW w:type="dxa" w:w="5102"/>
            <w:vAlign w:val="center"/>
            <w:shd w:fill="F7F7F7"/>
          </w:tcPr>
          <w:p>
            <w:r>
              <w:t>Aprobación insuficiente.</w:t>
            </w:r>
          </w:p>
        </w:tc>
      </w:tr>
      <w:tr>
        <w:tc>
          <w:tcPr>
            <w:tcW w:type="dxa" w:w="2268"/>
            <w:vAlign w:val="center"/>
          </w:tcPr>
          <w:p>
            <w:r>
              <w:t>REL-SEC-001</w:t>
            </w:r>
          </w:p>
        </w:tc>
        <w:tc>
          <w:tcPr>
            <w:tcW w:type="dxa" w:w="1701"/>
            <w:vAlign w:val="center"/>
          </w:tcPr>
          <w:p>
            <w:r>
              <w:t>Bloqueante</w:t>
            </w:r>
          </w:p>
        </w:tc>
        <w:tc>
          <w:tcPr>
            <w:tcW w:type="dxa" w:w="5102"/>
            <w:vAlign w:val="center"/>
          </w:tcPr>
          <w:p>
            <w:r>
              <w:t>Paquete expone información no autorizada.</w:t>
            </w:r>
          </w:p>
        </w:tc>
      </w:tr>
      <w:tr>
        <w:tc>
          <w:tcPr>
            <w:tcW w:type="dxa" w:w="2268"/>
            <w:vAlign w:val="center"/>
            <w:shd w:fill="F7F7F7"/>
          </w:tcPr>
          <w:p>
            <w:r>
              <w:t>REL-LANG-001</w:t>
            </w:r>
          </w:p>
        </w:tc>
        <w:tc>
          <w:tcPr>
            <w:tcW w:type="dxa" w:w="1701"/>
            <w:vAlign w:val="center"/>
            <w:shd w:fill="F7F7F7"/>
          </w:tcPr>
          <w:p>
            <w:r>
              <w:t>Grave</w:t>
            </w:r>
          </w:p>
        </w:tc>
        <w:tc>
          <w:tcPr>
            <w:tcW w:type="dxa" w:w="5102"/>
            <w:vAlign w:val="center"/>
            <w:shd w:fill="F7F7F7"/>
          </w:tcPr>
          <w:p>
            <w:r>
              <w:t>Traducción técnica no revisada.</w:t>
            </w:r>
          </w:p>
        </w:tc>
      </w:tr>
      <w:tr>
        <w:tc>
          <w:tcPr>
            <w:tcW w:type="dxa" w:w="2268"/>
            <w:vAlign w:val="center"/>
          </w:tcPr>
          <w:p>
            <w:r>
              <w:t>REL-DATA-001</w:t>
            </w:r>
          </w:p>
        </w:tc>
        <w:tc>
          <w:tcPr>
            <w:tcW w:type="dxa" w:w="1701"/>
            <w:vAlign w:val="center"/>
          </w:tcPr>
          <w:p>
            <w:r>
              <w:t>Advertencia</w:t>
            </w:r>
          </w:p>
        </w:tc>
        <w:tc>
          <w:tcPr>
            <w:tcW w:type="dxa" w:w="5102"/>
            <w:vAlign w:val="center"/>
          </w:tcPr>
          <w:p>
            <w:r>
              <w:t>Dato conservador o pendiente.</w:t>
            </w:r>
          </w:p>
        </w:tc>
      </w:tr>
      <w:tr>
        <w:tc>
          <w:tcPr>
            <w:tcW w:type="dxa" w:w="2268"/>
            <w:vAlign w:val="center"/>
            <w:shd w:fill="F7F7F7"/>
          </w:tcPr>
          <w:p>
            <w:r>
              <w:t>REL-UTIL-001</w:t>
            </w:r>
          </w:p>
        </w:tc>
        <w:tc>
          <w:tcPr>
            <w:tcW w:type="dxa" w:w="1701"/>
            <w:vAlign w:val="center"/>
            <w:shd w:fill="F7F7F7"/>
          </w:tcPr>
          <w:p>
            <w:r>
              <w:t>Advertencia</w:t>
            </w:r>
          </w:p>
        </w:tc>
        <w:tc>
          <w:tcPr>
            <w:tcW w:type="dxa" w:w="5102"/>
            <w:vAlign w:val="center"/>
            <w:shd w:fill="F7F7F7"/>
          </w:tcPr>
          <w:p>
            <w:r>
              <w:t>Utilización próxima al límite.</w:t>
            </w:r>
          </w:p>
        </w:tc>
      </w:tr>
    </w:tbl>
    <w:p>
      <w:pPr>
        <w:spacing w:after="0"/>
      </w:pPr>
    </w:p>
    <w:p>
      <w:pPr>
        <w:pStyle w:val="Heading1"/>
        <w:keepNext/>
      </w:pPr>
      <w:r>
        <w:t>Anexo D. Esquema de manifiesto</w:t>
      </w:r>
    </w:p>
    <w:p>
      <w:pPr>
        <w:spacing w:after="100" w:line="252" w:lineRule="auto"/>
      </w:pPr>
      <w:r>
        <w:t>{ releaseId, projectId, revision, maturity, productSnapshotHash, analysisSnapshotHash, librarySetHash, documents[], evidence[], approvals[], validations[], distributionPolicy, createdAt, publishedAt, supersedes, signature }</w:t>
      </w:r>
    </w:p>
    <w:p>
      <w:pPr>
        <w:spacing w:after="100" w:line="252" w:lineRule="auto"/>
      </w:pPr>
      <w:r>
        <w:t>El esquema formal se publicará como JSON Schema versionado. Las propiedades críticas no admitirán null en M3/M4.</w:t>
      </w:r>
    </w:p>
    <w:p>
      <w:pPr>
        <w:pStyle w:val="Heading1"/>
        <w:keepNext/>
      </w:pPr>
      <w:r>
        <w:t>Anexo E. Checklist del revisor OT</w:t>
      </w:r>
    </w:p>
    <w:p>
      <w:pPr>
        <w:pStyle w:val="ListNumber"/>
        <w:spacing w:after="40"/>
      </w:pPr>
      <w:r>
        <w:t>Confirmar identidad, alcance y estado del proyecto.</w:t>
      </w:r>
    </w:p>
    <w:p>
      <w:pPr>
        <w:pStyle w:val="ListNumber"/>
        <w:spacing w:after="40"/>
      </w:pPr>
      <w:r>
        <w:t>Revisar datos de ubicación y acciones.</w:t>
      </w:r>
    </w:p>
    <w:p>
      <w:pPr>
        <w:pStyle w:val="ListNumber"/>
        <w:spacing w:after="40"/>
      </w:pPr>
      <w:r>
        <w:t>Confirmar ruta normativa y dominio.</w:t>
      </w:r>
    </w:p>
    <w:p>
      <w:pPr>
        <w:pStyle w:val="ListNumber"/>
        <w:spacing w:after="40"/>
      </w:pPr>
      <w:r>
        <w:t>Revisar casos y combinaciones gobernantes.</w:t>
      </w:r>
    </w:p>
    <w:p>
      <w:pPr>
        <w:pStyle w:val="ListNumber"/>
        <w:spacing w:after="40"/>
      </w:pPr>
      <w:r>
        <w:t>Verificar modelo, malla y controles numéricos.</w:t>
      </w:r>
    </w:p>
    <w:p>
      <w:pPr>
        <w:pStyle w:val="ListNumber"/>
        <w:spacing w:after="40"/>
      </w:pPr>
      <w:r>
        <w:t>Revisar utilizaciones críticas y márgenes.</w:t>
      </w:r>
    </w:p>
    <w:p>
      <w:pPr>
        <w:pStyle w:val="ListNumber"/>
        <w:spacing w:after="40"/>
      </w:pPr>
      <w:r>
        <w:t>Comprobar puerta, uniones, base y cimentación.</w:t>
      </w:r>
    </w:p>
    <w:p>
      <w:pPr>
        <w:pStyle w:val="ListNumber"/>
        <w:spacing w:after="40"/>
      </w:pPr>
      <w:r>
        <w:t>Revisar fatiga, dinámica y casos especiales.</w:t>
      </w:r>
    </w:p>
    <w:p>
      <w:pPr>
        <w:pStyle w:val="ListNumber"/>
        <w:spacing w:after="40"/>
      </w:pPr>
      <w:r>
        <w:t>Confirmar limitaciones y datos conservadores.</w:t>
      </w:r>
    </w:p>
    <w:p>
      <w:pPr>
        <w:pStyle w:val="ListNumber"/>
        <w:spacing w:after="40"/>
      </w:pPr>
      <w:r>
        <w:t>Verificar coherencia con CAD/BOM si se solicita M4.</w:t>
      </w:r>
    </w:p>
    <w:p>
      <w:pPr>
        <w:pStyle w:val="ListNumber"/>
        <w:spacing w:after="40"/>
      </w:pPr>
      <w:r>
        <w:t>Cerrar comentarios y excepciones.</w:t>
      </w:r>
    </w:p>
    <w:p>
      <w:pPr>
        <w:pStyle w:val="ListNumber"/>
        <w:spacing w:after="40"/>
      </w:pPr>
      <w:r>
        <w:t>Registrar decisión, alcance y firma.</w:t>
      </w:r>
    </w:p>
    <w:p>
      <w:pPr>
        <w:pStyle w:val="Heading1"/>
        <w:keepNext/>
      </w:pPr>
      <w:r>
        <w:t>Anexo F. Decisiones pendientes para v1.0</w:t>
      </w:r>
    </w:p>
    <w:p>
      <w:pPr>
        <w:pStyle w:val="ListBullet"/>
        <w:spacing w:after="40"/>
      </w:pPr>
      <w:r>
        <w:t>Proveedor de firma electrónica y sellado de tiempo.</w:t>
      </w:r>
    </w:p>
    <w:p>
      <w:pPr>
        <w:pStyle w:val="ListBullet"/>
        <w:spacing w:after="40"/>
      </w:pPr>
      <w:r>
        <w:t>Formato definitivo de PDF/A y verificación externa.</w:t>
      </w:r>
    </w:p>
    <w:p>
      <w:pPr>
        <w:pStyle w:val="ListBullet"/>
        <w:spacing w:after="40"/>
      </w:pPr>
      <w:r>
        <w:t>Política corporativa de retención y revocación.</w:t>
      </w:r>
    </w:p>
    <w:p>
      <w:pPr>
        <w:pStyle w:val="ListBullet"/>
        <w:spacing w:after="40"/>
      </w:pPr>
      <w:r>
        <w:t>Responsables y suplentes de cada gate.</w:t>
      </w:r>
    </w:p>
    <w:p>
      <w:pPr>
        <w:pStyle w:val="ListBullet"/>
        <w:spacing w:after="40"/>
      </w:pPr>
      <w:r>
        <w:t>Plantillas legales por mercado.</w:t>
      </w:r>
    </w:p>
    <w:p>
      <w:pPr>
        <w:pStyle w:val="ListBullet"/>
        <w:spacing w:after="40"/>
      </w:pPr>
      <w:r>
        <w:t>Umbrales corporativos de utilización cercana al límite.</w:t>
      </w:r>
    </w:p>
    <w:p>
      <w:pPr>
        <w:pStyle w:val="ListBullet"/>
        <w:spacing w:after="40"/>
      </w:pPr>
      <w:r>
        <w:t>Reglas exactas de cuatro ojos por tipología.</w:t>
      </w:r>
    </w:p>
    <w:p>
      <w:pPr>
        <w:pStyle w:val="ListBullet"/>
        <w:spacing w:after="40"/>
      </w:pPr>
      <w:r>
        <w:t>Clasificación de confidencialidad y DLP.</w:t>
      </w:r>
    </w:p>
    <w:p>
      <w:pPr>
        <w:pStyle w:val="ListBullet"/>
        <w:spacing w:after="40"/>
      </w:pPr>
      <w:r>
        <w:t>Sistema maestro de identidad y SSO.</w:t>
      </w:r>
    </w:p>
    <w:p>
      <w:pPr>
        <w:pStyle w:val="ListBullet"/>
        <w:spacing w:after="40"/>
      </w:pPr>
      <w:r>
        <w:t>Herramienta de archivo de largo plazo.</w:t>
      </w:r>
    </w:p>
    <w:p>
      <w:pPr>
        <w:pStyle w:val="ListBullet"/>
        <w:spacing w:after="40"/>
      </w:pPr>
      <w:r>
        <w:t>Alcance de firma profesional externa.</w:t>
      </w:r>
    </w:p>
    <w:p>
      <w:pPr>
        <w:pStyle w:val="ListBullet"/>
        <w:spacing w:after="40"/>
      </w:pPr>
      <w:r>
        <w:t>Proceso de homologación de traducciones.</w:t>
      </w:r>
    </w:p>
    <w:p>
      <w:pPr>
        <w:pStyle w:val="Heading1"/>
      </w:pPr>
      <w:r>
        <w:t>Anexo G. Contrato mínimo de plantilla</w:t>
      </w:r>
    </w:p>
    <w:p>
      <w:pPr/>
      <w:r>
        <w:t>{ templateId, version, locale, market, purpose, allowedMaturity, sections[], dataBindings[], inclusionRules[], formatRules[], visibilityPolicies[], validationRules[], renderPolicy, approvalState, hash }</w:t>
      </w:r>
    </w:p>
    <w:p>
      <w:pPr>
        <w:pStyle w:val="Heading1"/>
      </w:pPr>
      <w:r>
        <w:t>Anexo H. Campos mínimos del lineage</w:t>
      </w:r>
    </w:p>
    <w:p>
      <w:pPr/>
      <w:r>
        <w:t>{ fieldId, documentId, sourceObjectId, sourcePath, sourceHash, calculationRunId, ruleId, displayTransform, authoringMode, reviewer, approvalState, timestamp }</w:t>
      </w:r>
    </w:p>
    <w:p>
      <w:pPr>
        <w:pStyle w:val="Heading1"/>
      </w:pPr>
      <w:r>
        <w:t>Anexo I. Checklist de distribución</w:t>
      </w:r>
    </w:p>
    <w:p>
      <w:pPr>
        <w:pStyle w:val="ListNumber"/>
      </w:pPr>
      <w:r>
        <w:t>Confirmar revisión vigente y estado M3/M4.</w:t>
      </w:r>
    </w:p>
    <w:p>
      <w:pPr>
        <w:pStyle w:val="ListNumber"/>
      </w:pPr>
      <w:r>
        <w:t>Confirmar destinatario, propósito y clasificación.</w:t>
      </w:r>
    </w:p>
    <w:p>
      <w:pPr>
        <w:pStyle w:val="ListNumber"/>
      </w:pPr>
      <w:r>
        <w:t>Verificar redacción y ausencia de metadatos internos.</w:t>
      </w:r>
    </w:p>
    <w:p>
      <w:pPr>
        <w:pStyle w:val="ListNumber"/>
      </w:pPr>
      <w:r>
        <w:t>Configurar caducidad, descarga, impresión y reenvío.</w:t>
      </w:r>
    </w:p>
    <w:p>
      <w:pPr>
        <w:pStyle w:val="ListNumber"/>
      </w:pPr>
      <w:r>
        <w:t>Registrar hash, canal y acuse.</w:t>
      </w:r>
    </w:p>
    <w:p>
      <w:pPr>
        <w:pStyle w:val="ListNumber"/>
      </w:pPr>
      <w:r>
        <w:t>Definir procedimiento de sustitución y revocación.</w:t>
      </w:r>
    </w:p>
    <w:p>
      <w:pPr>
        <w:pStyle w:val="Heading1"/>
      </w:pPr>
      <w:r>
        <w:t>Anexo J. Checklist de QA visual y accesibilidad</w:t>
      </w:r>
    </w:p>
    <w:p>
      <w:pPr>
        <w:pStyle w:val="ListNumber"/>
      </w:pPr>
      <w:r>
        <w:t>Renderizar todas las páginas.</w:t>
      </w:r>
    </w:p>
    <w:p>
      <w:pPr>
        <w:pStyle w:val="ListNumber"/>
      </w:pPr>
      <w:r>
        <w:t>Comprobar portada, índice, encabezados y pies.</w:t>
      </w:r>
    </w:p>
    <w:p>
      <w:pPr>
        <w:pStyle w:val="ListNumber"/>
      </w:pPr>
      <w:r>
        <w:t>Revisar tablas, gráficos, ecuaciones y anexos.</w:t>
      </w:r>
    </w:p>
    <w:p>
      <w:pPr>
        <w:pStyle w:val="ListNumber"/>
      </w:pPr>
      <w:r>
        <w:t>Verificar fuentes, símbolos y caracteres especiales.</w:t>
      </w:r>
    </w:p>
    <w:p>
      <w:pPr>
        <w:pStyle w:val="ListNumber"/>
      </w:pPr>
      <w:r>
        <w:t>Ejecutar auditoría de accesibilidad.</w:t>
      </w:r>
    </w:p>
    <w:p>
      <w:pPr>
        <w:pStyle w:val="ListNumber"/>
      </w:pPr>
      <w:r>
        <w:t>Comprobar enlaces, marcadores y orden de lectura.</w:t>
      </w:r>
    </w:p>
    <w:p>
      <w:pPr>
        <w:pStyle w:val="ListNumber"/>
      </w:pPr>
      <w:r>
        <w:t>Confirmar PDF/A y metadatos.</w:t>
      </w:r>
    </w:p>
    <w:p>
      <w:pPr>
        <w:pStyle w:val="ListNumber"/>
      </w:pPr>
      <w:r>
        <w:t>Registrar evidencia del QA.</w:t>
      </w:r>
    </w:p>
    <w:p>
      <w:pPr>
        <w:pStyle w:val="Heading1"/>
        <w:keepNext/>
      </w:pPr>
      <w:r>
        <w:t>Cierre</w:t>
      </w:r>
    </w:p>
    <w:p>
      <w:pPr>
        <w:spacing w:after="100" w:line="252" w:lineRule="auto"/>
      </w:pPr>
      <w:r>
        <w:t>La Fase 15 quedará lista para congelarse como v1.0 cuando el sistema demuestre, mediante 300 casos de aceptación y expedientes reales, que ningún cálculo, plano o paquete se libera con datos inconsistentes, estados ambiguos, trazabilidad incompleta, render defectuoso, firma inválida o distribución no autorizada.</w:t>
      </w:r>
    </w:p>
    <w:sectPr w:rsidR="00FC693F" w:rsidRPr="0006063C" w:rsidSect="00034616">
      <w:headerReference w:type="default" r:id="rId9"/>
      <w:footerReference w:type="default" r:id="rId10"/>
      <w:pgSz w:w="12240" w:h="15840"/>
      <w:pgMar w:top="964" w:right="1020" w:bottom="907" w:left="102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66666"/>
        <w:sz w:val="14"/>
      </w:rPr>
      <w:t>Uso interno · Salvi Lighting</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SALVI STUDIO · COLUMNS · FASE 15 · INFORMES Y LIBERACIÓN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b w:val="0"/>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60" w:after="60"/>
      <w:outlineLvl w:val="2"/>
    </w:pPr>
    <w:rPr>
      <w:rFonts w:asciiTheme="majorHAnsi" w:eastAsiaTheme="majorEastAsia" w:hAnsiTheme="majorHAnsi" w:cstheme="majorBidi" w:ascii="Arial" w:hAnsi="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200"/>
      <w:contextualSpacing/>
    </w:pPr>
    <w:rPr>
      <w:rFonts w:asciiTheme="majorHAnsi" w:eastAsiaTheme="majorEastAsia" w:hAnsiTheme="majorHAnsi" w:cstheme="majorBidi" w:ascii="Arial" w:hAnsi="Arial"/>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11111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rPr>
      <w:rFonts w:ascii="Arial" w:hAnsi="Arial"/>
      <w:b/>
      <w:sz w:val="20"/>
    </w:rPr>
  </w:style>
  <w:style w:type="paragraph" w:customStyle="1" w:styleId="TableText">
    <w:name w:val="TableText"/>
    <w:rPr>
      <w:rFonts w:ascii="Arial" w:hAnsi="Arial"/>
      <w:sz w:val="15"/>
    </w:rPr>
  </w:style>
  <w:style w:type="paragraph" w:customStyle="1" w:styleId="CaptionSmall">
    <w:name w:val="CaptionSmall"/>
    <w:rPr>
      <w:rFonts w:ascii="Arial" w:hAnsi="Arial"/>
      <w:i/>
      <w:color w:val="5A5A5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Columns - Fase 15 - Informes, validación documental y liberación v0.2</dc:title>
  <dc:subject>Especificación técnica ampliada</dc:subject>
  <dc:creator>Salvi Lighting</dc:creator>
  <cp:keywords>Salvi Studio, Columns, informes, validación, liberación, EN 40</cp:keywords>
  <dc:description>Versión 0.2 ampliada y consolidada.</dc:description>
  <cp:lastModifiedBy/>
  <cp:revision>1</cp:revision>
  <dcterms:created xsi:type="dcterms:W3CDTF">2013-12-23T23:15:00Z</dcterms:created>
  <dcterms:modified xsi:type="dcterms:W3CDTF">2013-12-23T23:15:00Z</dcterms:modified>
  <cp:category/>
</cp:coreProperties>
</file>