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Salvi Studio · Columns</w:t>
      </w:r>
    </w:p>
    <w:p>
      <w:pPr>
        <w:pStyle w:val="SalviSubtitle"/>
      </w:pPr>
      <w:r>
        <w:t>Fase 17 · Validación industrial, ensayos, correlación y certificación</w:t>
      </w:r>
    </w:p>
    <w:p>
      <w:pPr>
        <w:spacing w:before="360"/>
      </w:pPr>
      <w:r>
        <w:rPr>
          <w:b/>
          <w:sz w:val="22"/>
        </w:rPr>
        <w:t>ESPECIFICACIÓN FUNCIONAL Y TÉCNICA · VERSIÓN 0.1</w:t>
      </w:r>
    </w:p>
    <w:p>
      <w:r>
        <w:rPr>
          <w:sz w:val="20"/>
        </w:rPr>
        <w:t>Documento rector de validación del producto digital y de las soluciones estructurales generadas por la aplicación.</w:t>
      </w:r>
    </w:p>
    <w:tbl>
      <w:tblPr>
        <w:tblStyle w:val="TableGrid"/>
        <w:tblW w:type="auto" w:w="0"/>
        <w:jc w:val="center"/>
        <w:tblLook w:firstColumn="1" w:firstRow="1" w:lastColumn="0" w:lastRow="0" w:noHBand="0" w:noVBand="1" w:val="04A0"/>
      </w:tblPr>
      <w:tblGrid>
        <w:gridCol w:w="10086"/>
      </w:tblGrid>
      <w:tr>
        <w:trPr>
          <w:cantSplit/>
        </w:trPr>
        <w:tc>
          <w:tcPr>
            <w:tcW w:type="dxa" w:w="10086"/>
            <w:shd w:fill="F2F2F2"/>
          </w:tcPr>
          <w:p>
            <w:pPr>
              <w:spacing w:after="40"/>
            </w:pPr>
            <w:r/>
            <w:r>
              <w:rPr>
                <w:rFonts w:ascii="Arial" w:hAnsi="Arial"/>
                <w:b/>
                <w:sz w:val="19"/>
              </w:rPr>
              <w:t>Objetivo esencial</w:t>
            </w:r>
          </w:p>
          <w:p>
            <w:pPr>
              <w:spacing w:after="20"/>
            </w:pPr>
            <w:r>
              <w:rPr>
                <w:rFonts w:ascii="Arial" w:hAnsi="Arial"/>
                <w:sz w:val="17"/>
              </w:rPr>
              <w:t>Demostrar, con evidencia reproducible e independiente, que cada cálculo, selección, plano, BOM, instrucción y documento liberado por Salvi Studio · Columns es correcto dentro de su dominio de aplicación y conserva un margen de seguridad conocido. Ningún módulo se considerará válido por el solo hecho de ejecutar sin errores.</w:t>
            </w:r>
          </w:p>
        </w:tc>
      </w:tr>
    </w:tbl>
    <w:p>
      <w:pPr>
        <w:spacing w:after="20"/>
      </w:pPr>
    </w:p>
    <w:tbl>
      <w:tblPr>
        <w:tblStyle w:val="TableGrid"/>
        <w:tblW w:type="auto" w:w="0"/>
        <w:jc w:val="center"/>
        <w:tblLook w:firstColumn="1" w:firstRow="1" w:lastColumn="0" w:lastRow="0" w:noHBand="0" w:noVBand="1" w:val="04A0"/>
      </w:tblPr>
      <w:tblGrid>
        <w:gridCol w:w="5043"/>
        <w:gridCol w:w="5043"/>
      </w:tblGrid>
      <w:tr>
        <w:trPr>
          <w:tblHeader/>
          <w:cantSplit/>
        </w:trPr>
        <w:tc>
          <w:tcPr>
            <w:tcW w:type="dxa" w:w="2381"/>
            <w:vAlign w:val="center"/>
            <w:shd w:fill="262626"/>
          </w:tcPr>
          <w:p>
            <w:pPr>
              <w:spacing w:after="0"/>
            </w:pPr>
            <w:r/>
            <w:r>
              <w:rPr>
                <w:rFonts w:ascii="Arial" w:hAnsi="Arial"/>
                <w:b/>
                <w:color w:val="FFFFFF"/>
                <w:sz w:val="16"/>
              </w:rPr>
              <w:t>Campo</w:t>
            </w:r>
          </w:p>
        </w:tc>
        <w:tc>
          <w:tcPr>
            <w:tcW w:type="dxa" w:w="7257"/>
            <w:vAlign w:val="center"/>
            <w:shd w:fill="262626"/>
          </w:tcPr>
          <w:p>
            <w:pPr>
              <w:spacing w:after="0"/>
            </w:pPr>
            <w:r/>
            <w:r>
              <w:rPr>
                <w:rFonts w:ascii="Arial" w:hAnsi="Arial"/>
                <w:b/>
                <w:color w:val="FFFFFF"/>
                <w:sz w:val="16"/>
              </w:rPr>
              <w:t>Contenido</w:t>
            </w:r>
          </w:p>
        </w:tc>
      </w:tr>
      <w:tr>
        <w:trPr>
          <w:cantSplit/>
        </w:trPr>
        <w:tc>
          <w:tcPr>
            <w:tcW w:type="dxa" w:w="2381"/>
            <w:vAlign w:val="center"/>
          </w:tcPr>
          <w:p>
            <w:pPr>
              <w:spacing w:after="0"/>
            </w:pPr>
            <w:r/>
            <w:r>
              <w:rPr>
                <w:rFonts w:ascii="Arial" w:hAnsi="Arial"/>
                <w:b w:val="0"/>
                <w:sz w:val="16"/>
              </w:rPr>
              <w:t>Proyecto</w:t>
            </w:r>
          </w:p>
        </w:tc>
        <w:tc>
          <w:tcPr>
            <w:tcW w:type="dxa" w:w="7257"/>
            <w:vAlign w:val="center"/>
          </w:tcPr>
          <w:p>
            <w:pPr>
              <w:spacing w:after="0"/>
            </w:pPr>
            <w:r/>
            <w:r>
              <w:rPr>
                <w:rFonts w:ascii="Arial" w:hAnsi="Arial"/>
                <w:b w:val="0"/>
                <w:sz w:val="16"/>
              </w:rPr>
              <w:t>Salvi Studio · Columns</w:t>
            </w:r>
          </w:p>
        </w:tc>
      </w:tr>
      <w:tr>
        <w:trPr>
          <w:cantSplit/>
        </w:trPr>
        <w:tc>
          <w:tcPr>
            <w:tcW w:type="dxa" w:w="2381"/>
            <w:vAlign w:val="center"/>
            <w:shd w:fill="F2F2F2"/>
          </w:tcPr>
          <w:p>
            <w:pPr>
              <w:spacing w:after="0"/>
            </w:pPr>
            <w:r/>
            <w:r>
              <w:rPr>
                <w:rFonts w:ascii="Arial" w:hAnsi="Arial"/>
                <w:b w:val="0"/>
                <w:sz w:val="16"/>
              </w:rPr>
              <w:t>Documento</w:t>
            </w:r>
          </w:p>
        </w:tc>
        <w:tc>
          <w:tcPr>
            <w:tcW w:type="dxa" w:w="7257"/>
            <w:vAlign w:val="center"/>
            <w:shd w:fill="F2F2F2"/>
          </w:tcPr>
          <w:p>
            <w:pPr>
              <w:spacing w:after="0"/>
            </w:pPr>
            <w:r/>
            <w:r>
              <w:rPr>
                <w:rFonts w:ascii="Arial" w:hAnsi="Arial"/>
                <w:b w:val="0"/>
                <w:sz w:val="16"/>
              </w:rPr>
              <w:t>Fase 17 · Validación industrial, ensayos, correlación y certificación</w:t>
            </w:r>
          </w:p>
        </w:tc>
      </w:tr>
      <w:tr>
        <w:trPr>
          <w:cantSplit/>
        </w:trPr>
        <w:tc>
          <w:tcPr>
            <w:tcW w:type="dxa" w:w="2381"/>
            <w:vAlign w:val="center"/>
          </w:tcPr>
          <w:p>
            <w:pPr>
              <w:spacing w:after="0"/>
            </w:pPr>
            <w:r/>
            <w:r>
              <w:rPr>
                <w:rFonts w:ascii="Arial" w:hAnsi="Arial"/>
                <w:b w:val="0"/>
                <w:sz w:val="16"/>
              </w:rPr>
              <w:t>Versión</w:t>
            </w:r>
          </w:p>
        </w:tc>
        <w:tc>
          <w:tcPr>
            <w:tcW w:type="dxa" w:w="7257"/>
            <w:vAlign w:val="center"/>
          </w:tcPr>
          <w:p>
            <w:pPr>
              <w:spacing w:after="0"/>
            </w:pPr>
            <w:r/>
            <w:r>
              <w:rPr>
                <w:rFonts w:ascii="Arial" w:hAnsi="Arial"/>
                <w:b w:val="0"/>
                <w:sz w:val="16"/>
              </w:rPr>
              <w:t>0.1</w:t>
            </w:r>
          </w:p>
        </w:tc>
      </w:tr>
      <w:tr>
        <w:trPr>
          <w:cantSplit/>
        </w:trPr>
        <w:tc>
          <w:tcPr>
            <w:tcW w:type="dxa" w:w="2381"/>
            <w:vAlign w:val="center"/>
            <w:shd w:fill="F2F2F2"/>
          </w:tcPr>
          <w:p>
            <w:pPr>
              <w:spacing w:after="0"/>
            </w:pPr>
            <w:r/>
            <w:r>
              <w:rPr>
                <w:rFonts w:ascii="Arial" w:hAnsi="Arial"/>
                <w:b w:val="0"/>
                <w:sz w:val="16"/>
              </w:rPr>
              <w:t>Estado</w:t>
            </w:r>
          </w:p>
        </w:tc>
        <w:tc>
          <w:tcPr>
            <w:tcW w:type="dxa" w:w="7257"/>
            <w:vAlign w:val="center"/>
            <w:shd w:fill="F2F2F2"/>
          </w:tcPr>
          <w:p>
            <w:pPr>
              <w:spacing w:after="0"/>
            </w:pPr>
            <w:r/>
            <w:r>
              <w:rPr>
                <w:rFonts w:ascii="Arial" w:hAnsi="Arial"/>
                <w:b w:val="0"/>
                <w:sz w:val="16"/>
              </w:rPr>
              <w:t>Borrador técnico para revisión de Dirección y Oficina Técnica</w:t>
            </w:r>
          </w:p>
        </w:tc>
      </w:tr>
      <w:tr>
        <w:trPr>
          <w:cantSplit/>
        </w:trPr>
        <w:tc>
          <w:tcPr>
            <w:tcW w:type="dxa" w:w="2381"/>
            <w:vAlign w:val="center"/>
          </w:tcPr>
          <w:p>
            <w:pPr>
              <w:spacing w:after="0"/>
            </w:pPr>
            <w:r/>
            <w:r>
              <w:rPr>
                <w:rFonts w:ascii="Arial" w:hAnsi="Arial"/>
                <w:b w:val="0"/>
                <w:sz w:val="16"/>
              </w:rPr>
              <w:t>Propietario</w:t>
            </w:r>
          </w:p>
        </w:tc>
        <w:tc>
          <w:tcPr>
            <w:tcW w:type="dxa" w:w="7257"/>
            <w:vAlign w:val="center"/>
          </w:tcPr>
          <w:p>
            <w:pPr>
              <w:spacing w:after="0"/>
            </w:pPr>
            <w:r/>
            <w:r>
              <w:rPr>
                <w:rFonts w:ascii="Arial" w:hAnsi="Arial"/>
                <w:b w:val="0"/>
                <w:sz w:val="16"/>
              </w:rPr>
              <w:t>Salvi Lighting · Oficina Técnica / Calidad / Industrialización</w:t>
            </w:r>
          </w:p>
        </w:tc>
      </w:tr>
      <w:tr>
        <w:trPr>
          <w:cantSplit/>
        </w:trPr>
        <w:tc>
          <w:tcPr>
            <w:tcW w:type="dxa" w:w="2381"/>
            <w:vAlign w:val="center"/>
            <w:shd w:fill="F2F2F2"/>
          </w:tcPr>
          <w:p>
            <w:pPr>
              <w:spacing w:after="0"/>
            </w:pPr>
            <w:r/>
            <w:r>
              <w:rPr>
                <w:rFonts w:ascii="Arial" w:hAnsi="Arial"/>
                <w:b w:val="0"/>
                <w:sz w:val="16"/>
              </w:rPr>
              <w:t>Usuarios</w:t>
            </w:r>
          </w:p>
        </w:tc>
        <w:tc>
          <w:tcPr>
            <w:tcW w:type="dxa" w:w="7257"/>
            <w:vAlign w:val="center"/>
            <w:shd w:fill="F2F2F2"/>
          </w:tcPr>
          <w:p>
            <w:pPr>
              <w:spacing w:after="0"/>
            </w:pPr>
            <w:r/>
            <w:r>
              <w:rPr>
                <w:rFonts w:ascii="Arial" w:hAnsi="Arial"/>
                <w:b w:val="0"/>
                <w:sz w:val="16"/>
              </w:rPr>
              <w:t>Oficina Técnica, ingeniería de producto, calidad, laboratorio, fabricación, IT y auditores</w:t>
            </w:r>
          </w:p>
        </w:tc>
      </w:tr>
      <w:tr>
        <w:trPr>
          <w:cantSplit/>
        </w:trPr>
        <w:tc>
          <w:tcPr>
            <w:tcW w:type="dxa" w:w="2381"/>
            <w:vAlign w:val="center"/>
          </w:tcPr>
          <w:p>
            <w:pPr>
              <w:spacing w:after="0"/>
            </w:pPr>
            <w:r/>
            <w:r>
              <w:rPr>
                <w:rFonts w:ascii="Arial" w:hAnsi="Arial"/>
                <w:b w:val="0"/>
                <w:sz w:val="16"/>
              </w:rPr>
              <w:t>Entrada principal</w:t>
            </w:r>
          </w:p>
        </w:tc>
        <w:tc>
          <w:tcPr>
            <w:tcW w:type="dxa" w:w="7257"/>
            <w:vAlign w:val="center"/>
          </w:tcPr>
          <w:p>
            <w:pPr>
              <w:spacing w:after="0"/>
            </w:pPr>
            <w:r/>
            <w:r>
              <w:rPr>
                <w:rFonts w:ascii="Arial" w:hAnsi="Arial"/>
                <w:b w:val="0"/>
                <w:sz w:val="16"/>
              </w:rPr>
              <w:t>Resultados y snapshots congelados de las Fases 1 a 16</w:t>
            </w:r>
          </w:p>
        </w:tc>
      </w:tr>
      <w:tr>
        <w:trPr>
          <w:cantSplit/>
        </w:trPr>
        <w:tc>
          <w:tcPr>
            <w:tcW w:type="dxa" w:w="2381"/>
            <w:vAlign w:val="center"/>
            <w:shd w:fill="F2F2F2"/>
          </w:tcPr>
          <w:p>
            <w:pPr>
              <w:spacing w:after="0"/>
            </w:pPr>
            <w:r/>
            <w:r>
              <w:rPr>
                <w:rFonts w:ascii="Arial" w:hAnsi="Arial"/>
                <w:b w:val="0"/>
                <w:sz w:val="16"/>
              </w:rPr>
              <w:t>Salida principal</w:t>
            </w:r>
          </w:p>
        </w:tc>
        <w:tc>
          <w:tcPr>
            <w:tcW w:type="dxa" w:w="7257"/>
            <w:vAlign w:val="center"/>
            <w:shd w:fill="F2F2F2"/>
          </w:tcPr>
          <w:p>
            <w:pPr>
              <w:spacing w:after="0"/>
            </w:pPr>
            <w:r/>
            <w:r>
              <w:rPr>
                <w:rFonts w:ascii="Arial" w:hAnsi="Arial"/>
                <w:b w:val="0"/>
                <w:sz w:val="16"/>
              </w:rPr>
              <w:t>Motor y familias de producto cualificados; expediente de validación; autorización de uso y límites</w:t>
            </w:r>
          </w:p>
        </w:tc>
      </w:tr>
      <w:tr>
        <w:trPr>
          <w:cantSplit/>
        </w:trPr>
        <w:tc>
          <w:tcPr>
            <w:tcW w:type="dxa" w:w="2381"/>
            <w:vAlign w:val="center"/>
          </w:tcPr>
          <w:p>
            <w:pPr>
              <w:spacing w:after="0"/>
            </w:pPr>
            <w:r/>
            <w:r>
              <w:rPr>
                <w:rFonts w:ascii="Arial" w:hAnsi="Arial"/>
                <w:b w:val="0"/>
                <w:sz w:val="16"/>
              </w:rPr>
              <w:t>Confidencialidad</w:t>
            </w:r>
          </w:p>
        </w:tc>
        <w:tc>
          <w:tcPr>
            <w:tcW w:type="dxa" w:w="7257"/>
            <w:vAlign w:val="center"/>
          </w:tcPr>
          <w:p>
            <w:pPr>
              <w:spacing w:after="0"/>
            </w:pPr>
            <w:r/>
            <w:r>
              <w:rPr>
                <w:rFonts w:ascii="Arial" w:hAnsi="Arial"/>
                <w:b w:val="0"/>
                <w:sz w:val="16"/>
              </w:rPr>
              <w:t>Uso interno y terceros expresamente autorizados</w:t>
            </w:r>
          </w:p>
        </w:tc>
      </w:tr>
      <w:tr>
        <w:trPr>
          <w:cantSplit/>
        </w:trPr>
        <w:tc>
          <w:tcPr>
            <w:tcW w:type="dxa" w:w="2381"/>
            <w:vAlign w:val="center"/>
            <w:shd w:fill="F2F2F2"/>
          </w:tcPr>
          <w:p>
            <w:pPr>
              <w:spacing w:after="0"/>
            </w:pPr>
            <w:r/>
            <w:r>
              <w:rPr>
                <w:rFonts w:ascii="Arial" w:hAnsi="Arial"/>
                <w:b w:val="0"/>
                <w:sz w:val="16"/>
              </w:rPr>
              <w:t>Fecha</w:t>
            </w:r>
          </w:p>
        </w:tc>
        <w:tc>
          <w:tcPr>
            <w:tcW w:type="dxa" w:w="7257"/>
            <w:vAlign w:val="center"/>
            <w:shd w:fill="F2F2F2"/>
          </w:tcPr>
          <w:p>
            <w:pPr>
              <w:spacing w:after="0"/>
            </w:pPr>
            <w:r/>
            <w:r>
              <w:rPr>
                <w:rFonts w:ascii="Arial" w:hAnsi="Arial"/>
                <w:b w:val="0"/>
                <w:sz w:val="16"/>
              </w:rPr>
              <w:t>Julio 2026</w:t>
            </w:r>
          </w:p>
        </w:tc>
      </w:tr>
    </w:tbl>
    <w:p>
      <w:pPr>
        <w:spacing w:after="20"/>
      </w:pPr>
    </w:p>
    <w:p>
      <w:r>
        <w:br w:type="page"/>
      </w:r>
    </w:p>
    <w:p>
      <w:pPr>
        <w:pStyle w:val="Heading1"/>
      </w:pPr>
      <w:r>
        <w:t>0. Control del documento</w:t>
      </w:r>
    </w:p>
    <w:tbl>
      <w:tblPr>
        <w:tblStyle w:val="TableGrid"/>
        <w:tblW w:type="auto" w:w="0"/>
        <w:jc w:val="center"/>
        <w:tblLook w:firstColumn="1" w:firstRow="1" w:lastColumn="0" w:lastRow="0" w:noHBand="0" w:noVBand="1" w:val="04A0"/>
      </w:tblPr>
      <w:tblGrid>
        <w:gridCol w:w="2521"/>
        <w:gridCol w:w="2521"/>
        <w:gridCol w:w="2521"/>
        <w:gridCol w:w="2521"/>
      </w:tblGrid>
      <w:tr>
        <w:trPr>
          <w:tblHeader/>
          <w:cantSplit/>
        </w:trPr>
        <w:tc>
          <w:tcPr>
            <w:tcW w:type="dxa" w:w="1020"/>
            <w:vAlign w:val="center"/>
            <w:shd w:fill="262626"/>
          </w:tcPr>
          <w:p>
            <w:pPr>
              <w:spacing w:after="0"/>
            </w:pPr>
            <w:r/>
            <w:r>
              <w:rPr>
                <w:rFonts w:ascii="Arial" w:hAnsi="Arial"/>
                <w:b/>
                <w:color w:val="FFFFFF"/>
                <w:sz w:val="16"/>
              </w:rPr>
              <w:t>Versión</w:t>
            </w:r>
          </w:p>
        </w:tc>
        <w:tc>
          <w:tcPr>
            <w:tcW w:type="dxa" w:w="1417"/>
            <w:vAlign w:val="center"/>
            <w:shd w:fill="262626"/>
          </w:tcPr>
          <w:p>
            <w:pPr>
              <w:spacing w:after="0"/>
            </w:pPr>
            <w:r/>
            <w:r>
              <w:rPr>
                <w:rFonts w:ascii="Arial" w:hAnsi="Arial"/>
                <w:b/>
                <w:color w:val="FFFFFF"/>
                <w:sz w:val="16"/>
              </w:rPr>
              <w:t>Fecha</w:t>
            </w:r>
          </w:p>
        </w:tc>
        <w:tc>
          <w:tcPr>
            <w:tcW w:type="dxa" w:w="1701"/>
            <w:vAlign w:val="center"/>
            <w:shd w:fill="262626"/>
          </w:tcPr>
          <w:p>
            <w:pPr>
              <w:spacing w:after="0"/>
            </w:pPr>
            <w:r/>
            <w:r>
              <w:rPr>
                <w:rFonts w:ascii="Arial" w:hAnsi="Arial"/>
                <w:b/>
                <w:color w:val="FFFFFF"/>
                <w:sz w:val="16"/>
              </w:rPr>
              <w:t>Estado</w:t>
            </w:r>
          </w:p>
        </w:tc>
        <w:tc>
          <w:tcPr>
            <w:tcW w:type="dxa" w:w="5386"/>
            <w:vAlign w:val="center"/>
            <w:shd w:fill="262626"/>
          </w:tcPr>
          <w:p>
            <w:pPr>
              <w:spacing w:after="0"/>
            </w:pPr>
            <w:r/>
            <w:r>
              <w:rPr>
                <w:rFonts w:ascii="Arial" w:hAnsi="Arial"/>
                <w:b/>
                <w:color w:val="FFFFFF"/>
                <w:sz w:val="16"/>
              </w:rPr>
              <w:t>Cambios principales</w:t>
            </w:r>
          </w:p>
        </w:tc>
      </w:tr>
      <w:tr>
        <w:trPr>
          <w:cantSplit/>
        </w:trPr>
        <w:tc>
          <w:tcPr>
            <w:tcW w:type="dxa" w:w="1020"/>
            <w:vAlign w:val="center"/>
          </w:tcPr>
          <w:p>
            <w:pPr>
              <w:spacing w:after="0"/>
            </w:pPr>
            <w:r/>
            <w:r>
              <w:rPr>
                <w:rFonts w:ascii="Arial" w:hAnsi="Arial"/>
                <w:b w:val="0"/>
                <w:sz w:val="16"/>
              </w:rPr>
              <w:t>0.1</w:t>
            </w:r>
          </w:p>
        </w:tc>
        <w:tc>
          <w:tcPr>
            <w:tcW w:type="dxa" w:w="1417"/>
            <w:vAlign w:val="center"/>
          </w:tcPr>
          <w:p>
            <w:pPr>
              <w:spacing w:after="0"/>
            </w:pPr>
            <w:r/>
            <w:r>
              <w:rPr>
                <w:rFonts w:ascii="Arial" w:hAnsi="Arial"/>
                <w:b w:val="0"/>
                <w:sz w:val="16"/>
              </w:rPr>
              <w:t>Julio 2026</w:t>
            </w:r>
          </w:p>
        </w:tc>
        <w:tc>
          <w:tcPr>
            <w:tcW w:type="dxa" w:w="1701"/>
            <w:vAlign w:val="center"/>
          </w:tcPr>
          <w:p>
            <w:pPr>
              <w:spacing w:after="0"/>
            </w:pPr>
            <w:r/>
            <w:r>
              <w:rPr>
                <w:rFonts w:ascii="Arial" w:hAnsi="Arial"/>
                <w:b w:val="0"/>
                <w:sz w:val="16"/>
              </w:rPr>
              <w:t>Borrador</w:t>
            </w:r>
          </w:p>
        </w:tc>
        <w:tc>
          <w:tcPr>
            <w:tcW w:type="dxa" w:w="5386"/>
            <w:vAlign w:val="center"/>
          </w:tcPr>
          <w:p>
            <w:pPr>
              <w:spacing w:after="0"/>
            </w:pPr>
            <w:r/>
            <w:r>
              <w:rPr>
                <w:rFonts w:ascii="Arial" w:hAnsi="Arial"/>
                <w:b w:val="0"/>
                <w:sz w:val="16"/>
              </w:rPr>
              <w:t>Primera especificación integral de validación industrial, software V&amp;V, ensayos, correlación, FPC, certificación y liberación.</w:t>
            </w:r>
          </w:p>
        </w:tc>
      </w:tr>
    </w:tbl>
    <w:p>
      <w:pPr>
        <w:spacing w:after="20"/>
      </w:pPr>
    </w:p>
    <w:p>
      <w:pPr>
        <w:pStyle w:val="Heading2"/>
      </w:pPr>
      <w:r>
        <w:t>0.1 Documentos de entrada obligatorios</w:t>
      </w:r>
    </w:p>
    <w:p>
      <w:pPr>
        <w:pStyle w:val="ListBullet"/>
        <w:spacing w:after="40"/>
      </w:pPr>
      <w:r>
        <w:t>Documento general de contexto y arquitectura v0.2 o versión posterior aprobada.</w:t>
      </w:r>
    </w:p>
    <w:p>
      <w:pPr>
        <w:pStyle w:val="ListBullet"/>
        <w:spacing w:after="40"/>
      </w:pPr>
      <w:r>
        <w:t>Fases 1 a 16 en su última versión aprobada, incluyendo motor estructural, materiales, detalles, base, cimentación, catálogo, optimización, CAD, informes y catenarias.</w:t>
      </w:r>
    </w:p>
    <w:p>
      <w:pPr>
        <w:pStyle w:val="ListBullet"/>
        <w:spacing w:after="40"/>
      </w:pPr>
      <w:r>
        <w:t>Normas EN 40 aplicables y normas subsidiarias versionadas dentro del registro normativo de Salvi.</w:t>
      </w:r>
    </w:p>
    <w:p>
      <w:pPr>
        <w:pStyle w:val="ListBullet"/>
        <w:spacing w:after="40"/>
      </w:pPr>
      <w:r>
        <w:t>Plan de calidad, procedimientos de fabricación, WPS, homologaciones, certificados de materiales, ensayos históricos y catálogo estándar Salvi.</w:t>
      </w:r>
    </w:p>
    <w:p>
      <w:pPr>
        <w:pStyle w:val="ListBullet"/>
        <w:spacing w:after="40"/>
      </w:pPr>
      <w:r>
        <w:t>Resultados de software externo, hojas de cálculo históricas y memorias de ingeniería que se acepten como referencias independientes.</w:t>
      </w:r>
    </w:p>
    <w:p>
      <w:pPr>
        <w:pStyle w:val="Heading2"/>
      </w:pPr>
      <w:r>
        <w:t>0.2 Regla de prevalencia</w:t>
      </w:r>
    </w:p>
    <w:p>
      <w:r>
        <w:t>En caso de contradicción, prevalecerá la fuente normativa vigente y aprobada para el proyecto. A continuación prevalecerán esta fase, el documento general, el contrato de cada módulo y, finalmente, las decisiones de implementación. Toda excepción deberá registrarse como desviación formal y no como comentario informal.</w:t>
      </w:r>
    </w:p>
    <w:p>
      <w:pPr>
        <w:pStyle w:val="Heading1"/>
      </w:pPr>
      <w:r>
        <w:t>1. Propósito y criterio de éxito</w:t>
      </w:r>
    </w:p>
    <w:p>
      <w:r>
        <w:t>La Fase 17 define cómo se verifica y valida tanto el software como el producto estructural resultante. Su alcance no se limita a comparar un número final: exige demostrar la corrección de datos, fórmulas, algoritmos, modelos, integraciones, documentos y procesos de fabricación.</w:t>
      </w:r>
    </w:p>
    <w:tbl>
      <w:tblPr>
        <w:tblStyle w:val="TableGrid"/>
        <w:tblW w:type="auto" w:w="0"/>
        <w:jc w:val="center"/>
        <w:tblLook w:firstColumn="1" w:firstRow="1" w:lastColumn="0" w:lastRow="0" w:noHBand="0" w:noVBand="1" w:val="04A0"/>
      </w:tblPr>
      <w:tblGrid>
        <w:gridCol w:w="5043"/>
        <w:gridCol w:w="5043"/>
      </w:tblGrid>
      <w:tr>
        <w:trPr>
          <w:tblHeader/>
          <w:cantSplit/>
        </w:trPr>
        <w:tc>
          <w:tcPr>
            <w:tcW w:type="dxa" w:w="2721"/>
            <w:vAlign w:val="center"/>
            <w:shd w:fill="262626"/>
          </w:tcPr>
          <w:p>
            <w:pPr>
              <w:spacing w:after="0"/>
            </w:pPr>
            <w:r/>
            <w:r>
              <w:rPr>
                <w:rFonts w:ascii="Arial" w:hAnsi="Arial"/>
                <w:b/>
                <w:color w:val="FFFFFF"/>
                <w:sz w:val="16"/>
              </w:rPr>
              <w:t>Pregunta</w:t>
            </w:r>
          </w:p>
        </w:tc>
        <w:tc>
          <w:tcPr>
            <w:tcW w:type="dxa" w:w="6917"/>
            <w:vAlign w:val="center"/>
            <w:shd w:fill="262626"/>
          </w:tcPr>
          <w:p>
            <w:pPr>
              <w:spacing w:after="0"/>
            </w:pPr>
            <w:r/>
            <w:r>
              <w:rPr>
                <w:rFonts w:ascii="Arial" w:hAnsi="Arial"/>
                <w:b/>
                <w:color w:val="FFFFFF"/>
                <w:sz w:val="16"/>
              </w:rPr>
              <w:t>Evidencia exigida</w:t>
            </w:r>
          </w:p>
        </w:tc>
      </w:tr>
      <w:tr>
        <w:trPr>
          <w:cantSplit/>
        </w:trPr>
        <w:tc>
          <w:tcPr>
            <w:tcW w:type="dxa" w:w="2721"/>
            <w:vAlign w:val="center"/>
          </w:tcPr>
          <w:p>
            <w:pPr>
              <w:spacing w:after="0"/>
            </w:pPr>
            <w:r/>
            <w:r>
              <w:rPr>
                <w:rFonts w:ascii="Arial" w:hAnsi="Arial"/>
                <w:b w:val="0"/>
                <w:sz w:val="16"/>
              </w:rPr>
              <w:t>¿El software resuelve correctamente las ecuaciones?</w:t>
            </w:r>
          </w:p>
        </w:tc>
        <w:tc>
          <w:tcPr>
            <w:tcW w:type="dxa" w:w="6917"/>
            <w:vAlign w:val="center"/>
          </w:tcPr>
          <w:p>
            <w:pPr>
              <w:spacing w:after="0"/>
            </w:pPr>
            <w:r/>
            <w:r>
              <w:rPr>
                <w:rFonts w:ascii="Arial" w:hAnsi="Arial"/>
                <w:b w:val="0"/>
                <w:sz w:val="16"/>
              </w:rPr>
              <w:t>Verificación matemática, pruebas analíticas, convergencia y comparación independiente.</w:t>
            </w:r>
          </w:p>
        </w:tc>
      </w:tr>
      <w:tr>
        <w:trPr>
          <w:cantSplit/>
        </w:trPr>
        <w:tc>
          <w:tcPr>
            <w:tcW w:type="dxa" w:w="2721"/>
            <w:vAlign w:val="center"/>
            <w:shd w:fill="F2F2F2"/>
          </w:tcPr>
          <w:p>
            <w:pPr>
              <w:spacing w:after="0"/>
            </w:pPr>
            <w:r/>
            <w:r>
              <w:rPr>
                <w:rFonts w:ascii="Arial" w:hAnsi="Arial"/>
                <w:b w:val="0"/>
                <w:sz w:val="16"/>
              </w:rPr>
              <w:t>¿El modelo representa suficientemente la realidad?</w:t>
            </w:r>
          </w:p>
        </w:tc>
        <w:tc>
          <w:tcPr>
            <w:tcW w:type="dxa" w:w="6917"/>
            <w:vAlign w:val="center"/>
            <w:shd w:fill="F2F2F2"/>
          </w:tcPr>
          <w:p>
            <w:pPr>
              <w:spacing w:after="0"/>
            </w:pPr>
            <w:r/>
            <w:r>
              <w:rPr>
                <w:rFonts w:ascii="Arial" w:hAnsi="Arial"/>
                <w:b w:val="0"/>
                <w:sz w:val="16"/>
              </w:rPr>
              <w:t>Ensayos físicos, correlación, análisis de incertidumbre y dominio de validez.</w:t>
            </w:r>
          </w:p>
        </w:tc>
      </w:tr>
      <w:tr>
        <w:trPr>
          <w:cantSplit/>
        </w:trPr>
        <w:tc>
          <w:tcPr>
            <w:tcW w:type="dxa" w:w="2721"/>
            <w:vAlign w:val="center"/>
          </w:tcPr>
          <w:p>
            <w:pPr>
              <w:spacing w:after="0"/>
            </w:pPr>
            <w:r/>
            <w:r>
              <w:rPr>
                <w:rFonts w:ascii="Arial" w:hAnsi="Arial"/>
                <w:b w:val="0"/>
                <w:sz w:val="16"/>
              </w:rPr>
              <w:t>¿La solución cumple la normativa aplicable?</w:t>
            </w:r>
          </w:p>
        </w:tc>
        <w:tc>
          <w:tcPr>
            <w:tcW w:type="dxa" w:w="6917"/>
            <w:vAlign w:val="center"/>
          </w:tcPr>
          <w:p>
            <w:pPr>
              <w:spacing w:after="0"/>
            </w:pPr>
            <w:r/>
            <w:r>
              <w:rPr>
                <w:rFonts w:ascii="Arial" w:hAnsi="Arial"/>
                <w:b w:val="0"/>
                <w:sz w:val="16"/>
              </w:rPr>
              <w:t>Matriz cláusula-regla-prueba-resultado aprobada por Oficina Técnica.</w:t>
            </w:r>
          </w:p>
        </w:tc>
      </w:tr>
      <w:tr>
        <w:trPr>
          <w:cantSplit/>
        </w:trPr>
        <w:tc>
          <w:tcPr>
            <w:tcW w:type="dxa" w:w="2721"/>
            <w:vAlign w:val="center"/>
            <w:shd w:fill="F2F2F2"/>
          </w:tcPr>
          <w:p>
            <w:pPr>
              <w:spacing w:after="0"/>
            </w:pPr>
            <w:r/>
            <w:r>
              <w:rPr>
                <w:rFonts w:ascii="Arial" w:hAnsi="Arial"/>
                <w:b w:val="0"/>
                <w:sz w:val="16"/>
              </w:rPr>
              <w:t>¿El producto puede fabricarse e instalarse como se ha calculado?</w:t>
            </w:r>
          </w:p>
        </w:tc>
        <w:tc>
          <w:tcPr>
            <w:tcW w:type="dxa" w:w="6917"/>
            <w:vAlign w:val="center"/>
            <w:shd w:fill="F2F2F2"/>
          </w:tcPr>
          <w:p>
            <w:pPr>
              <w:spacing w:after="0"/>
            </w:pPr>
            <w:r/>
            <w:r>
              <w:rPr>
                <w:rFonts w:ascii="Arial" w:hAnsi="Arial"/>
                <w:b w:val="0"/>
                <w:sz w:val="16"/>
              </w:rPr>
              <w:t>Validación industrial, prototipos, FPC, inspección, montaje piloto y as-built.</w:t>
            </w:r>
          </w:p>
        </w:tc>
      </w:tr>
      <w:tr>
        <w:trPr>
          <w:cantSplit/>
        </w:trPr>
        <w:tc>
          <w:tcPr>
            <w:tcW w:type="dxa" w:w="2721"/>
            <w:vAlign w:val="center"/>
          </w:tcPr>
          <w:p>
            <w:pPr>
              <w:spacing w:after="0"/>
            </w:pPr>
            <w:r/>
            <w:r>
              <w:rPr>
                <w:rFonts w:ascii="Arial" w:hAnsi="Arial"/>
                <w:b w:val="0"/>
                <w:sz w:val="16"/>
              </w:rPr>
              <w:t>¿Los documentos son coherentes entre sí?</w:t>
            </w:r>
          </w:p>
        </w:tc>
        <w:tc>
          <w:tcPr>
            <w:tcW w:type="dxa" w:w="6917"/>
            <w:vAlign w:val="center"/>
          </w:tcPr>
          <w:p>
            <w:pPr>
              <w:spacing w:after="0"/>
            </w:pPr>
            <w:r/>
            <w:r>
              <w:rPr>
                <w:rFonts w:ascii="Arial" w:hAnsi="Arial"/>
                <w:b w:val="0"/>
                <w:sz w:val="16"/>
              </w:rPr>
              <w:t>Validación cruzada cálculo-CAD-BOM-planos-instrucciones-certificados.</w:t>
            </w:r>
          </w:p>
        </w:tc>
      </w:tr>
      <w:tr>
        <w:trPr>
          <w:cantSplit/>
        </w:trPr>
        <w:tc>
          <w:tcPr>
            <w:tcW w:type="dxa" w:w="2721"/>
            <w:vAlign w:val="center"/>
            <w:shd w:fill="F2F2F2"/>
          </w:tcPr>
          <w:p>
            <w:pPr>
              <w:spacing w:after="0"/>
            </w:pPr>
            <w:r/>
            <w:r>
              <w:rPr>
                <w:rFonts w:ascii="Arial" w:hAnsi="Arial"/>
                <w:b w:val="0"/>
                <w:sz w:val="16"/>
              </w:rPr>
              <w:t>¿Puede repetirse el resultado años después?</w:t>
            </w:r>
          </w:p>
        </w:tc>
        <w:tc>
          <w:tcPr>
            <w:tcW w:type="dxa" w:w="6917"/>
            <w:vAlign w:val="center"/>
            <w:shd w:fill="F2F2F2"/>
          </w:tcPr>
          <w:p>
            <w:pPr>
              <w:spacing w:after="0"/>
            </w:pPr>
            <w:r/>
            <w:r>
              <w:rPr>
                <w:rFonts w:ascii="Arial" w:hAnsi="Arial"/>
                <w:b w:val="0"/>
                <w:sz w:val="16"/>
              </w:rPr>
              <w:t>Snapshots, versiones, hashes, archivo y entorno reproducible.</w:t>
            </w:r>
          </w:p>
        </w:tc>
      </w:tr>
    </w:tbl>
    <w:p>
      <w:pPr>
        <w:spacing w:after="20"/>
      </w:pPr>
    </w:p>
    <w:tbl>
      <w:tblPr>
        <w:tblStyle w:val="TableGrid"/>
        <w:tblW w:type="auto" w:w="0"/>
        <w:jc w:val="center"/>
        <w:tblLook w:firstColumn="1" w:firstRow="1" w:lastColumn="0" w:lastRow="0" w:noHBand="0" w:noVBand="1" w:val="04A0"/>
      </w:tblPr>
      <w:tblGrid>
        <w:gridCol w:w="10086"/>
      </w:tblGrid>
      <w:tr>
        <w:trPr>
          <w:cantSplit/>
        </w:trPr>
        <w:tc>
          <w:tcPr>
            <w:tcW w:type="dxa" w:w="10086"/>
            <w:shd w:fill="F2F2F2"/>
          </w:tcPr>
          <w:p>
            <w:pPr>
              <w:spacing w:after="40"/>
            </w:pPr>
            <w:r/>
            <w:r>
              <w:rPr>
                <w:rFonts w:ascii="Arial" w:hAnsi="Arial"/>
                <w:b/>
                <w:sz w:val="19"/>
              </w:rPr>
              <w:t>Principio de fallo seguro</w:t>
            </w:r>
          </w:p>
          <w:p>
            <w:pPr>
              <w:spacing w:after="20"/>
            </w:pPr>
            <w:r>
              <w:rPr>
                <w:rFonts w:ascii="Arial" w:hAnsi="Arial"/>
                <w:sz w:val="17"/>
              </w:rPr>
              <w:t>Un dato crítico ausente, una fórmula fuera de dominio, una discrepancia no resuelta o una evidencia caducada debe bloquear la liberación. La aplicación nunca transformará incertidumbre en aparente precisión.</w:t>
            </w:r>
          </w:p>
        </w:tc>
      </w:tr>
    </w:tbl>
    <w:p>
      <w:pPr>
        <w:spacing w:after="20"/>
      </w:pPr>
    </w:p>
    <w:p>
      <w:pPr>
        <w:pStyle w:val="Heading1"/>
      </w:pPr>
      <w:r>
        <w:t>2. Alcance</w:t>
      </w:r>
    </w:p>
    <w:p>
      <w:pPr>
        <w:pStyle w:val="ListBullet"/>
        <w:spacing w:after="40"/>
      </w:pPr>
      <w:r>
        <w:t>Validación del núcleo de datos, unidades, revisiones, geodatos, geometría y acciones.</w:t>
      </w:r>
    </w:p>
    <w:p>
      <w:pPr>
        <w:pStyle w:val="ListBullet"/>
        <w:spacing w:after="40"/>
      </w:pPr>
      <w:r>
        <w:t>Verificación y validación del solver global 3D, segundo orden, estabilidad, dinámica, fatiga y catenarias.</w:t>
      </w:r>
    </w:p>
    <w:p>
      <w:pPr>
        <w:pStyle w:val="ListBullet"/>
        <w:spacing w:after="40"/>
      </w:pPr>
      <w:r>
        <w:t>Validación de módulos de acero, aluminio y hormigón pretensado.</w:t>
      </w:r>
    </w:p>
    <w:p>
      <w:pPr>
        <w:pStyle w:val="ListBullet"/>
        <w:spacing w:after="40"/>
      </w:pPr>
      <w:r>
        <w:t>Validación de puertas, refuerzos, soldaduras, uniones, placa, pernos, anclajes, cimentaciones y geotecnia.</w:t>
      </w:r>
    </w:p>
    <w:p>
      <w:pPr>
        <w:pStyle w:val="ListBullet"/>
        <w:spacing w:after="40"/>
      </w:pPr>
      <w:r>
        <w:t>Validación del selector de catálogo y del optimizador multiobjetivo.</w:t>
      </w:r>
    </w:p>
    <w:p>
      <w:pPr>
        <w:pStyle w:val="ListBullet"/>
        <w:spacing w:after="40"/>
      </w:pPr>
      <w:r>
        <w:t>Validación de CAD, DXF, STEP, BOM, costes, CO2, planos e informes.</w:t>
      </w:r>
    </w:p>
    <w:p>
      <w:pPr>
        <w:pStyle w:val="ListBullet"/>
        <w:spacing w:after="40"/>
      </w:pPr>
      <w:r>
        <w:t>Correlación con ensayos de tipo, ensayos de producto, ensayos de componentes y datos de campo.</w:t>
      </w:r>
    </w:p>
    <w:p>
      <w:pPr>
        <w:pStyle w:val="ListBullet"/>
        <w:spacing w:after="40"/>
      </w:pPr>
      <w:r>
        <w:t>Control de producción en fábrica o subcontratista y cualificación de familias estándar.</w:t>
      </w:r>
    </w:p>
    <w:p>
      <w:pPr>
        <w:pStyle w:val="ListBullet"/>
        <w:spacing w:after="40"/>
      </w:pPr>
      <w:r>
        <w:t>Gestión de no conformidades, CAPA, cambios, revalidaciones y retirada de versiones.</w:t>
      </w:r>
    </w:p>
    <w:p>
      <w:pPr>
        <w:pStyle w:val="ListBullet"/>
        <w:spacing w:after="40"/>
      </w:pPr>
      <w:r>
        <w:t>Preparación del expediente técnico y de la documentación de conformidad aplicable.</w:t>
      </w:r>
    </w:p>
    <w:p>
      <w:pPr>
        <w:pStyle w:val="Heading2"/>
      </w:pPr>
      <w:r>
        <w:t>2.1 Exclusiones</w:t>
      </w:r>
    </w:p>
    <w:p>
      <w:pPr>
        <w:pStyle w:val="ListBullet"/>
        <w:spacing w:after="40"/>
      </w:pPr>
      <w:r>
        <w:t>La aplicación no sustituye la responsabilidad profesional de Oficina Técnica ni la evaluación de conformidad de terceros cuando sea obligatoria.</w:t>
      </w:r>
    </w:p>
    <w:p>
      <w:pPr>
        <w:pStyle w:val="ListBullet"/>
        <w:spacing w:after="40"/>
      </w:pPr>
      <w:r>
        <w:t>No se declara equivalencia automática entre un ensayo de una referencia y toda una familia sin una regla de extensión aprobada.</w:t>
      </w:r>
    </w:p>
    <w:p>
      <w:pPr>
        <w:pStyle w:val="ListBullet"/>
        <w:spacing w:after="40"/>
      </w:pPr>
      <w:r>
        <w:t>No se aceptan curvas o nomogramas digitalizados sin trazabilidad, dominio, error y validación independiente.</w:t>
      </w:r>
    </w:p>
    <w:p>
      <w:pPr>
        <w:pStyle w:val="ListBullet"/>
        <w:spacing w:after="40"/>
      </w:pPr>
      <w:r>
        <w:t>No se utilizará una correlación experimental para ocultar un error conocido del modelo.</w:t>
      </w:r>
    </w:p>
    <w:p>
      <w:r>
        <w:br w:type="page"/>
      </w:r>
    </w:p>
    <w:p>
      <w:pPr>
        <w:pStyle w:val="Heading1"/>
      </w:pPr>
      <w:r>
        <w:t>3. Terminología y niveles de evidencia</w:t>
      </w:r>
    </w:p>
    <w:tbl>
      <w:tblPr>
        <w:tblStyle w:val="TableGrid"/>
        <w:tblW w:type="auto" w:w="0"/>
        <w:jc w:val="center"/>
        <w:tblLook w:firstColumn="1" w:firstRow="1" w:lastColumn="0" w:lastRow="0" w:noHBand="0" w:noVBand="1" w:val="04A0"/>
      </w:tblPr>
      <w:tblGrid>
        <w:gridCol w:w="5043"/>
        <w:gridCol w:w="5043"/>
      </w:tblGrid>
      <w:tr>
        <w:trPr>
          <w:tblHeader/>
          <w:cantSplit/>
        </w:trPr>
        <w:tc>
          <w:tcPr>
            <w:tcW w:type="dxa" w:w="1928"/>
            <w:vAlign w:val="center"/>
            <w:shd w:fill="262626"/>
          </w:tcPr>
          <w:p>
            <w:pPr>
              <w:spacing w:after="0"/>
            </w:pPr>
            <w:r/>
            <w:r>
              <w:rPr>
                <w:rFonts w:ascii="Arial" w:hAnsi="Arial"/>
                <w:b/>
                <w:color w:val="FFFFFF"/>
                <w:sz w:val="16"/>
              </w:rPr>
              <w:t>Término</w:t>
            </w:r>
          </w:p>
        </w:tc>
        <w:tc>
          <w:tcPr>
            <w:tcW w:type="dxa" w:w="7710"/>
            <w:vAlign w:val="center"/>
            <w:shd w:fill="262626"/>
          </w:tcPr>
          <w:p>
            <w:pPr>
              <w:spacing w:after="0"/>
            </w:pPr>
            <w:r/>
            <w:r>
              <w:rPr>
                <w:rFonts w:ascii="Arial" w:hAnsi="Arial"/>
                <w:b/>
                <w:color w:val="FFFFFF"/>
                <w:sz w:val="16"/>
              </w:rPr>
              <w:t>Definición operativa</w:t>
            </w:r>
          </w:p>
        </w:tc>
      </w:tr>
      <w:tr>
        <w:trPr>
          <w:cantSplit/>
        </w:trPr>
        <w:tc>
          <w:tcPr>
            <w:tcW w:type="dxa" w:w="1928"/>
            <w:vAlign w:val="center"/>
          </w:tcPr>
          <w:p>
            <w:pPr>
              <w:spacing w:after="0"/>
            </w:pPr>
            <w:r/>
            <w:r>
              <w:rPr>
                <w:rFonts w:ascii="Arial" w:hAnsi="Arial"/>
                <w:b w:val="0"/>
                <w:sz w:val="16"/>
              </w:rPr>
              <w:t>Verificación</w:t>
            </w:r>
          </w:p>
        </w:tc>
        <w:tc>
          <w:tcPr>
            <w:tcW w:type="dxa" w:w="7710"/>
            <w:vAlign w:val="center"/>
          </w:tcPr>
          <w:p>
            <w:pPr>
              <w:spacing w:after="0"/>
            </w:pPr>
            <w:r/>
            <w:r>
              <w:rPr>
                <w:rFonts w:ascii="Arial" w:hAnsi="Arial"/>
                <w:b w:val="0"/>
                <w:sz w:val="16"/>
              </w:rPr>
              <w:t>Demostrar que el software implementa correctamente las especificaciones, ecuaciones y reglas definidas.</w:t>
            </w:r>
          </w:p>
        </w:tc>
      </w:tr>
      <w:tr>
        <w:trPr>
          <w:cantSplit/>
        </w:trPr>
        <w:tc>
          <w:tcPr>
            <w:tcW w:type="dxa" w:w="1928"/>
            <w:vAlign w:val="center"/>
            <w:shd w:fill="F2F2F2"/>
          </w:tcPr>
          <w:p>
            <w:pPr>
              <w:spacing w:after="0"/>
            </w:pPr>
            <w:r/>
            <w:r>
              <w:rPr>
                <w:rFonts w:ascii="Arial" w:hAnsi="Arial"/>
                <w:b w:val="0"/>
                <w:sz w:val="16"/>
              </w:rPr>
              <w:t>Validación</w:t>
            </w:r>
          </w:p>
        </w:tc>
        <w:tc>
          <w:tcPr>
            <w:tcW w:type="dxa" w:w="7710"/>
            <w:vAlign w:val="center"/>
            <w:shd w:fill="F2F2F2"/>
          </w:tcPr>
          <w:p>
            <w:pPr>
              <w:spacing w:after="0"/>
            </w:pPr>
            <w:r/>
            <w:r>
              <w:rPr>
                <w:rFonts w:ascii="Arial" w:hAnsi="Arial"/>
                <w:b w:val="0"/>
                <w:sz w:val="16"/>
              </w:rPr>
              <w:t>Demostrar que el modelo y el producto resultante representan adecuadamente el comportamiento real para el uso previsto.</w:t>
            </w:r>
          </w:p>
        </w:tc>
      </w:tr>
      <w:tr>
        <w:trPr>
          <w:cantSplit/>
        </w:trPr>
        <w:tc>
          <w:tcPr>
            <w:tcW w:type="dxa" w:w="1928"/>
            <w:vAlign w:val="center"/>
          </w:tcPr>
          <w:p>
            <w:pPr>
              <w:spacing w:after="0"/>
            </w:pPr>
            <w:r/>
            <w:r>
              <w:rPr>
                <w:rFonts w:ascii="Arial" w:hAnsi="Arial"/>
                <w:b w:val="0"/>
                <w:sz w:val="16"/>
              </w:rPr>
              <w:t>Correlación</w:t>
            </w:r>
          </w:p>
        </w:tc>
        <w:tc>
          <w:tcPr>
            <w:tcW w:type="dxa" w:w="7710"/>
            <w:vAlign w:val="center"/>
          </w:tcPr>
          <w:p>
            <w:pPr>
              <w:spacing w:after="0"/>
            </w:pPr>
            <w:r/>
            <w:r>
              <w:rPr>
                <w:rFonts w:ascii="Arial" w:hAnsi="Arial"/>
                <w:b w:val="0"/>
                <w:sz w:val="16"/>
              </w:rPr>
              <w:t>Comparación cuantitativa entre predicción y observación, con incertidumbre y criterios de aceptación.</w:t>
            </w:r>
          </w:p>
        </w:tc>
      </w:tr>
      <w:tr>
        <w:trPr>
          <w:cantSplit/>
        </w:trPr>
        <w:tc>
          <w:tcPr>
            <w:tcW w:type="dxa" w:w="1928"/>
            <w:vAlign w:val="center"/>
            <w:shd w:fill="F2F2F2"/>
          </w:tcPr>
          <w:p>
            <w:pPr>
              <w:spacing w:after="0"/>
            </w:pPr>
            <w:r/>
            <w:r>
              <w:rPr>
                <w:rFonts w:ascii="Arial" w:hAnsi="Arial"/>
                <w:b w:val="0"/>
                <w:sz w:val="16"/>
              </w:rPr>
              <w:t>Calibración</w:t>
            </w:r>
          </w:p>
        </w:tc>
        <w:tc>
          <w:tcPr>
            <w:tcW w:type="dxa" w:w="7710"/>
            <w:vAlign w:val="center"/>
            <w:shd w:fill="F2F2F2"/>
          </w:tcPr>
          <w:p>
            <w:pPr>
              <w:spacing w:after="0"/>
            </w:pPr>
            <w:r/>
            <w:r>
              <w:rPr>
                <w:rFonts w:ascii="Arial" w:hAnsi="Arial"/>
                <w:b w:val="0"/>
                <w:sz w:val="16"/>
              </w:rPr>
              <w:t>Ajuste controlado de parámetros medibles; nunca corrección arbitraria para hacer coincidir un resultado.</w:t>
            </w:r>
          </w:p>
        </w:tc>
      </w:tr>
      <w:tr>
        <w:trPr>
          <w:cantSplit/>
        </w:trPr>
        <w:tc>
          <w:tcPr>
            <w:tcW w:type="dxa" w:w="1928"/>
            <w:vAlign w:val="center"/>
          </w:tcPr>
          <w:p>
            <w:pPr>
              <w:spacing w:after="0"/>
            </w:pPr>
            <w:r/>
            <w:r>
              <w:rPr>
                <w:rFonts w:ascii="Arial" w:hAnsi="Arial"/>
                <w:b w:val="0"/>
                <w:sz w:val="16"/>
              </w:rPr>
              <w:t>Cualificación</w:t>
            </w:r>
          </w:p>
        </w:tc>
        <w:tc>
          <w:tcPr>
            <w:tcW w:type="dxa" w:w="7710"/>
            <w:vAlign w:val="center"/>
          </w:tcPr>
          <w:p>
            <w:pPr>
              <w:spacing w:after="0"/>
            </w:pPr>
            <w:r/>
            <w:r>
              <w:rPr>
                <w:rFonts w:ascii="Arial" w:hAnsi="Arial"/>
                <w:b w:val="0"/>
                <w:sz w:val="16"/>
              </w:rPr>
              <w:t>Aprobación de un módulo, método, proceso, familia o referencia dentro de un dominio definido.</w:t>
            </w:r>
          </w:p>
        </w:tc>
      </w:tr>
      <w:tr>
        <w:trPr>
          <w:cantSplit/>
        </w:trPr>
        <w:tc>
          <w:tcPr>
            <w:tcW w:type="dxa" w:w="1928"/>
            <w:vAlign w:val="center"/>
            <w:shd w:fill="F2F2F2"/>
          </w:tcPr>
          <w:p>
            <w:pPr>
              <w:spacing w:after="0"/>
            </w:pPr>
            <w:r/>
            <w:r>
              <w:rPr>
                <w:rFonts w:ascii="Arial" w:hAnsi="Arial"/>
                <w:b w:val="0"/>
                <w:sz w:val="16"/>
              </w:rPr>
              <w:t>Golden case</w:t>
            </w:r>
          </w:p>
        </w:tc>
        <w:tc>
          <w:tcPr>
            <w:tcW w:type="dxa" w:w="7710"/>
            <w:vAlign w:val="center"/>
            <w:shd w:fill="F2F2F2"/>
          </w:tcPr>
          <w:p>
            <w:pPr>
              <w:spacing w:after="0"/>
            </w:pPr>
            <w:r/>
            <w:r>
              <w:rPr>
                <w:rFonts w:ascii="Arial" w:hAnsi="Arial"/>
                <w:b w:val="0"/>
                <w:sz w:val="16"/>
              </w:rPr>
              <w:t>Caso congelado con entradas, referencia, resultado esperado, tolerancia y explicación.</w:t>
            </w:r>
          </w:p>
        </w:tc>
      </w:tr>
      <w:tr>
        <w:trPr>
          <w:cantSplit/>
        </w:trPr>
        <w:tc>
          <w:tcPr>
            <w:tcW w:type="dxa" w:w="1928"/>
            <w:vAlign w:val="center"/>
          </w:tcPr>
          <w:p>
            <w:pPr>
              <w:spacing w:after="0"/>
            </w:pPr>
            <w:r/>
            <w:r>
              <w:rPr>
                <w:rFonts w:ascii="Arial" w:hAnsi="Arial"/>
                <w:b w:val="0"/>
                <w:sz w:val="16"/>
              </w:rPr>
              <w:t>Regresión</w:t>
            </w:r>
          </w:p>
        </w:tc>
        <w:tc>
          <w:tcPr>
            <w:tcW w:type="dxa" w:w="7710"/>
            <w:vAlign w:val="center"/>
          </w:tcPr>
          <w:p>
            <w:pPr>
              <w:spacing w:after="0"/>
            </w:pPr>
            <w:r/>
            <w:r>
              <w:rPr>
                <w:rFonts w:ascii="Arial" w:hAnsi="Arial"/>
                <w:b w:val="0"/>
                <w:sz w:val="16"/>
              </w:rPr>
              <w:t>Cambio no esperado respecto a un resultado previamente aprobado.</w:t>
            </w:r>
          </w:p>
        </w:tc>
      </w:tr>
      <w:tr>
        <w:trPr>
          <w:cantSplit/>
        </w:trPr>
        <w:tc>
          <w:tcPr>
            <w:tcW w:type="dxa" w:w="1928"/>
            <w:vAlign w:val="center"/>
            <w:shd w:fill="F2F2F2"/>
          </w:tcPr>
          <w:p>
            <w:pPr>
              <w:spacing w:after="0"/>
            </w:pPr>
            <w:r/>
            <w:r>
              <w:rPr>
                <w:rFonts w:ascii="Arial" w:hAnsi="Arial"/>
                <w:b w:val="0"/>
                <w:sz w:val="16"/>
              </w:rPr>
              <w:t>Evidencia</w:t>
            </w:r>
          </w:p>
        </w:tc>
        <w:tc>
          <w:tcPr>
            <w:tcW w:type="dxa" w:w="7710"/>
            <w:vAlign w:val="center"/>
            <w:shd w:fill="F2F2F2"/>
          </w:tcPr>
          <w:p>
            <w:pPr>
              <w:spacing w:after="0"/>
            </w:pPr>
            <w:r/>
            <w:r>
              <w:rPr>
                <w:rFonts w:ascii="Arial" w:hAnsi="Arial"/>
                <w:b w:val="0"/>
                <w:sz w:val="16"/>
              </w:rPr>
              <w:t>Documento, dato, ensayo o resultado firmado y versionado que soporta una decisión.</w:t>
            </w:r>
          </w:p>
        </w:tc>
      </w:tr>
      <w:tr>
        <w:trPr>
          <w:cantSplit/>
        </w:trPr>
        <w:tc>
          <w:tcPr>
            <w:tcW w:type="dxa" w:w="1928"/>
            <w:vAlign w:val="center"/>
          </w:tcPr>
          <w:p>
            <w:pPr>
              <w:spacing w:after="0"/>
            </w:pPr>
            <w:r/>
            <w:r>
              <w:rPr>
                <w:rFonts w:ascii="Arial" w:hAnsi="Arial"/>
                <w:b w:val="0"/>
                <w:sz w:val="16"/>
              </w:rPr>
              <w:t>Dominio de validez</w:t>
            </w:r>
          </w:p>
        </w:tc>
        <w:tc>
          <w:tcPr>
            <w:tcW w:type="dxa" w:w="7710"/>
            <w:vAlign w:val="center"/>
          </w:tcPr>
          <w:p>
            <w:pPr>
              <w:spacing w:after="0"/>
            </w:pPr>
            <w:r/>
            <w:r>
              <w:rPr>
                <w:rFonts w:ascii="Arial" w:hAnsi="Arial"/>
                <w:b w:val="0"/>
                <w:sz w:val="16"/>
              </w:rPr>
              <w:t>Conjunto de geometrías, materiales, cargas, alturas, entornos y procesos cubiertos por una evidencia.</w:t>
            </w:r>
          </w:p>
        </w:tc>
      </w:tr>
    </w:tbl>
    <w:p>
      <w:pPr>
        <w:spacing w:after="20"/>
      </w:pPr>
    </w:p>
    <w:p>
      <w:pPr>
        <w:pStyle w:val="Heading2"/>
      </w:pPr>
      <w:r>
        <w:t>3.1 Niveles de evidencia E0-E5</w:t>
      </w:r>
    </w:p>
    <w:tbl>
      <w:tblPr>
        <w:tblStyle w:val="TableGrid"/>
        <w:tblW w:type="auto" w:w="0"/>
        <w:jc w:val="center"/>
        <w:tblLook w:firstColumn="1" w:firstRow="1" w:lastColumn="0" w:lastRow="0" w:noHBand="0" w:noVBand="1" w:val="04A0"/>
      </w:tblPr>
      <w:tblGrid>
        <w:gridCol w:w="3362"/>
        <w:gridCol w:w="3362"/>
        <w:gridCol w:w="3362"/>
      </w:tblGrid>
      <w:tr>
        <w:trPr>
          <w:tblHeader/>
          <w:cantSplit/>
        </w:trPr>
        <w:tc>
          <w:tcPr>
            <w:tcW w:type="dxa" w:w="1020"/>
            <w:vAlign w:val="center"/>
            <w:shd w:fill="262626"/>
          </w:tcPr>
          <w:p>
            <w:pPr>
              <w:spacing w:after="0"/>
            </w:pPr>
            <w:r/>
            <w:r>
              <w:rPr>
                <w:rFonts w:ascii="Arial" w:hAnsi="Arial"/>
                <w:b/>
                <w:color w:val="FFFFFF"/>
                <w:sz w:val="16"/>
              </w:rPr>
              <w:t>Nivel</w:t>
            </w:r>
          </w:p>
        </w:tc>
        <w:tc>
          <w:tcPr>
            <w:tcW w:type="dxa" w:w="5216"/>
            <w:vAlign w:val="center"/>
            <w:shd w:fill="262626"/>
          </w:tcPr>
          <w:p>
            <w:pPr>
              <w:spacing w:after="0"/>
            </w:pPr>
            <w:r/>
            <w:r>
              <w:rPr>
                <w:rFonts w:ascii="Arial" w:hAnsi="Arial"/>
                <w:b/>
                <w:color w:val="FFFFFF"/>
                <w:sz w:val="16"/>
              </w:rPr>
              <w:t>Descripción</w:t>
            </w:r>
          </w:p>
        </w:tc>
        <w:tc>
          <w:tcPr>
            <w:tcW w:type="dxa" w:w="3402"/>
            <w:vAlign w:val="center"/>
            <w:shd w:fill="262626"/>
          </w:tcPr>
          <w:p>
            <w:pPr>
              <w:spacing w:after="0"/>
            </w:pPr>
            <w:r/>
            <w:r>
              <w:rPr>
                <w:rFonts w:ascii="Arial" w:hAnsi="Arial"/>
                <w:b/>
                <w:color w:val="FFFFFF"/>
                <w:sz w:val="16"/>
              </w:rPr>
              <w:t>Uso permitido</w:t>
            </w:r>
          </w:p>
        </w:tc>
      </w:tr>
      <w:tr>
        <w:trPr>
          <w:cantSplit/>
        </w:trPr>
        <w:tc>
          <w:tcPr>
            <w:tcW w:type="dxa" w:w="1020"/>
            <w:vAlign w:val="center"/>
          </w:tcPr>
          <w:p>
            <w:pPr>
              <w:spacing w:after="0"/>
            </w:pPr>
            <w:r/>
            <w:r>
              <w:rPr>
                <w:rFonts w:ascii="Arial" w:hAnsi="Arial"/>
                <w:b w:val="0"/>
                <w:sz w:val="16"/>
              </w:rPr>
              <w:t>E0</w:t>
            </w:r>
          </w:p>
        </w:tc>
        <w:tc>
          <w:tcPr>
            <w:tcW w:type="dxa" w:w="5216"/>
            <w:vAlign w:val="center"/>
          </w:tcPr>
          <w:p>
            <w:pPr>
              <w:spacing w:after="0"/>
            </w:pPr>
            <w:r/>
            <w:r>
              <w:rPr>
                <w:rFonts w:ascii="Arial" w:hAnsi="Arial"/>
                <w:b w:val="0"/>
                <w:sz w:val="16"/>
              </w:rPr>
              <w:t>Hipótesis o criterio sin contraste independiente.</w:t>
            </w:r>
          </w:p>
        </w:tc>
        <w:tc>
          <w:tcPr>
            <w:tcW w:type="dxa" w:w="3402"/>
            <w:vAlign w:val="center"/>
          </w:tcPr>
          <w:p>
            <w:pPr>
              <w:spacing w:after="0"/>
            </w:pPr>
            <w:r/>
            <w:r>
              <w:rPr>
                <w:rFonts w:ascii="Arial" w:hAnsi="Arial"/>
                <w:b w:val="0"/>
                <w:sz w:val="16"/>
              </w:rPr>
              <w:t>Solo desarrollo; nunca liberación.</w:t>
            </w:r>
          </w:p>
        </w:tc>
      </w:tr>
      <w:tr>
        <w:trPr>
          <w:cantSplit/>
        </w:trPr>
        <w:tc>
          <w:tcPr>
            <w:tcW w:type="dxa" w:w="1020"/>
            <w:vAlign w:val="center"/>
            <w:shd w:fill="F2F2F2"/>
          </w:tcPr>
          <w:p>
            <w:pPr>
              <w:spacing w:after="0"/>
            </w:pPr>
            <w:r/>
            <w:r>
              <w:rPr>
                <w:rFonts w:ascii="Arial" w:hAnsi="Arial"/>
                <w:b w:val="0"/>
                <w:sz w:val="16"/>
              </w:rPr>
              <w:t>E1</w:t>
            </w:r>
          </w:p>
        </w:tc>
        <w:tc>
          <w:tcPr>
            <w:tcW w:type="dxa" w:w="5216"/>
            <w:vAlign w:val="center"/>
            <w:shd w:fill="F2F2F2"/>
          </w:tcPr>
          <w:p>
            <w:pPr>
              <w:spacing w:after="0"/>
            </w:pPr>
            <w:r/>
            <w:r>
              <w:rPr>
                <w:rFonts w:ascii="Arial" w:hAnsi="Arial"/>
                <w:b w:val="0"/>
                <w:sz w:val="16"/>
              </w:rPr>
              <w:t>Prueba unitaria o cálculo manual interno.</w:t>
            </w:r>
          </w:p>
        </w:tc>
        <w:tc>
          <w:tcPr>
            <w:tcW w:type="dxa" w:w="3402"/>
            <w:vAlign w:val="center"/>
            <w:shd w:fill="F2F2F2"/>
          </w:tcPr>
          <w:p>
            <w:pPr>
              <w:spacing w:after="0"/>
            </w:pPr>
            <w:r/>
            <w:r>
              <w:rPr>
                <w:rFonts w:ascii="Arial" w:hAnsi="Arial"/>
                <w:b w:val="0"/>
                <w:sz w:val="16"/>
              </w:rPr>
              <w:t>Prototipo y depuración.</w:t>
            </w:r>
          </w:p>
        </w:tc>
      </w:tr>
      <w:tr>
        <w:trPr>
          <w:cantSplit/>
        </w:trPr>
        <w:tc>
          <w:tcPr>
            <w:tcW w:type="dxa" w:w="1020"/>
            <w:vAlign w:val="center"/>
          </w:tcPr>
          <w:p>
            <w:pPr>
              <w:spacing w:after="0"/>
            </w:pPr>
            <w:r/>
            <w:r>
              <w:rPr>
                <w:rFonts w:ascii="Arial" w:hAnsi="Arial"/>
                <w:b w:val="0"/>
                <w:sz w:val="16"/>
              </w:rPr>
              <w:t>E2</w:t>
            </w:r>
          </w:p>
        </w:tc>
        <w:tc>
          <w:tcPr>
            <w:tcW w:type="dxa" w:w="5216"/>
            <w:vAlign w:val="center"/>
          </w:tcPr>
          <w:p>
            <w:pPr>
              <w:spacing w:after="0"/>
            </w:pPr>
            <w:r/>
            <w:r>
              <w:rPr>
                <w:rFonts w:ascii="Arial" w:hAnsi="Arial"/>
                <w:b w:val="0"/>
                <w:sz w:val="16"/>
              </w:rPr>
              <w:t>Comparación con solución analítica o software independiente.</w:t>
            </w:r>
          </w:p>
        </w:tc>
        <w:tc>
          <w:tcPr>
            <w:tcW w:type="dxa" w:w="3402"/>
            <w:vAlign w:val="center"/>
          </w:tcPr>
          <w:p>
            <w:pPr>
              <w:spacing w:after="0"/>
            </w:pPr>
            <w:r/>
            <w:r>
              <w:rPr>
                <w:rFonts w:ascii="Arial" w:hAnsi="Arial"/>
                <w:b w:val="0"/>
                <w:sz w:val="16"/>
              </w:rPr>
              <w:t>Cálculo interno supervisado.</w:t>
            </w:r>
          </w:p>
        </w:tc>
      </w:tr>
      <w:tr>
        <w:trPr>
          <w:cantSplit/>
        </w:trPr>
        <w:tc>
          <w:tcPr>
            <w:tcW w:type="dxa" w:w="1020"/>
            <w:vAlign w:val="center"/>
            <w:shd w:fill="F2F2F2"/>
          </w:tcPr>
          <w:p>
            <w:pPr>
              <w:spacing w:after="0"/>
            </w:pPr>
            <w:r/>
            <w:r>
              <w:rPr>
                <w:rFonts w:ascii="Arial" w:hAnsi="Arial"/>
                <w:b w:val="0"/>
                <w:sz w:val="16"/>
              </w:rPr>
              <w:t>E3</w:t>
            </w:r>
          </w:p>
        </w:tc>
        <w:tc>
          <w:tcPr>
            <w:tcW w:type="dxa" w:w="5216"/>
            <w:vAlign w:val="center"/>
            <w:shd w:fill="F2F2F2"/>
          </w:tcPr>
          <w:p>
            <w:pPr>
              <w:spacing w:after="0"/>
            </w:pPr>
            <w:r/>
            <w:r>
              <w:rPr>
                <w:rFonts w:ascii="Arial" w:hAnsi="Arial"/>
                <w:b w:val="0"/>
                <w:sz w:val="16"/>
              </w:rPr>
              <w:t>Correlación con ensayo físico o producto conocido.</w:t>
            </w:r>
          </w:p>
        </w:tc>
        <w:tc>
          <w:tcPr>
            <w:tcW w:type="dxa" w:w="3402"/>
            <w:vAlign w:val="center"/>
            <w:shd w:fill="F2F2F2"/>
          </w:tcPr>
          <w:p>
            <w:pPr>
              <w:spacing w:after="0"/>
            </w:pPr>
            <w:r/>
            <w:r>
              <w:rPr>
                <w:rFonts w:ascii="Arial" w:hAnsi="Arial"/>
                <w:b w:val="0"/>
                <w:sz w:val="16"/>
              </w:rPr>
              <w:t>Uso técnico dentro del dominio aprobado.</w:t>
            </w:r>
          </w:p>
        </w:tc>
      </w:tr>
      <w:tr>
        <w:trPr>
          <w:cantSplit/>
        </w:trPr>
        <w:tc>
          <w:tcPr>
            <w:tcW w:type="dxa" w:w="1020"/>
            <w:vAlign w:val="center"/>
          </w:tcPr>
          <w:p>
            <w:pPr>
              <w:spacing w:after="0"/>
            </w:pPr>
            <w:r/>
            <w:r>
              <w:rPr>
                <w:rFonts w:ascii="Arial" w:hAnsi="Arial"/>
                <w:b w:val="0"/>
                <w:sz w:val="16"/>
              </w:rPr>
              <w:t>E4</w:t>
            </w:r>
          </w:p>
        </w:tc>
        <w:tc>
          <w:tcPr>
            <w:tcW w:type="dxa" w:w="5216"/>
            <w:vAlign w:val="center"/>
          </w:tcPr>
          <w:p>
            <w:pPr>
              <w:spacing w:after="0"/>
            </w:pPr>
            <w:r/>
            <w:r>
              <w:rPr>
                <w:rFonts w:ascii="Arial" w:hAnsi="Arial"/>
                <w:b w:val="0"/>
                <w:sz w:val="16"/>
              </w:rPr>
              <w:t>Campaña representativa, FPC y auditoría interna.</w:t>
            </w:r>
          </w:p>
        </w:tc>
        <w:tc>
          <w:tcPr>
            <w:tcW w:type="dxa" w:w="3402"/>
            <w:vAlign w:val="center"/>
          </w:tcPr>
          <w:p>
            <w:pPr>
              <w:spacing w:after="0"/>
            </w:pPr>
            <w:r/>
            <w:r>
              <w:rPr>
                <w:rFonts w:ascii="Arial" w:hAnsi="Arial"/>
                <w:b w:val="0"/>
                <w:sz w:val="16"/>
              </w:rPr>
              <w:t>Familia industrial liberable.</w:t>
            </w:r>
          </w:p>
        </w:tc>
      </w:tr>
      <w:tr>
        <w:trPr>
          <w:cantSplit/>
        </w:trPr>
        <w:tc>
          <w:tcPr>
            <w:tcW w:type="dxa" w:w="1020"/>
            <w:vAlign w:val="center"/>
            <w:shd w:fill="F2F2F2"/>
          </w:tcPr>
          <w:p>
            <w:pPr>
              <w:spacing w:after="0"/>
            </w:pPr>
            <w:r/>
            <w:r>
              <w:rPr>
                <w:rFonts w:ascii="Arial" w:hAnsi="Arial"/>
                <w:b w:val="0"/>
                <w:sz w:val="16"/>
              </w:rPr>
              <w:t>E5</w:t>
            </w:r>
          </w:p>
        </w:tc>
        <w:tc>
          <w:tcPr>
            <w:tcW w:type="dxa" w:w="5216"/>
            <w:vAlign w:val="center"/>
            <w:shd w:fill="F2F2F2"/>
          </w:tcPr>
          <w:p>
            <w:pPr>
              <w:spacing w:after="0"/>
            </w:pPr>
            <w:r/>
            <w:r>
              <w:rPr>
                <w:rFonts w:ascii="Arial" w:hAnsi="Arial"/>
                <w:b w:val="0"/>
                <w:sz w:val="16"/>
              </w:rPr>
              <w:t>Evaluación externa, certificación o auditoría independiente cuando proceda.</w:t>
            </w:r>
          </w:p>
        </w:tc>
        <w:tc>
          <w:tcPr>
            <w:tcW w:type="dxa" w:w="3402"/>
            <w:vAlign w:val="center"/>
            <w:shd w:fill="F2F2F2"/>
          </w:tcPr>
          <w:p>
            <w:pPr>
              <w:spacing w:after="0"/>
            </w:pPr>
            <w:r/>
            <w:r>
              <w:rPr>
                <w:rFonts w:ascii="Arial" w:hAnsi="Arial"/>
                <w:b w:val="0"/>
                <w:sz w:val="16"/>
              </w:rPr>
              <w:t>Producto y proceso con máxima evidencia disponible.</w:t>
            </w:r>
          </w:p>
        </w:tc>
      </w:tr>
    </w:tbl>
    <w:p>
      <w:pPr>
        <w:spacing w:after="20"/>
      </w:pPr>
    </w:p>
    <w:p>
      <w:pPr>
        <w:pStyle w:val="Heading1"/>
      </w:pPr>
      <w:r>
        <w:t>4. Arquitectura general de validación</w:t>
      </w:r>
    </w:p>
    <w:p>
      <w:r>
        <w:t>La validación se organiza como una pirámide. Los niveles inferiores deben estar cerrados antes de aceptar evidencia de niveles superiores. Un ensayo físico no compensa una unidad mal convertida ni una regla normativa mal implementada.</w:t>
      </w:r>
    </w:p>
    <w:p>
      <w:pPr>
        <w:pStyle w:val="ListNumber"/>
        <w:spacing w:after="40"/>
      </w:pPr>
      <w:r>
        <w:t>Integridad de datos, unidades y versiones.</w:t>
      </w:r>
    </w:p>
    <w:p>
      <w:pPr>
        <w:pStyle w:val="ListNumber"/>
        <w:spacing w:after="40"/>
      </w:pPr>
      <w:r>
        <w:t>Pruebas de funciones elementales y propiedades de sección.</w:t>
      </w:r>
    </w:p>
    <w:p>
      <w:pPr>
        <w:pStyle w:val="ListNumber"/>
        <w:spacing w:after="40"/>
      </w:pPr>
      <w:r>
        <w:t>Verificación analítica de elementos y ensamblajes.</w:t>
      </w:r>
    </w:p>
    <w:p>
      <w:pPr>
        <w:pStyle w:val="ListNumber"/>
        <w:spacing w:after="40"/>
      </w:pPr>
      <w:r>
        <w:t>Comparación independiente de modelos numéricos.</w:t>
      </w:r>
    </w:p>
    <w:p>
      <w:pPr>
        <w:pStyle w:val="ListNumber"/>
        <w:spacing w:after="40"/>
      </w:pPr>
      <w:r>
        <w:t>Ensayos de componentes y detalles locales.</w:t>
      </w:r>
    </w:p>
    <w:p>
      <w:pPr>
        <w:pStyle w:val="ListNumber"/>
        <w:spacing w:after="40"/>
      </w:pPr>
      <w:r>
        <w:t>Ensayos a escala real y campañas por familia.</w:t>
      </w:r>
    </w:p>
    <w:p>
      <w:pPr>
        <w:pStyle w:val="ListNumber"/>
        <w:spacing w:after="40"/>
      </w:pPr>
      <w:r>
        <w:t>Validación industrial de fabricación, montaje y control.</w:t>
      </w:r>
    </w:p>
    <w:p>
      <w:pPr>
        <w:pStyle w:val="ListNumber"/>
        <w:spacing w:after="40"/>
      </w:pPr>
      <w:r>
        <w:t>Monitorización de campo y retroalimentación controlada.</w:t>
      </w:r>
    </w:p>
    <w:p>
      <w:pPr>
        <w:pStyle w:val="Heading2"/>
      </w:pPr>
      <w:r>
        <w:t>4.1 Matriz de trazabilidad obligatoria</w:t>
      </w:r>
    </w:p>
    <w:tbl>
      <w:tblPr>
        <w:tblStyle w:val="TableGrid"/>
        <w:tblW w:type="auto" w:w="0"/>
        <w:jc w:val="center"/>
        <w:tblLook w:firstColumn="1" w:firstRow="1" w:lastColumn="0" w:lastRow="0" w:noHBand="0" w:noVBand="1" w:val="04A0"/>
      </w:tblPr>
      <w:tblGrid>
        <w:gridCol w:w="1681"/>
        <w:gridCol w:w="1681"/>
        <w:gridCol w:w="1681"/>
        <w:gridCol w:w="1681"/>
        <w:gridCol w:w="1681"/>
        <w:gridCol w:w="1681"/>
      </w:tblGrid>
      <w:tr>
        <w:trPr>
          <w:tblHeader/>
          <w:cantSplit/>
        </w:trPr>
        <w:tc>
          <w:tcPr>
            <w:tcW w:type="dxa" w:w="1474"/>
            <w:vAlign w:val="center"/>
            <w:shd w:fill="262626"/>
          </w:tcPr>
          <w:p>
            <w:pPr>
              <w:spacing w:after="0"/>
            </w:pPr>
            <w:r/>
            <w:r>
              <w:rPr>
                <w:rFonts w:ascii="Arial" w:hAnsi="Arial"/>
                <w:b/>
                <w:color w:val="FFFFFF"/>
                <w:sz w:val="15"/>
              </w:rPr>
              <w:t>ID requisito</w:t>
            </w:r>
          </w:p>
        </w:tc>
        <w:tc>
          <w:tcPr>
            <w:tcW w:type="dxa" w:w="2041"/>
            <w:vAlign w:val="center"/>
            <w:shd w:fill="262626"/>
          </w:tcPr>
          <w:p>
            <w:pPr>
              <w:spacing w:after="0"/>
            </w:pPr>
            <w:r/>
            <w:r>
              <w:rPr>
                <w:rFonts w:ascii="Arial" w:hAnsi="Arial"/>
                <w:b/>
                <w:color w:val="FFFFFF"/>
                <w:sz w:val="15"/>
              </w:rPr>
              <w:t>Fuente</w:t>
            </w:r>
          </w:p>
        </w:tc>
        <w:tc>
          <w:tcPr>
            <w:tcW w:type="dxa" w:w="2381"/>
            <w:vAlign w:val="center"/>
            <w:shd w:fill="262626"/>
          </w:tcPr>
          <w:p>
            <w:pPr>
              <w:spacing w:after="0"/>
            </w:pPr>
            <w:r/>
            <w:r>
              <w:rPr>
                <w:rFonts w:ascii="Arial" w:hAnsi="Arial"/>
                <w:b/>
                <w:color w:val="FFFFFF"/>
                <w:sz w:val="15"/>
              </w:rPr>
              <w:t>Implementación</w:t>
            </w:r>
          </w:p>
        </w:tc>
        <w:tc>
          <w:tcPr>
            <w:tcW w:type="dxa" w:w="1474"/>
            <w:vAlign w:val="center"/>
            <w:shd w:fill="262626"/>
          </w:tcPr>
          <w:p>
            <w:pPr>
              <w:spacing w:after="0"/>
            </w:pPr>
            <w:r/>
            <w:r>
              <w:rPr>
                <w:rFonts w:ascii="Arial" w:hAnsi="Arial"/>
                <w:b/>
                <w:color w:val="FFFFFF"/>
                <w:sz w:val="15"/>
              </w:rPr>
              <w:t>Prueba</w:t>
            </w:r>
          </w:p>
        </w:tc>
        <w:tc>
          <w:tcPr>
            <w:tcW w:type="dxa" w:w="1474"/>
            <w:vAlign w:val="center"/>
            <w:shd w:fill="262626"/>
          </w:tcPr>
          <w:p>
            <w:pPr>
              <w:spacing w:after="0"/>
            </w:pPr>
            <w:r/>
            <w:r>
              <w:rPr>
                <w:rFonts w:ascii="Arial" w:hAnsi="Arial"/>
                <w:b/>
                <w:color w:val="FFFFFF"/>
                <w:sz w:val="15"/>
              </w:rPr>
              <w:t>Evidencia</w:t>
            </w:r>
          </w:p>
        </w:tc>
        <w:tc>
          <w:tcPr>
            <w:tcW w:type="dxa" w:w="1134"/>
            <w:vAlign w:val="center"/>
            <w:shd w:fill="262626"/>
          </w:tcPr>
          <w:p>
            <w:pPr>
              <w:spacing w:after="0"/>
            </w:pPr>
            <w:r/>
            <w:r>
              <w:rPr>
                <w:rFonts w:ascii="Arial" w:hAnsi="Arial"/>
                <w:b/>
                <w:color w:val="FFFFFF"/>
                <w:sz w:val="15"/>
              </w:rPr>
              <w:t>Estado</w:t>
            </w:r>
          </w:p>
        </w:tc>
      </w:tr>
      <w:tr>
        <w:trPr>
          <w:cantSplit/>
        </w:trPr>
        <w:tc>
          <w:tcPr>
            <w:tcW w:type="dxa" w:w="1474"/>
            <w:vAlign w:val="center"/>
          </w:tcPr>
          <w:p>
            <w:pPr>
              <w:spacing w:after="0"/>
            </w:pPr>
            <w:r/>
            <w:r>
              <w:rPr>
                <w:rFonts w:ascii="Arial" w:hAnsi="Arial"/>
                <w:b w:val="0"/>
                <w:sz w:val="15"/>
              </w:rPr>
              <w:t>REQ-STR-001</w:t>
            </w:r>
          </w:p>
        </w:tc>
        <w:tc>
          <w:tcPr>
            <w:tcW w:type="dxa" w:w="2041"/>
            <w:vAlign w:val="center"/>
          </w:tcPr>
          <w:p>
            <w:pPr>
              <w:spacing w:after="0"/>
            </w:pPr>
            <w:r/>
            <w:r>
              <w:rPr>
                <w:rFonts w:ascii="Arial" w:hAnsi="Arial"/>
                <w:b w:val="0"/>
                <w:sz w:val="15"/>
              </w:rPr>
              <w:t>EN 40 / regla aprobada</w:t>
            </w:r>
          </w:p>
        </w:tc>
        <w:tc>
          <w:tcPr>
            <w:tcW w:type="dxa" w:w="2381"/>
            <w:vAlign w:val="center"/>
          </w:tcPr>
          <w:p>
            <w:pPr>
              <w:spacing w:after="0"/>
            </w:pPr>
            <w:r/>
            <w:r>
              <w:rPr>
                <w:rFonts w:ascii="Arial" w:hAnsi="Arial"/>
                <w:b w:val="0"/>
                <w:sz w:val="15"/>
              </w:rPr>
              <w:t>Función o servicio versionado</w:t>
            </w:r>
          </w:p>
        </w:tc>
        <w:tc>
          <w:tcPr>
            <w:tcW w:type="dxa" w:w="1474"/>
            <w:vAlign w:val="center"/>
          </w:tcPr>
          <w:p>
            <w:pPr>
              <w:spacing w:after="0"/>
            </w:pPr>
            <w:r/>
            <w:r>
              <w:rPr>
                <w:rFonts w:ascii="Arial" w:hAnsi="Arial"/>
                <w:b w:val="0"/>
                <w:sz w:val="15"/>
              </w:rPr>
              <w:t>TC-STR-001</w:t>
            </w:r>
          </w:p>
        </w:tc>
        <w:tc>
          <w:tcPr>
            <w:tcW w:type="dxa" w:w="1474"/>
            <w:vAlign w:val="center"/>
          </w:tcPr>
          <w:p>
            <w:pPr>
              <w:spacing w:after="0"/>
            </w:pPr>
            <w:r/>
            <w:r>
              <w:rPr>
                <w:rFonts w:ascii="Arial" w:hAnsi="Arial"/>
                <w:b w:val="0"/>
                <w:sz w:val="15"/>
              </w:rPr>
              <w:t>Informe/hash</w:t>
            </w:r>
          </w:p>
        </w:tc>
        <w:tc>
          <w:tcPr>
            <w:tcW w:type="dxa" w:w="1134"/>
            <w:vAlign w:val="center"/>
          </w:tcPr>
          <w:p>
            <w:pPr>
              <w:spacing w:after="0"/>
            </w:pPr>
            <w:r/>
            <w:r>
              <w:rPr>
                <w:rFonts w:ascii="Arial" w:hAnsi="Arial"/>
                <w:b w:val="0"/>
                <w:sz w:val="15"/>
              </w:rPr>
              <w:t>PASS/FAIL</w:t>
            </w:r>
          </w:p>
        </w:tc>
      </w:tr>
      <w:tr>
        <w:trPr>
          <w:cantSplit/>
        </w:trPr>
        <w:tc>
          <w:tcPr>
            <w:tcW w:type="dxa" w:w="1474"/>
            <w:vAlign w:val="center"/>
            <w:shd w:fill="F2F2F2"/>
          </w:tcPr>
          <w:p>
            <w:pPr>
              <w:spacing w:after="0"/>
            </w:pPr>
            <w:r/>
            <w:r>
              <w:rPr>
                <w:rFonts w:ascii="Arial" w:hAnsi="Arial"/>
                <w:b w:val="0"/>
                <w:sz w:val="15"/>
              </w:rPr>
              <w:t>REQ-MFG-001</w:t>
            </w:r>
          </w:p>
        </w:tc>
        <w:tc>
          <w:tcPr>
            <w:tcW w:type="dxa" w:w="2041"/>
            <w:vAlign w:val="center"/>
            <w:shd w:fill="F2F2F2"/>
          </w:tcPr>
          <w:p>
            <w:pPr>
              <w:spacing w:after="0"/>
            </w:pPr>
            <w:r/>
            <w:r>
              <w:rPr>
                <w:rFonts w:ascii="Arial" w:hAnsi="Arial"/>
                <w:b w:val="0"/>
                <w:sz w:val="15"/>
              </w:rPr>
              <w:t>Plano/WPS/proceso</w:t>
            </w:r>
          </w:p>
        </w:tc>
        <w:tc>
          <w:tcPr>
            <w:tcW w:type="dxa" w:w="2381"/>
            <w:vAlign w:val="center"/>
            <w:shd w:fill="F2F2F2"/>
          </w:tcPr>
          <w:p>
            <w:pPr>
              <w:spacing w:after="0"/>
            </w:pPr>
            <w:r/>
            <w:r>
              <w:rPr>
                <w:rFonts w:ascii="Arial" w:hAnsi="Arial"/>
                <w:b w:val="0"/>
                <w:sz w:val="15"/>
              </w:rPr>
              <w:t>Ruta MBOM</w:t>
            </w:r>
          </w:p>
        </w:tc>
        <w:tc>
          <w:tcPr>
            <w:tcW w:type="dxa" w:w="1474"/>
            <w:vAlign w:val="center"/>
            <w:shd w:fill="F2F2F2"/>
          </w:tcPr>
          <w:p>
            <w:pPr>
              <w:spacing w:after="0"/>
            </w:pPr>
            <w:r/>
            <w:r>
              <w:rPr>
                <w:rFonts w:ascii="Arial" w:hAnsi="Arial"/>
                <w:b w:val="0"/>
                <w:sz w:val="15"/>
              </w:rPr>
              <w:t>ITP-MFG-001</w:t>
            </w:r>
          </w:p>
        </w:tc>
        <w:tc>
          <w:tcPr>
            <w:tcW w:type="dxa" w:w="1474"/>
            <w:vAlign w:val="center"/>
            <w:shd w:fill="F2F2F2"/>
          </w:tcPr>
          <w:p>
            <w:pPr>
              <w:spacing w:after="0"/>
            </w:pPr>
            <w:r/>
            <w:r>
              <w:rPr>
                <w:rFonts w:ascii="Arial" w:hAnsi="Arial"/>
                <w:b w:val="0"/>
                <w:sz w:val="15"/>
              </w:rPr>
              <w:t>Registro de fábrica</w:t>
            </w:r>
          </w:p>
        </w:tc>
        <w:tc>
          <w:tcPr>
            <w:tcW w:type="dxa" w:w="1134"/>
            <w:vAlign w:val="center"/>
            <w:shd w:fill="F2F2F2"/>
          </w:tcPr>
          <w:p>
            <w:pPr>
              <w:spacing w:after="0"/>
            </w:pPr>
            <w:r/>
            <w:r>
              <w:rPr>
                <w:rFonts w:ascii="Arial" w:hAnsi="Arial"/>
                <w:b w:val="0"/>
                <w:sz w:val="15"/>
              </w:rPr>
              <w:t>PASS/FAIL</w:t>
            </w:r>
          </w:p>
        </w:tc>
      </w:tr>
      <w:tr>
        <w:trPr>
          <w:cantSplit/>
        </w:trPr>
        <w:tc>
          <w:tcPr>
            <w:tcW w:type="dxa" w:w="1474"/>
            <w:vAlign w:val="center"/>
          </w:tcPr>
          <w:p>
            <w:pPr>
              <w:spacing w:after="0"/>
            </w:pPr>
            <w:r/>
            <w:r>
              <w:rPr>
                <w:rFonts w:ascii="Arial" w:hAnsi="Arial"/>
                <w:b w:val="0"/>
                <w:sz w:val="15"/>
              </w:rPr>
              <w:t>REQ-DOC-001</w:t>
            </w:r>
          </w:p>
        </w:tc>
        <w:tc>
          <w:tcPr>
            <w:tcW w:type="dxa" w:w="2041"/>
            <w:vAlign w:val="center"/>
          </w:tcPr>
          <w:p>
            <w:pPr>
              <w:spacing w:after="0"/>
            </w:pPr>
            <w:r/>
            <w:r>
              <w:rPr>
                <w:rFonts w:ascii="Arial" w:hAnsi="Arial"/>
                <w:b w:val="0"/>
                <w:sz w:val="15"/>
              </w:rPr>
              <w:t>Contrato documental</w:t>
            </w:r>
          </w:p>
        </w:tc>
        <w:tc>
          <w:tcPr>
            <w:tcW w:type="dxa" w:w="2381"/>
            <w:vAlign w:val="center"/>
          </w:tcPr>
          <w:p>
            <w:pPr>
              <w:spacing w:after="0"/>
            </w:pPr>
            <w:r/>
            <w:r>
              <w:rPr>
                <w:rFonts w:ascii="Arial" w:hAnsi="Arial"/>
                <w:b w:val="0"/>
                <w:sz w:val="15"/>
              </w:rPr>
              <w:t>Plantilla versionada</w:t>
            </w:r>
          </w:p>
        </w:tc>
        <w:tc>
          <w:tcPr>
            <w:tcW w:type="dxa" w:w="1474"/>
            <w:vAlign w:val="center"/>
          </w:tcPr>
          <w:p>
            <w:pPr>
              <w:spacing w:after="0"/>
            </w:pPr>
            <w:r/>
            <w:r>
              <w:rPr>
                <w:rFonts w:ascii="Arial" w:hAnsi="Arial"/>
                <w:b w:val="0"/>
                <w:sz w:val="15"/>
              </w:rPr>
              <w:t>DOC-QA-001</w:t>
            </w:r>
          </w:p>
        </w:tc>
        <w:tc>
          <w:tcPr>
            <w:tcW w:type="dxa" w:w="1474"/>
            <w:vAlign w:val="center"/>
          </w:tcPr>
          <w:p>
            <w:pPr>
              <w:spacing w:after="0"/>
            </w:pPr>
            <w:r/>
            <w:r>
              <w:rPr>
                <w:rFonts w:ascii="Arial" w:hAnsi="Arial"/>
                <w:b w:val="0"/>
                <w:sz w:val="15"/>
              </w:rPr>
              <w:t>PDF firmado</w:t>
            </w:r>
          </w:p>
        </w:tc>
        <w:tc>
          <w:tcPr>
            <w:tcW w:type="dxa" w:w="1134"/>
            <w:vAlign w:val="center"/>
          </w:tcPr>
          <w:p>
            <w:pPr>
              <w:spacing w:after="0"/>
            </w:pPr>
            <w:r/>
            <w:r>
              <w:rPr>
                <w:rFonts w:ascii="Arial" w:hAnsi="Arial"/>
                <w:b w:val="0"/>
                <w:sz w:val="15"/>
              </w:rPr>
              <w:t>PASS/FAIL</w:t>
            </w:r>
          </w:p>
        </w:tc>
      </w:tr>
    </w:tbl>
    <w:p>
      <w:pPr>
        <w:spacing w:after="20"/>
      </w:pPr>
    </w:p>
    <w:p>
      <w:pPr>
        <w:pStyle w:val="SalviNote"/>
      </w:pPr>
      <w:r>
        <w:t>La matriz deberá permitir navegar en ambos sentidos: desde una cláusula hasta los casos que la prueban y desde cualquier resultado liberado hasta la cláusula y la evidencia que lo sustentan.</w:t>
      </w:r>
    </w:p>
    <w:p>
      <w:pPr>
        <w:pStyle w:val="Heading1"/>
      </w:pPr>
      <w:r>
        <w:t>5. Gobierno de la validación</w:t>
      </w:r>
    </w:p>
    <w:tbl>
      <w:tblPr>
        <w:tblStyle w:val="TableGrid"/>
        <w:tblW w:type="auto" w:w="0"/>
        <w:jc w:val="center"/>
        <w:tblLook w:firstColumn="1" w:firstRow="1" w:lastColumn="0" w:lastRow="0" w:noHBand="0" w:noVBand="1" w:val="04A0"/>
      </w:tblPr>
      <w:tblGrid>
        <w:gridCol w:w="5043"/>
        <w:gridCol w:w="5043"/>
      </w:tblGrid>
      <w:tr>
        <w:trPr>
          <w:tblHeader/>
          <w:cantSplit/>
        </w:trPr>
        <w:tc>
          <w:tcPr>
            <w:tcW w:type="dxa" w:w="2494"/>
            <w:vAlign w:val="center"/>
            <w:shd w:fill="262626"/>
          </w:tcPr>
          <w:p>
            <w:pPr>
              <w:spacing w:after="0"/>
            </w:pPr>
            <w:r/>
            <w:r>
              <w:rPr>
                <w:rFonts w:ascii="Arial" w:hAnsi="Arial"/>
                <w:b/>
                <w:color w:val="FFFFFF"/>
                <w:sz w:val="16"/>
              </w:rPr>
              <w:t>Rol</w:t>
            </w:r>
          </w:p>
        </w:tc>
        <w:tc>
          <w:tcPr>
            <w:tcW w:type="dxa" w:w="7143"/>
            <w:vAlign w:val="center"/>
            <w:shd w:fill="262626"/>
          </w:tcPr>
          <w:p>
            <w:pPr>
              <w:spacing w:after="0"/>
            </w:pPr>
            <w:r/>
            <w:r>
              <w:rPr>
                <w:rFonts w:ascii="Arial" w:hAnsi="Arial"/>
                <w:b/>
                <w:color w:val="FFFFFF"/>
                <w:sz w:val="16"/>
              </w:rPr>
              <w:t>Responsabilidades mínimas</w:t>
            </w:r>
          </w:p>
        </w:tc>
      </w:tr>
      <w:tr>
        <w:trPr>
          <w:cantSplit/>
        </w:trPr>
        <w:tc>
          <w:tcPr>
            <w:tcW w:type="dxa" w:w="2494"/>
            <w:vAlign w:val="center"/>
          </w:tcPr>
          <w:p>
            <w:pPr>
              <w:spacing w:after="0"/>
            </w:pPr>
            <w:r/>
            <w:r>
              <w:rPr>
                <w:rFonts w:ascii="Arial" w:hAnsi="Arial"/>
                <w:b w:val="0"/>
                <w:sz w:val="16"/>
              </w:rPr>
              <w:t>Propietario técnico</w:t>
            </w:r>
          </w:p>
        </w:tc>
        <w:tc>
          <w:tcPr>
            <w:tcW w:type="dxa" w:w="7143"/>
            <w:vAlign w:val="center"/>
          </w:tcPr>
          <w:p>
            <w:pPr>
              <w:spacing w:after="0"/>
            </w:pPr>
            <w:r/>
            <w:r>
              <w:rPr>
                <w:rFonts w:ascii="Arial" w:hAnsi="Arial"/>
                <w:b w:val="0"/>
                <w:sz w:val="16"/>
              </w:rPr>
              <w:t>Aprueba el dominio de validez, criterios y desviaciones.</w:t>
            </w:r>
          </w:p>
        </w:tc>
      </w:tr>
      <w:tr>
        <w:trPr>
          <w:cantSplit/>
        </w:trPr>
        <w:tc>
          <w:tcPr>
            <w:tcW w:type="dxa" w:w="2494"/>
            <w:vAlign w:val="center"/>
            <w:shd w:fill="F2F2F2"/>
          </w:tcPr>
          <w:p>
            <w:pPr>
              <w:spacing w:after="0"/>
            </w:pPr>
            <w:r/>
            <w:r>
              <w:rPr>
                <w:rFonts w:ascii="Arial" w:hAnsi="Arial"/>
                <w:b w:val="0"/>
                <w:sz w:val="16"/>
              </w:rPr>
              <w:t>Responsable V&amp;V software</w:t>
            </w:r>
          </w:p>
        </w:tc>
        <w:tc>
          <w:tcPr>
            <w:tcW w:type="dxa" w:w="7143"/>
            <w:vAlign w:val="center"/>
            <w:shd w:fill="F2F2F2"/>
          </w:tcPr>
          <w:p>
            <w:pPr>
              <w:spacing w:after="0"/>
            </w:pPr>
            <w:r/>
            <w:r>
              <w:rPr>
                <w:rFonts w:ascii="Arial" w:hAnsi="Arial"/>
                <w:b w:val="0"/>
                <w:sz w:val="16"/>
              </w:rPr>
              <w:t>Planifica y ejecuta verificación numérica, pruebas y regresión.</w:t>
            </w:r>
          </w:p>
        </w:tc>
      </w:tr>
      <w:tr>
        <w:trPr>
          <w:cantSplit/>
        </w:trPr>
        <w:tc>
          <w:tcPr>
            <w:tcW w:type="dxa" w:w="2494"/>
            <w:vAlign w:val="center"/>
          </w:tcPr>
          <w:p>
            <w:pPr>
              <w:spacing w:after="0"/>
            </w:pPr>
            <w:r/>
            <w:r>
              <w:rPr>
                <w:rFonts w:ascii="Arial" w:hAnsi="Arial"/>
                <w:b w:val="0"/>
                <w:sz w:val="16"/>
              </w:rPr>
              <w:t>Responsable de laboratorio</w:t>
            </w:r>
          </w:p>
        </w:tc>
        <w:tc>
          <w:tcPr>
            <w:tcW w:type="dxa" w:w="7143"/>
            <w:vAlign w:val="center"/>
          </w:tcPr>
          <w:p>
            <w:pPr>
              <w:spacing w:after="0"/>
            </w:pPr>
            <w:r/>
            <w:r>
              <w:rPr>
                <w:rFonts w:ascii="Arial" w:hAnsi="Arial"/>
                <w:b w:val="0"/>
                <w:sz w:val="16"/>
              </w:rPr>
              <w:t>Método de ensayo, instrumentación, calibración y datos brutos.</w:t>
            </w:r>
          </w:p>
        </w:tc>
      </w:tr>
      <w:tr>
        <w:trPr>
          <w:cantSplit/>
        </w:trPr>
        <w:tc>
          <w:tcPr>
            <w:tcW w:type="dxa" w:w="2494"/>
            <w:vAlign w:val="center"/>
            <w:shd w:fill="F2F2F2"/>
          </w:tcPr>
          <w:p>
            <w:pPr>
              <w:spacing w:after="0"/>
            </w:pPr>
            <w:r/>
            <w:r>
              <w:rPr>
                <w:rFonts w:ascii="Arial" w:hAnsi="Arial"/>
                <w:b w:val="0"/>
                <w:sz w:val="16"/>
              </w:rPr>
              <w:t>Calidad</w:t>
            </w:r>
          </w:p>
        </w:tc>
        <w:tc>
          <w:tcPr>
            <w:tcW w:type="dxa" w:w="7143"/>
            <w:vAlign w:val="center"/>
            <w:shd w:fill="F2F2F2"/>
          </w:tcPr>
          <w:p>
            <w:pPr>
              <w:spacing w:after="0"/>
            </w:pPr>
            <w:r/>
            <w:r>
              <w:rPr>
                <w:rFonts w:ascii="Arial" w:hAnsi="Arial"/>
                <w:b w:val="0"/>
                <w:sz w:val="16"/>
              </w:rPr>
              <w:t>FPC, no conformidades, CAPA, auditoría y registros.</w:t>
            </w:r>
          </w:p>
        </w:tc>
      </w:tr>
      <w:tr>
        <w:trPr>
          <w:cantSplit/>
        </w:trPr>
        <w:tc>
          <w:tcPr>
            <w:tcW w:type="dxa" w:w="2494"/>
            <w:vAlign w:val="center"/>
          </w:tcPr>
          <w:p>
            <w:pPr>
              <w:spacing w:after="0"/>
            </w:pPr>
            <w:r/>
            <w:r>
              <w:rPr>
                <w:rFonts w:ascii="Arial" w:hAnsi="Arial"/>
                <w:b w:val="0"/>
                <w:sz w:val="16"/>
              </w:rPr>
              <w:t>Industrialización</w:t>
            </w:r>
          </w:p>
        </w:tc>
        <w:tc>
          <w:tcPr>
            <w:tcW w:type="dxa" w:w="7143"/>
            <w:vAlign w:val="center"/>
          </w:tcPr>
          <w:p>
            <w:pPr>
              <w:spacing w:after="0"/>
            </w:pPr>
            <w:r/>
            <w:r>
              <w:rPr>
                <w:rFonts w:ascii="Arial" w:hAnsi="Arial"/>
                <w:b w:val="0"/>
                <w:sz w:val="16"/>
              </w:rPr>
              <w:t>Fabricabilidad, utillajes, tolerancias, montaje y prototipo.</w:t>
            </w:r>
          </w:p>
        </w:tc>
      </w:tr>
      <w:tr>
        <w:trPr>
          <w:cantSplit/>
        </w:trPr>
        <w:tc>
          <w:tcPr>
            <w:tcW w:type="dxa" w:w="2494"/>
            <w:vAlign w:val="center"/>
            <w:shd w:fill="F2F2F2"/>
          </w:tcPr>
          <w:p>
            <w:pPr>
              <w:spacing w:after="0"/>
            </w:pPr>
            <w:r/>
            <w:r>
              <w:rPr>
                <w:rFonts w:ascii="Arial" w:hAnsi="Arial"/>
                <w:b w:val="0"/>
                <w:sz w:val="16"/>
              </w:rPr>
              <w:t>IT/DevOps</w:t>
            </w:r>
          </w:p>
        </w:tc>
        <w:tc>
          <w:tcPr>
            <w:tcW w:type="dxa" w:w="7143"/>
            <w:vAlign w:val="center"/>
            <w:shd w:fill="F2F2F2"/>
          </w:tcPr>
          <w:p>
            <w:pPr>
              <w:spacing w:after="0"/>
            </w:pPr>
            <w:r/>
            <w:r>
              <w:rPr>
                <w:rFonts w:ascii="Arial" w:hAnsi="Arial"/>
                <w:b w:val="0"/>
                <w:sz w:val="16"/>
              </w:rPr>
              <w:t>Entornos reproducibles, CI/CD, seguridad, backups y observabilidad.</w:t>
            </w:r>
          </w:p>
        </w:tc>
      </w:tr>
      <w:tr>
        <w:trPr>
          <w:cantSplit/>
        </w:trPr>
        <w:tc>
          <w:tcPr>
            <w:tcW w:type="dxa" w:w="2494"/>
            <w:vAlign w:val="center"/>
          </w:tcPr>
          <w:p>
            <w:pPr>
              <w:spacing w:after="0"/>
            </w:pPr>
            <w:r/>
            <w:r>
              <w:rPr>
                <w:rFonts w:ascii="Arial" w:hAnsi="Arial"/>
                <w:b w:val="0"/>
                <w:sz w:val="16"/>
              </w:rPr>
              <w:t>Revisor independiente</w:t>
            </w:r>
          </w:p>
        </w:tc>
        <w:tc>
          <w:tcPr>
            <w:tcW w:type="dxa" w:w="7143"/>
            <w:vAlign w:val="center"/>
          </w:tcPr>
          <w:p>
            <w:pPr>
              <w:spacing w:after="0"/>
            </w:pPr>
            <w:r/>
            <w:r>
              <w:rPr>
                <w:rFonts w:ascii="Arial" w:hAnsi="Arial"/>
                <w:b w:val="0"/>
                <w:sz w:val="16"/>
              </w:rPr>
              <w:t>Comprueba metodología y resultados sin haber implementado el módulo.</w:t>
            </w:r>
          </w:p>
        </w:tc>
      </w:tr>
      <w:tr>
        <w:trPr>
          <w:cantSplit/>
        </w:trPr>
        <w:tc>
          <w:tcPr>
            <w:tcW w:type="dxa" w:w="2494"/>
            <w:vAlign w:val="center"/>
            <w:shd w:fill="F2F2F2"/>
          </w:tcPr>
          <w:p>
            <w:pPr>
              <w:spacing w:after="0"/>
            </w:pPr>
            <w:r/>
            <w:r>
              <w:rPr>
                <w:rFonts w:ascii="Arial" w:hAnsi="Arial"/>
                <w:b w:val="0"/>
                <w:sz w:val="16"/>
              </w:rPr>
              <w:t>Oficina Técnica</w:t>
            </w:r>
          </w:p>
        </w:tc>
        <w:tc>
          <w:tcPr>
            <w:tcW w:type="dxa" w:w="7143"/>
            <w:vAlign w:val="center"/>
            <w:shd w:fill="F2F2F2"/>
          </w:tcPr>
          <w:p>
            <w:pPr>
              <w:spacing w:after="0"/>
            </w:pPr>
            <w:r/>
            <w:r>
              <w:rPr>
                <w:rFonts w:ascii="Arial" w:hAnsi="Arial"/>
                <w:b w:val="0"/>
                <w:sz w:val="16"/>
              </w:rPr>
              <w:t>Autoriza uso interno, liberación final y límites.</w:t>
            </w:r>
          </w:p>
        </w:tc>
      </w:tr>
    </w:tbl>
    <w:p>
      <w:pPr>
        <w:spacing w:after="20"/>
      </w:pPr>
    </w:p>
    <w:p>
      <w:pPr>
        <w:pStyle w:val="Heading2"/>
      </w:pPr>
      <w:r>
        <w:t>5.1 Independencia mínima</w:t>
      </w:r>
    </w:p>
    <w:p>
      <w:r>
        <w:t>Quien programe una fórmula no podrá ser la única persona que la apruebe. Las reglas de criticidad alta requerirán revisión independiente, evidencia de prueba y aprobación de Oficina Técnica. En módulos de riesgo extremo se exigirá además contraste externo o ensayo.</w:t>
      </w:r>
    </w:p>
    <w:p>
      <w:r>
        <w:br w:type="page"/>
      </w:r>
    </w:p>
    <w:p>
      <w:pPr>
        <w:pStyle w:val="Heading1"/>
      </w:pPr>
      <w:r>
        <w:t>6. Plan maestro de validación</w:t>
      </w:r>
    </w:p>
    <w:p>
      <w:r>
        <w:t>Cada versión mayor del producto deberá disponer de un Validation Master Plan (VMP) congelado antes de comenzar las campañas. El VMP definirá qué se prueba, con qué referencia, en qué condiciones y qué sucede si no cumple.</w:t>
      </w:r>
    </w:p>
    <w:tbl>
      <w:tblPr>
        <w:tblStyle w:val="TableGrid"/>
        <w:tblW w:type="auto" w:w="0"/>
        <w:jc w:val="center"/>
        <w:tblLook w:firstColumn="1" w:firstRow="1" w:lastColumn="0" w:lastRow="0" w:noHBand="0" w:noVBand="1" w:val="04A0"/>
      </w:tblPr>
      <w:tblGrid>
        <w:gridCol w:w="5043"/>
        <w:gridCol w:w="5043"/>
      </w:tblGrid>
      <w:tr>
        <w:trPr>
          <w:tblHeader/>
          <w:cantSplit/>
        </w:trPr>
        <w:tc>
          <w:tcPr>
            <w:tcW w:type="dxa" w:w="2494"/>
            <w:vAlign w:val="center"/>
            <w:shd w:fill="262626"/>
          </w:tcPr>
          <w:p>
            <w:pPr>
              <w:spacing w:after="0"/>
            </w:pPr>
            <w:r/>
            <w:r>
              <w:rPr>
                <w:rFonts w:ascii="Arial" w:hAnsi="Arial"/>
                <w:b/>
                <w:color w:val="FFFFFF"/>
                <w:sz w:val="16"/>
              </w:rPr>
              <w:t>Contenido del VMP</w:t>
            </w:r>
          </w:p>
        </w:tc>
        <w:tc>
          <w:tcPr>
            <w:tcW w:type="dxa" w:w="7143"/>
            <w:vAlign w:val="center"/>
            <w:shd w:fill="262626"/>
          </w:tcPr>
          <w:p>
            <w:pPr>
              <w:spacing w:after="0"/>
            </w:pPr>
            <w:r/>
            <w:r>
              <w:rPr>
                <w:rFonts w:ascii="Arial" w:hAnsi="Arial"/>
                <w:b/>
                <w:color w:val="FFFFFF"/>
                <w:sz w:val="16"/>
              </w:rPr>
              <w:t>Requisito</w:t>
            </w:r>
          </w:p>
        </w:tc>
      </w:tr>
      <w:tr>
        <w:trPr>
          <w:cantSplit/>
        </w:trPr>
        <w:tc>
          <w:tcPr>
            <w:tcW w:type="dxa" w:w="2494"/>
            <w:vAlign w:val="center"/>
          </w:tcPr>
          <w:p>
            <w:pPr>
              <w:spacing w:after="0"/>
            </w:pPr>
            <w:r/>
            <w:r>
              <w:rPr>
                <w:rFonts w:ascii="Arial" w:hAnsi="Arial"/>
                <w:b w:val="0"/>
                <w:sz w:val="16"/>
              </w:rPr>
              <w:t>Identificación</w:t>
            </w:r>
          </w:p>
        </w:tc>
        <w:tc>
          <w:tcPr>
            <w:tcW w:type="dxa" w:w="7143"/>
            <w:vAlign w:val="center"/>
          </w:tcPr>
          <w:p>
            <w:pPr>
              <w:spacing w:after="0"/>
            </w:pPr>
            <w:r/>
            <w:r>
              <w:rPr>
                <w:rFonts w:ascii="Arial" w:hAnsi="Arial"/>
                <w:b w:val="0"/>
                <w:sz w:val="16"/>
              </w:rPr>
              <w:t>Producto, versión, commit, dataset, normas y fecha.</w:t>
            </w:r>
          </w:p>
        </w:tc>
      </w:tr>
      <w:tr>
        <w:trPr>
          <w:cantSplit/>
        </w:trPr>
        <w:tc>
          <w:tcPr>
            <w:tcW w:type="dxa" w:w="2494"/>
            <w:vAlign w:val="center"/>
            <w:shd w:fill="F2F2F2"/>
          </w:tcPr>
          <w:p>
            <w:pPr>
              <w:spacing w:after="0"/>
            </w:pPr>
            <w:r/>
            <w:r>
              <w:rPr>
                <w:rFonts w:ascii="Arial" w:hAnsi="Arial"/>
                <w:b w:val="0"/>
                <w:sz w:val="16"/>
              </w:rPr>
              <w:t>Alcance</w:t>
            </w:r>
          </w:p>
        </w:tc>
        <w:tc>
          <w:tcPr>
            <w:tcW w:type="dxa" w:w="7143"/>
            <w:vAlign w:val="center"/>
            <w:shd w:fill="F2F2F2"/>
          </w:tcPr>
          <w:p>
            <w:pPr>
              <w:spacing w:after="0"/>
            </w:pPr>
            <w:r/>
            <w:r>
              <w:rPr>
                <w:rFonts w:ascii="Arial" w:hAnsi="Arial"/>
                <w:b w:val="0"/>
                <w:sz w:val="16"/>
              </w:rPr>
              <w:t>Módulos, materiales, geometrías, acciones, países y exclusiones.</w:t>
            </w:r>
          </w:p>
        </w:tc>
      </w:tr>
      <w:tr>
        <w:trPr>
          <w:cantSplit/>
        </w:trPr>
        <w:tc>
          <w:tcPr>
            <w:tcW w:type="dxa" w:w="2494"/>
            <w:vAlign w:val="center"/>
          </w:tcPr>
          <w:p>
            <w:pPr>
              <w:spacing w:after="0"/>
            </w:pPr>
            <w:r/>
            <w:r>
              <w:rPr>
                <w:rFonts w:ascii="Arial" w:hAnsi="Arial"/>
                <w:b w:val="0"/>
                <w:sz w:val="16"/>
              </w:rPr>
              <w:t>Riesgos</w:t>
            </w:r>
          </w:p>
        </w:tc>
        <w:tc>
          <w:tcPr>
            <w:tcW w:type="dxa" w:w="7143"/>
            <w:vAlign w:val="center"/>
          </w:tcPr>
          <w:p>
            <w:pPr>
              <w:spacing w:after="0"/>
            </w:pPr>
            <w:r/>
            <w:r>
              <w:rPr>
                <w:rFonts w:ascii="Arial" w:hAnsi="Arial"/>
                <w:b w:val="0"/>
                <w:sz w:val="16"/>
              </w:rPr>
              <w:t>FMEA técnica y priorización por severidad, ocurrencia y detectabilidad.</w:t>
            </w:r>
          </w:p>
        </w:tc>
      </w:tr>
      <w:tr>
        <w:trPr>
          <w:cantSplit/>
        </w:trPr>
        <w:tc>
          <w:tcPr>
            <w:tcW w:type="dxa" w:w="2494"/>
            <w:vAlign w:val="center"/>
            <w:shd w:fill="F2F2F2"/>
          </w:tcPr>
          <w:p>
            <w:pPr>
              <w:spacing w:after="0"/>
            </w:pPr>
            <w:r/>
            <w:r>
              <w:rPr>
                <w:rFonts w:ascii="Arial" w:hAnsi="Arial"/>
                <w:b w:val="0"/>
                <w:sz w:val="16"/>
              </w:rPr>
              <w:t>Casos</w:t>
            </w:r>
          </w:p>
        </w:tc>
        <w:tc>
          <w:tcPr>
            <w:tcW w:type="dxa" w:w="7143"/>
            <w:vAlign w:val="center"/>
            <w:shd w:fill="F2F2F2"/>
          </w:tcPr>
          <w:p>
            <w:pPr>
              <w:spacing w:after="0"/>
            </w:pPr>
            <w:r/>
            <w:r>
              <w:rPr>
                <w:rFonts w:ascii="Arial" w:hAnsi="Arial"/>
                <w:b w:val="0"/>
                <w:sz w:val="16"/>
              </w:rPr>
              <w:t>Lista de pruebas, familias, prototipos, ensayos y datasets.</w:t>
            </w:r>
          </w:p>
        </w:tc>
      </w:tr>
      <w:tr>
        <w:trPr>
          <w:cantSplit/>
        </w:trPr>
        <w:tc>
          <w:tcPr>
            <w:tcW w:type="dxa" w:w="2494"/>
            <w:vAlign w:val="center"/>
          </w:tcPr>
          <w:p>
            <w:pPr>
              <w:spacing w:after="0"/>
            </w:pPr>
            <w:r/>
            <w:r>
              <w:rPr>
                <w:rFonts w:ascii="Arial" w:hAnsi="Arial"/>
                <w:b w:val="0"/>
                <w:sz w:val="16"/>
              </w:rPr>
              <w:t>Criterios</w:t>
            </w:r>
          </w:p>
        </w:tc>
        <w:tc>
          <w:tcPr>
            <w:tcW w:type="dxa" w:w="7143"/>
            <w:vAlign w:val="center"/>
          </w:tcPr>
          <w:p>
            <w:pPr>
              <w:spacing w:after="0"/>
            </w:pPr>
            <w:r/>
            <w:r>
              <w:rPr>
                <w:rFonts w:ascii="Arial" w:hAnsi="Arial"/>
                <w:b w:val="0"/>
                <w:sz w:val="16"/>
              </w:rPr>
              <w:t>Tolerancias, incertidumbre, aceptación, bloqueo y escalado.</w:t>
            </w:r>
          </w:p>
        </w:tc>
      </w:tr>
      <w:tr>
        <w:trPr>
          <w:cantSplit/>
        </w:trPr>
        <w:tc>
          <w:tcPr>
            <w:tcW w:type="dxa" w:w="2494"/>
            <w:vAlign w:val="center"/>
            <w:shd w:fill="F2F2F2"/>
          </w:tcPr>
          <w:p>
            <w:pPr>
              <w:spacing w:after="0"/>
            </w:pPr>
            <w:r/>
            <w:r>
              <w:rPr>
                <w:rFonts w:ascii="Arial" w:hAnsi="Arial"/>
                <w:b w:val="0"/>
                <w:sz w:val="16"/>
              </w:rPr>
              <w:t>Recursos</w:t>
            </w:r>
          </w:p>
        </w:tc>
        <w:tc>
          <w:tcPr>
            <w:tcW w:type="dxa" w:w="7143"/>
            <w:vAlign w:val="center"/>
            <w:shd w:fill="F2F2F2"/>
          </w:tcPr>
          <w:p>
            <w:pPr>
              <w:spacing w:after="0"/>
            </w:pPr>
            <w:r/>
            <w:r>
              <w:rPr>
                <w:rFonts w:ascii="Arial" w:hAnsi="Arial"/>
                <w:b w:val="0"/>
                <w:sz w:val="16"/>
              </w:rPr>
              <w:t>Personas, laboratorios, software, equipos y calendario.</w:t>
            </w:r>
          </w:p>
        </w:tc>
      </w:tr>
      <w:tr>
        <w:trPr>
          <w:cantSplit/>
        </w:trPr>
        <w:tc>
          <w:tcPr>
            <w:tcW w:type="dxa" w:w="2494"/>
            <w:vAlign w:val="center"/>
          </w:tcPr>
          <w:p>
            <w:pPr>
              <w:spacing w:after="0"/>
            </w:pPr>
            <w:r/>
            <w:r>
              <w:rPr>
                <w:rFonts w:ascii="Arial" w:hAnsi="Arial"/>
                <w:b w:val="0"/>
                <w:sz w:val="16"/>
              </w:rPr>
              <w:t>Evidencia</w:t>
            </w:r>
          </w:p>
        </w:tc>
        <w:tc>
          <w:tcPr>
            <w:tcW w:type="dxa" w:w="7143"/>
            <w:vAlign w:val="center"/>
          </w:tcPr>
          <w:p>
            <w:pPr>
              <w:spacing w:after="0"/>
            </w:pPr>
            <w:r/>
            <w:r>
              <w:rPr>
                <w:rFonts w:ascii="Arial" w:hAnsi="Arial"/>
                <w:b w:val="0"/>
                <w:sz w:val="16"/>
              </w:rPr>
              <w:t>Formato, firma, almacenamiento, retención y trazabilidad.</w:t>
            </w:r>
          </w:p>
        </w:tc>
      </w:tr>
      <w:tr>
        <w:trPr>
          <w:cantSplit/>
        </w:trPr>
        <w:tc>
          <w:tcPr>
            <w:tcW w:type="dxa" w:w="2494"/>
            <w:vAlign w:val="center"/>
            <w:shd w:fill="F2F2F2"/>
          </w:tcPr>
          <w:p>
            <w:pPr>
              <w:spacing w:after="0"/>
            </w:pPr>
            <w:r/>
            <w:r>
              <w:rPr>
                <w:rFonts w:ascii="Arial" w:hAnsi="Arial"/>
                <w:b w:val="0"/>
                <w:sz w:val="16"/>
              </w:rPr>
              <w:t>Cierre</w:t>
            </w:r>
          </w:p>
        </w:tc>
        <w:tc>
          <w:tcPr>
            <w:tcW w:type="dxa" w:w="7143"/>
            <w:vAlign w:val="center"/>
            <w:shd w:fill="F2F2F2"/>
          </w:tcPr>
          <w:p>
            <w:pPr>
              <w:spacing w:after="0"/>
            </w:pPr>
            <w:r/>
            <w:r>
              <w:rPr>
                <w:rFonts w:ascii="Arial" w:hAnsi="Arial"/>
                <w:b w:val="0"/>
                <w:sz w:val="16"/>
              </w:rPr>
              <w:t>Desviaciones, CAPA, cobertura, límites y aprobación.</w:t>
            </w:r>
          </w:p>
        </w:tc>
      </w:tr>
    </w:tbl>
    <w:p>
      <w:pPr>
        <w:spacing w:after="20"/>
      </w:pPr>
    </w:p>
    <w:p>
      <w:pPr>
        <w:pStyle w:val="Heading2"/>
      </w:pPr>
      <w:r>
        <w:t>6.1 Estrategia basada en riesgo</w:t>
      </w:r>
    </w:p>
    <w:tbl>
      <w:tblPr>
        <w:tblStyle w:val="TableGrid"/>
        <w:tblW w:type="auto" w:w="0"/>
        <w:jc w:val="center"/>
        <w:tblLook w:firstColumn="1" w:firstRow="1" w:lastColumn="0" w:lastRow="0" w:noHBand="0" w:noVBand="1" w:val="04A0"/>
      </w:tblPr>
      <w:tblGrid>
        <w:gridCol w:w="3362"/>
        <w:gridCol w:w="3362"/>
        <w:gridCol w:w="3362"/>
      </w:tblGrid>
      <w:tr>
        <w:trPr>
          <w:tblHeader/>
          <w:cantSplit/>
        </w:trPr>
        <w:tc>
          <w:tcPr>
            <w:tcW w:type="dxa" w:w="1247"/>
            <w:vAlign w:val="center"/>
            <w:shd w:fill="262626"/>
          </w:tcPr>
          <w:p>
            <w:pPr>
              <w:spacing w:after="0"/>
            </w:pPr>
            <w:r/>
            <w:r>
              <w:rPr>
                <w:rFonts w:ascii="Arial" w:hAnsi="Arial"/>
                <w:b/>
                <w:color w:val="FFFFFF"/>
                <w:sz w:val="16"/>
              </w:rPr>
              <w:t>Criticidad</w:t>
            </w:r>
          </w:p>
        </w:tc>
        <w:tc>
          <w:tcPr>
            <w:tcW w:type="dxa" w:w="4082"/>
            <w:vAlign w:val="center"/>
            <w:shd w:fill="262626"/>
          </w:tcPr>
          <w:p>
            <w:pPr>
              <w:spacing w:after="0"/>
            </w:pPr>
            <w:r/>
            <w:r>
              <w:rPr>
                <w:rFonts w:ascii="Arial" w:hAnsi="Arial"/>
                <w:b/>
                <w:color w:val="FFFFFF"/>
                <w:sz w:val="16"/>
              </w:rPr>
              <w:t>Ejemplos</w:t>
            </w:r>
          </w:p>
        </w:tc>
        <w:tc>
          <w:tcPr>
            <w:tcW w:type="dxa" w:w="4309"/>
            <w:vAlign w:val="center"/>
            <w:shd w:fill="262626"/>
          </w:tcPr>
          <w:p>
            <w:pPr>
              <w:spacing w:after="0"/>
            </w:pPr>
            <w:r/>
            <w:r>
              <w:rPr>
                <w:rFonts w:ascii="Arial" w:hAnsi="Arial"/>
                <w:b/>
                <w:color w:val="FFFFFF"/>
                <w:sz w:val="16"/>
              </w:rPr>
              <w:t>Evidencia mínima</w:t>
            </w:r>
          </w:p>
        </w:tc>
      </w:tr>
      <w:tr>
        <w:trPr>
          <w:cantSplit/>
        </w:trPr>
        <w:tc>
          <w:tcPr>
            <w:tcW w:type="dxa" w:w="1247"/>
            <w:vAlign w:val="center"/>
          </w:tcPr>
          <w:p>
            <w:pPr>
              <w:spacing w:after="0"/>
            </w:pPr>
            <w:r/>
            <w:r>
              <w:rPr>
                <w:rFonts w:ascii="Arial" w:hAnsi="Arial"/>
                <w:b w:val="0"/>
                <w:sz w:val="16"/>
              </w:rPr>
              <w:t>C1 baja</w:t>
            </w:r>
          </w:p>
        </w:tc>
        <w:tc>
          <w:tcPr>
            <w:tcW w:type="dxa" w:w="4082"/>
            <w:vAlign w:val="center"/>
          </w:tcPr>
          <w:p>
            <w:pPr>
              <w:spacing w:after="0"/>
            </w:pPr>
            <w:r/>
            <w:r>
              <w:rPr>
                <w:rFonts w:ascii="Arial" w:hAnsi="Arial"/>
                <w:b w:val="0"/>
                <w:sz w:val="16"/>
              </w:rPr>
              <w:t>Formato, visualización, campos no técnicos.</w:t>
            </w:r>
          </w:p>
        </w:tc>
        <w:tc>
          <w:tcPr>
            <w:tcW w:type="dxa" w:w="4309"/>
            <w:vAlign w:val="center"/>
          </w:tcPr>
          <w:p>
            <w:pPr>
              <w:spacing w:after="0"/>
            </w:pPr>
            <w:r/>
            <w:r>
              <w:rPr>
                <w:rFonts w:ascii="Arial" w:hAnsi="Arial"/>
                <w:b w:val="0"/>
                <w:sz w:val="16"/>
              </w:rPr>
              <w:t>E1 + regresión.</w:t>
            </w:r>
          </w:p>
        </w:tc>
      </w:tr>
      <w:tr>
        <w:trPr>
          <w:cantSplit/>
        </w:trPr>
        <w:tc>
          <w:tcPr>
            <w:tcW w:type="dxa" w:w="1247"/>
            <w:vAlign w:val="center"/>
            <w:shd w:fill="F2F2F2"/>
          </w:tcPr>
          <w:p>
            <w:pPr>
              <w:spacing w:after="0"/>
            </w:pPr>
            <w:r/>
            <w:r>
              <w:rPr>
                <w:rFonts w:ascii="Arial" w:hAnsi="Arial"/>
                <w:b w:val="0"/>
                <w:sz w:val="16"/>
              </w:rPr>
              <w:t>C2 media</w:t>
            </w:r>
          </w:p>
        </w:tc>
        <w:tc>
          <w:tcPr>
            <w:tcW w:type="dxa" w:w="4082"/>
            <w:vAlign w:val="center"/>
            <w:shd w:fill="F2F2F2"/>
          </w:tcPr>
          <w:p>
            <w:pPr>
              <w:spacing w:after="0"/>
            </w:pPr>
            <w:r/>
            <w:r>
              <w:rPr>
                <w:rFonts w:ascii="Arial" w:hAnsi="Arial"/>
                <w:b w:val="0"/>
                <w:sz w:val="16"/>
              </w:rPr>
              <w:t>BOM, costes, geometría no resistente.</w:t>
            </w:r>
          </w:p>
        </w:tc>
        <w:tc>
          <w:tcPr>
            <w:tcW w:type="dxa" w:w="4309"/>
            <w:vAlign w:val="center"/>
            <w:shd w:fill="F2F2F2"/>
          </w:tcPr>
          <w:p>
            <w:pPr>
              <w:spacing w:after="0"/>
            </w:pPr>
            <w:r/>
            <w:r>
              <w:rPr>
                <w:rFonts w:ascii="Arial" w:hAnsi="Arial"/>
                <w:b w:val="0"/>
                <w:sz w:val="16"/>
              </w:rPr>
              <w:t>E2 + validación cruzada.</w:t>
            </w:r>
          </w:p>
        </w:tc>
      </w:tr>
      <w:tr>
        <w:trPr>
          <w:cantSplit/>
        </w:trPr>
        <w:tc>
          <w:tcPr>
            <w:tcW w:type="dxa" w:w="1247"/>
            <w:vAlign w:val="center"/>
          </w:tcPr>
          <w:p>
            <w:pPr>
              <w:spacing w:after="0"/>
            </w:pPr>
            <w:r/>
            <w:r>
              <w:rPr>
                <w:rFonts w:ascii="Arial" w:hAnsi="Arial"/>
                <w:b w:val="0"/>
                <w:sz w:val="16"/>
              </w:rPr>
              <w:t>C3 alta</w:t>
            </w:r>
          </w:p>
        </w:tc>
        <w:tc>
          <w:tcPr>
            <w:tcW w:type="dxa" w:w="4082"/>
            <w:vAlign w:val="center"/>
          </w:tcPr>
          <w:p>
            <w:pPr>
              <w:spacing w:after="0"/>
            </w:pPr>
            <w:r/>
            <w:r>
              <w:rPr>
                <w:rFonts w:ascii="Arial" w:hAnsi="Arial"/>
                <w:b w:val="0"/>
                <w:sz w:val="16"/>
              </w:rPr>
              <w:t>Acciones, propiedades, verificaciones locales.</w:t>
            </w:r>
          </w:p>
        </w:tc>
        <w:tc>
          <w:tcPr>
            <w:tcW w:type="dxa" w:w="4309"/>
            <w:vAlign w:val="center"/>
          </w:tcPr>
          <w:p>
            <w:pPr>
              <w:spacing w:after="0"/>
            </w:pPr>
            <w:r/>
            <w:r>
              <w:rPr>
                <w:rFonts w:ascii="Arial" w:hAnsi="Arial"/>
                <w:b w:val="0"/>
                <w:sz w:val="16"/>
              </w:rPr>
              <w:t>E2/E3 + revisión independiente.</w:t>
            </w:r>
          </w:p>
        </w:tc>
      </w:tr>
      <w:tr>
        <w:trPr>
          <w:cantSplit/>
        </w:trPr>
        <w:tc>
          <w:tcPr>
            <w:tcW w:type="dxa" w:w="1247"/>
            <w:vAlign w:val="center"/>
            <w:shd w:fill="F2F2F2"/>
          </w:tcPr>
          <w:p>
            <w:pPr>
              <w:spacing w:after="0"/>
            </w:pPr>
            <w:r/>
            <w:r>
              <w:rPr>
                <w:rFonts w:ascii="Arial" w:hAnsi="Arial"/>
                <w:b w:val="0"/>
                <w:sz w:val="16"/>
              </w:rPr>
              <w:t>C4 muy alta</w:t>
            </w:r>
          </w:p>
        </w:tc>
        <w:tc>
          <w:tcPr>
            <w:tcW w:type="dxa" w:w="4082"/>
            <w:vAlign w:val="center"/>
            <w:shd w:fill="F2F2F2"/>
          </w:tcPr>
          <w:p>
            <w:pPr>
              <w:spacing w:after="0"/>
            </w:pPr>
            <w:r/>
            <w:r>
              <w:rPr>
                <w:rFonts w:ascii="Arial" w:hAnsi="Arial"/>
                <w:b w:val="0"/>
                <w:sz w:val="16"/>
              </w:rPr>
              <w:t>Solver global, estabilidad, fatiga, base, cimentación.</w:t>
            </w:r>
          </w:p>
        </w:tc>
        <w:tc>
          <w:tcPr>
            <w:tcW w:type="dxa" w:w="4309"/>
            <w:vAlign w:val="center"/>
            <w:shd w:fill="F2F2F2"/>
          </w:tcPr>
          <w:p>
            <w:pPr>
              <w:spacing w:after="0"/>
            </w:pPr>
            <w:r/>
            <w:r>
              <w:rPr>
                <w:rFonts w:ascii="Arial" w:hAnsi="Arial"/>
                <w:b w:val="0"/>
                <w:sz w:val="16"/>
              </w:rPr>
              <w:t>E3/E4 + ensayos representativos.</w:t>
            </w:r>
          </w:p>
        </w:tc>
      </w:tr>
      <w:tr>
        <w:trPr>
          <w:cantSplit/>
        </w:trPr>
        <w:tc>
          <w:tcPr>
            <w:tcW w:type="dxa" w:w="1247"/>
            <w:vAlign w:val="center"/>
          </w:tcPr>
          <w:p>
            <w:pPr>
              <w:spacing w:after="0"/>
            </w:pPr>
            <w:r/>
            <w:r>
              <w:rPr>
                <w:rFonts w:ascii="Arial" w:hAnsi="Arial"/>
                <w:b w:val="0"/>
                <w:sz w:val="16"/>
              </w:rPr>
              <w:t>C5 extrema</w:t>
            </w:r>
          </w:p>
        </w:tc>
        <w:tc>
          <w:tcPr>
            <w:tcW w:type="dxa" w:w="4082"/>
            <w:vAlign w:val="center"/>
          </w:tcPr>
          <w:p>
            <w:pPr>
              <w:spacing w:after="0"/>
            </w:pPr>
            <w:r/>
            <w:r>
              <w:rPr>
                <w:rFonts w:ascii="Arial" w:hAnsi="Arial"/>
                <w:b w:val="0"/>
                <w:sz w:val="16"/>
              </w:rPr>
              <w:t>Ruta normativa, liberación, certificación, cambios de fórmula.</w:t>
            </w:r>
          </w:p>
        </w:tc>
        <w:tc>
          <w:tcPr>
            <w:tcW w:type="dxa" w:w="4309"/>
            <w:vAlign w:val="center"/>
          </w:tcPr>
          <w:p>
            <w:pPr>
              <w:spacing w:after="0"/>
            </w:pPr>
            <w:r/>
            <w:r>
              <w:rPr>
                <w:rFonts w:ascii="Arial" w:hAnsi="Arial"/>
                <w:b w:val="0"/>
                <w:sz w:val="16"/>
              </w:rPr>
              <w:t>E4/E5 + aprobación formal.</w:t>
            </w:r>
          </w:p>
        </w:tc>
      </w:tr>
    </w:tbl>
    <w:p>
      <w:pPr>
        <w:spacing w:after="20"/>
      </w:pPr>
    </w:p>
    <w:p>
      <w:pPr>
        <w:pStyle w:val="Heading1"/>
      </w:pPr>
      <w:r>
        <w:t>7. Verificación del software y del modelo numérico</w:t>
      </w:r>
    </w:p>
    <w:p>
      <w:pPr>
        <w:pStyle w:val="Heading2"/>
      </w:pPr>
      <w:r>
        <w:t>7.1 Pruebas elementales</w:t>
      </w:r>
    </w:p>
    <w:p>
      <w:pPr>
        <w:pStyle w:val="ListBullet"/>
        <w:spacing w:after="40"/>
      </w:pPr>
      <w:r>
        <w:t>Unidades SI e imperiales, redondeos, conversiones y persistencia.</w:t>
      </w:r>
    </w:p>
    <w:p>
      <w:pPr>
        <w:pStyle w:val="ListBullet"/>
        <w:spacing w:after="40"/>
      </w:pPr>
      <w:r>
        <w:t>Transformaciones de coordenadas, ejes locales, azimuts, inclinaciones y signos.</w:t>
      </w:r>
    </w:p>
    <w:p>
      <w:pPr>
        <w:pStyle w:val="ListBullet"/>
        <w:spacing w:after="40"/>
      </w:pPr>
      <w:r>
        <w:t>Propiedades de secciones circulares, poligonales, huecas, compuestas y efectivas.</w:t>
      </w:r>
    </w:p>
    <w:p>
      <w:pPr>
        <w:pStyle w:val="ListBullet"/>
        <w:spacing w:after="40"/>
      </w:pPr>
      <w:r>
        <w:t>Cargas nodales, distribuidas, excéntricas y equivalentes.</w:t>
      </w:r>
    </w:p>
    <w:p>
      <w:pPr>
        <w:pStyle w:val="ListBullet"/>
        <w:spacing w:after="40"/>
      </w:pPr>
      <w:r>
        <w:t>Matrices de rigidez, masa, transformaciones y ensamblaje.</w:t>
      </w:r>
    </w:p>
    <w:p>
      <w:pPr>
        <w:pStyle w:val="ListBullet"/>
        <w:spacing w:after="40"/>
      </w:pPr>
      <w:r>
        <w:t>Solvers lineales, no lineales, autovalores y control de convergencia.</w:t>
      </w:r>
    </w:p>
    <w:p>
      <w:pPr>
        <w:pStyle w:val="ListBullet"/>
        <w:spacing w:after="40"/>
      </w:pPr>
      <w:r>
        <w:t>Interpolaciones de tablas, curvas y superficies normativas.</w:t>
      </w:r>
    </w:p>
    <w:p>
      <w:pPr>
        <w:pStyle w:val="ListBullet"/>
        <w:spacing w:after="40"/>
      </w:pPr>
      <w:r>
        <w:t>Detección de dominio, extrapolación prohibida y fallo seguro.</w:t>
      </w:r>
    </w:p>
    <w:p>
      <w:pPr>
        <w:pStyle w:val="Heading2"/>
      </w:pPr>
      <w:r>
        <w:t>7.2 Casos analíticos obligatorios</w:t>
      </w:r>
    </w:p>
    <w:tbl>
      <w:tblPr>
        <w:tblStyle w:val="TableGrid"/>
        <w:tblW w:type="auto" w:w="0"/>
        <w:jc w:val="center"/>
        <w:tblLook w:firstColumn="1" w:firstRow="1" w:lastColumn="0" w:lastRow="0" w:noHBand="0" w:noVBand="1" w:val="04A0"/>
      </w:tblPr>
      <w:tblGrid>
        <w:gridCol w:w="5043"/>
        <w:gridCol w:w="5043"/>
      </w:tblGrid>
      <w:tr>
        <w:trPr>
          <w:tblHeader/>
          <w:cantSplit/>
        </w:trPr>
        <w:tc>
          <w:tcPr>
            <w:tcW w:type="dxa" w:w="3288"/>
            <w:vAlign w:val="center"/>
            <w:shd w:fill="262626"/>
          </w:tcPr>
          <w:p>
            <w:pPr>
              <w:spacing w:after="0"/>
            </w:pPr>
            <w:r/>
            <w:r>
              <w:rPr>
                <w:rFonts w:ascii="Arial" w:hAnsi="Arial"/>
                <w:b/>
                <w:color w:val="FFFFFF"/>
                <w:sz w:val="16"/>
              </w:rPr>
              <w:t>Caso</w:t>
            </w:r>
          </w:p>
        </w:tc>
        <w:tc>
          <w:tcPr>
            <w:tcW w:type="dxa" w:w="6350"/>
            <w:vAlign w:val="center"/>
            <w:shd w:fill="262626"/>
          </w:tcPr>
          <w:p>
            <w:pPr>
              <w:spacing w:after="0"/>
            </w:pPr>
            <w:r/>
            <w:r>
              <w:rPr>
                <w:rFonts w:ascii="Arial" w:hAnsi="Arial"/>
                <w:b/>
                <w:color w:val="FFFFFF"/>
                <w:sz w:val="16"/>
              </w:rPr>
              <w:t>Resultado de referencia</w:t>
            </w:r>
          </w:p>
        </w:tc>
      </w:tr>
      <w:tr>
        <w:trPr>
          <w:cantSplit/>
        </w:trPr>
        <w:tc>
          <w:tcPr>
            <w:tcW w:type="dxa" w:w="3288"/>
            <w:vAlign w:val="center"/>
          </w:tcPr>
          <w:p>
            <w:pPr>
              <w:spacing w:after="0"/>
            </w:pPr>
            <w:r/>
            <w:r>
              <w:rPr>
                <w:rFonts w:ascii="Arial" w:hAnsi="Arial"/>
                <w:b w:val="0"/>
                <w:sz w:val="16"/>
              </w:rPr>
              <w:t>Voladizo con fuerza puntual</w:t>
            </w:r>
          </w:p>
        </w:tc>
        <w:tc>
          <w:tcPr>
            <w:tcW w:type="dxa" w:w="6350"/>
            <w:vAlign w:val="center"/>
          </w:tcPr>
          <w:p>
            <w:pPr>
              <w:spacing w:after="0"/>
            </w:pPr>
            <w:r/>
            <w:r>
              <w:rPr>
                <w:rFonts w:ascii="Arial" w:hAnsi="Arial"/>
                <w:b w:val="0"/>
                <w:sz w:val="16"/>
              </w:rPr>
              <w:t>Desplazamiento, giro, cortante y momento cerrados.</w:t>
            </w:r>
          </w:p>
        </w:tc>
      </w:tr>
      <w:tr>
        <w:trPr>
          <w:cantSplit/>
        </w:trPr>
        <w:tc>
          <w:tcPr>
            <w:tcW w:type="dxa" w:w="3288"/>
            <w:vAlign w:val="center"/>
            <w:shd w:fill="F2F2F2"/>
          </w:tcPr>
          <w:p>
            <w:pPr>
              <w:spacing w:after="0"/>
            </w:pPr>
            <w:r/>
            <w:r>
              <w:rPr>
                <w:rFonts w:ascii="Arial" w:hAnsi="Arial"/>
                <w:b w:val="0"/>
                <w:sz w:val="16"/>
              </w:rPr>
              <w:t>Voladizo con carga uniforme</w:t>
            </w:r>
          </w:p>
        </w:tc>
        <w:tc>
          <w:tcPr>
            <w:tcW w:type="dxa" w:w="6350"/>
            <w:vAlign w:val="center"/>
            <w:shd w:fill="F2F2F2"/>
          </w:tcPr>
          <w:p>
            <w:pPr>
              <w:spacing w:after="0"/>
            </w:pPr>
            <w:r/>
            <w:r>
              <w:rPr>
                <w:rFonts w:ascii="Arial" w:hAnsi="Arial"/>
                <w:b w:val="0"/>
                <w:sz w:val="16"/>
              </w:rPr>
              <w:t>Diagramas y flecha analítica.</w:t>
            </w:r>
          </w:p>
        </w:tc>
      </w:tr>
      <w:tr>
        <w:trPr>
          <w:cantSplit/>
        </w:trPr>
        <w:tc>
          <w:tcPr>
            <w:tcW w:type="dxa" w:w="3288"/>
            <w:vAlign w:val="center"/>
          </w:tcPr>
          <w:p>
            <w:pPr>
              <w:spacing w:after="0"/>
            </w:pPr>
            <w:r/>
            <w:r>
              <w:rPr>
                <w:rFonts w:ascii="Arial" w:hAnsi="Arial"/>
                <w:b w:val="0"/>
                <w:sz w:val="16"/>
              </w:rPr>
              <w:t>Barra a axil</w:t>
            </w:r>
          </w:p>
        </w:tc>
        <w:tc>
          <w:tcPr>
            <w:tcW w:type="dxa" w:w="6350"/>
            <w:vAlign w:val="center"/>
          </w:tcPr>
          <w:p>
            <w:pPr>
              <w:spacing w:after="0"/>
            </w:pPr>
            <w:r/>
            <w:r>
              <w:rPr>
                <w:rFonts w:ascii="Arial" w:hAnsi="Arial"/>
                <w:b w:val="0"/>
                <w:sz w:val="16"/>
              </w:rPr>
              <w:t>Deformación y energía.</w:t>
            </w:r>
          </w:p>
        </w:tc>
      </w:tr>
      <w:tr>
        <w:trPr>
          <w:cantSplit/>
        </w:trPr>
        <w:tc>
          <w:tcPr>
            <w:tcW w:type="dxa" w:w="3288"/>
            <w:vAlign w:val="center"/>
            <w:shd w:fill="F2F2F2"/>
          </w:tcPr>
          <w:p>
            <w:pPr>
              <w:spacing w:after="0"/>
            </w:pPr>
            <w:r/>
            <w:r>
              <w:rPr>
                <w:rFonts w:ascii="Arial" w:hAnsi="Arial"/>
                <w:b w:val="0"/>
                <w:sz w:val="16"/>
              </w:rPr>
              <w:t>Torsión uniforme</w:t>
            </w:r>
          </w:p>
        </w:tc>
        <w:tc>
          <w:tcPr>
            <w:tcW w:type="dxa" w:w="6350"/>
            <w:vAlign w:val="center"/>
            <w:shd w:fill="F2F2F2"/>
          </w:tcPr>
          <w:p>
            <w:pPr>
              <w:spacing w:after="0"/>
            </w:pPr>
            <w:r/>
            <w:r>
              <w:rPr>
                <w:rFonts w:ascii="Arial" w:hAnsi="Arial"/>
                <w:b w:val="0"/>
                <w:sz w:val="16"/>
              </w:rPr>
              <w:t>Giro y tensión de referencia.</w:t>
            </w:r>
          </w:p>
        </w:tc>
      </w:tr>
      <w:tr>
        <w:trPr>
          <w:cantSplit/>
        </w:trPr>
        <w:tc>
          <w:tcPr>
            <w:tcW w:type="dxa" w:w="3288"/>
            <w:vAlign w:val="center"/>
          </w:tcPr>
          <w:p>
            <w:pPr>
              <w:spacing w:after="0"/>
            </w:pPr>
            <w:r/>
            <w:r>
              <w:rPr>
                <w:rFonts w:ascii="Arial" w:hAnsi="Arial"/>
                <w:b w:val="0"/>
                <w:sz w:val="16"/>
              </w:rPr>
              <w:t>Pandeo Euler</w:t>
            </w:r>
          </w:p>
        </w:tc>
        <w:tc>
          <w:tcPr>
            <w:tcW w:type="dxa" w:w="6350"/>
            <w:vAlign w:val="center"/>
          </w:tcPr>
          <w:p>
            <w:pPr>
              <w:spacing w:after="0"/>
            </w:pPr>
            <w:r/>
            <w:r>
              <w:rPr>
                <w:rFonts w:ascii="Arial" w:hAnsi="Arial"/>
                <w:b w:val="0"/>
                <w:sz w:val="16"/>
              </w:rPr>
              <w:t>Carga crítica y forma modal.</w:t>
            </w:r>
          </w:p>
        </w:tc>
      </w:tr>
      <w:tr>
        <w:trPr>
          <w:cantSplit/>
        </w:trPr>
        <w:tc>
          <w:tcPr>
            <w:tcW w:type="dxa" w:w="3288"/>
            <w:vAlign w:val="center"/>
            <w:shd w:fill="F2F2F2"/>
          </w:tcPr>
          <w:p>
            <w:pPr>
              <w:spacing w:after="0"/>
            </w:pPr>
            <w:r/>
            <w:r>
              <w:rPr>
                <w:rFonts w:ascii="Arial" w:hAnsi="Arial"/>
                <w:b w:val="0"/>
                <w:sz w:val="16"/>
              </w:rPr>
              <w:t>Marco espacial simple</w:t>
            </w:r>
          </w:p>
        </w:tc>
        <w:tc>
          <w:tcPr>
            <w:tcW w:type="dxa" w:w="6350"/>
            <w:vAlign w:val="center"/>
            <w:shd w:fill="F2F2F2"/>
          </w:tcPr>
          <w:p>
            <w:pPr>
              <w:spacing w:after="0"/>
            </w:pPr>
            <w:r/>
            <w:r>
              <w:rPr>
                <w:rFonts w:ascii="Arial" w:hAnsi="Arial"/>
                <w:b w:val="0"/>
                <w:sz w:val="16"/>
              </w:rPr>
              <w:t>Reacciones y desplazamientos por simetría.</w:t>
            </w:r>
          </w:p>
        </w:tc>
      </w:tr>
      <w:tr>
        <w:trPr>
          <w:cantSplit/>
        </w:trPr>
        <w:tc>
          <w:tcPr>
            <w:tcW w:type="dxa" w:w="3288"/>
            <w:vAlign w:val="center"/>
          </w:tcPr>
          <w:p>
            <w:pPr>
              <w:spacing w:after="0"/>
            </w:pPr>
            <w:r/>
            <w:r>
              <w:rPr>
                <w:rFonts w:ascii="Arial" w:hAnsi="Arial"/>
                <w:b w:val="0"/>
                <w:sz w:val="16"/>
              </w:rPr>
              <w:t>Cable parabólico/catenaria ideal</w:t>
            </w:r>
          </w:p>
        </w:tc>
        <w:tc>
          <w:tcPr>
            <w:tcW w:type="dxa" w:w="6350"/>
            <w:vAlign w:val="center"/>
          </w:tcPr>
          <w:p>
            <w:pPr>
              <w:spacing w:after="0"/>
            </w:pPr>
            <w:r/>
            <w:r>
              <w:rPr>
                <w:rFonts w:ascii="Arial" w:hAnsi="Arial"/>
                <w:b w:val="0"/>
                <w:sz w:val="16"/>
              </w:rPr>
              <w:t>Flecha y componente horizontal en dominio aplicable.</w:t>
            </w:r>
          </w:p>
        </w:tc>
      </w:tr>
      <w:tr>
        <w:trPr>
          <w:cantSplit/>
        </w:trPr>
        <w:tc>
          <w:tcPr>
            <w:tcW w:type="dxa" w:w="3288"/>
            <w:vAlign w:val="center"/>
            <w:shd w:fill="F2F2F2"/>
          </w:tcPr>
          <w:p>
            <w:pPr>
              <w:spacing w:after="0"/>
            </w:pPr>
            <w:r/>
            <w:r>
              <w:rPr>
                <w:rFonts w:ascii="Arial" w:hAnsi="Arial"/>
                <w:b w:val="0"/>
                <w:sz w:val="16"/>
              </w:rPr>
              <w:t>Placa/base simplificada</w:t>
            </w:r>
          </w:p>
        </w:tc>
        <w:tc>
          <w:tcPr>
            <w:tcW w:type="dxa" w:w="6350"/>
            <w:vAlign w:val="center"/>
            <w:shd w:fill="F2F2F2"/>
          </w:tcPr>
          <w:p>
            <w:pPr>
              <w:spacing w:after="0"/>
            </w:pPr>
            <w:r/>
            <w:r>
              <w:rPr>
                <w:rFonts w:ascii="Arial" w:hAnsi="Arial"/>
                <w:b w:val="0"/>
                <w:sz w:val="16"/>
              </w:rPr>
              <w:t>Equilibrio de contacto y pernos con solución conocida.</w:t>
            </w:r>
          </w:p>
        </w:tc>
      </w:tr>
    </w:tbl>
    <w:p>
      <w:pPr>
        <w:spacing w:after="20"/>
      </w:pPr>
    </w:p>
    <w:p>
      <w:pPr>
        <w:pStyle w:val="Heading2"/>
      </w:pPr>
      <w:r>
        <w:t>7.3 Métricas numéricas</w:t>
      </w:r>
    </w:p>
    <w:p>
      <w:r>
        <w:t>Para una magnitud y con referencia y_ref, el error relativo se registrará como:</w:t>
      </w:r>
    </w:p>
    <w:p>
      <w:pPr>
        <w:pStyle w:val="SalviCode"/>
      </w:pPr>
      <w:r>
        <w:t>e_rel = |y_calc - y_ref| / max(|y_ref|, y_floor)</w:t>
      </w:r>
    </w:p>
    <w:p>
      <w:r>
        <w:t>El valor y_floor evita divisiones inestables cerca de cero y deberá definirse por magnitud. También se registrarán error absoluto, sesgo, RMSE, error máximo y percentiles. Las tolerancias serán específicas por prueba y no un único porcentaje global.</w:t>
      </w:r>
    </w:p>
    <w:p>
      <w:pPr>
        <w:pStyle w:val="Heading2"/>
      </w:pPr>
      <w:r>
        <w:t>7.4 Controles invariantes</w:t>
      </w:r>
    </w:p>
    <w:p>
      <w:pPr>
        <w:pStyle w:val="ListBullet"/>
        <w:spacing w:after="40"/>
      </w:pPr>
      <w:r>
        <w:t>Equilibrio global de fuerzas y momentos.</w:t>
      </w:r>
    </w:p>
    <w:p>
      <w:pPr>
        <w:pStyle w:val="ListBullet"/>
        <w:spacing w:after="40"/>
      </w:pPr>
      <w:r>
        <w:t>Simetría y positividad cuando corresponda.</w:t>
      </w:r>
    </w:p>
    <w:p>
      <w:pPr>
        <w:pStyle w:val="ListBullet"/>
        <w:spacing w:after="40"/>
      </w:pPr>
      <w:r>
        <w:t>Conservación de energía en casos elásticos.</w:t>
      </w:r>
    </w:p>
    <w:p>
      <w:pPr>
        <w:pStyle w:val="ListBullet"/>
        <w:spacing w:after="40"/>
      </w:pPr>
      <w:r>
        <w:t>Objetividad frente a traslación o rotación rígida.</w:t>
      </w:r>
    </w:p>
    <w:p>
      <w:pPr>
        <w:pStyle w:val="ListBullet"/>
        <w:spacing w:after="40"/>
      </w:pPr>
      <w:r>
        <w:t>Reciprocidad de Maxwell-Betti en casos lineales.</w:t>
      </w:r>
    </w:p>
    <w:p>
      <w:pPr>
        <w:pStyle w:val="ListBullet"/>
        <w:spacing w:after="40"/>
      </w:pPr>
      <w:r>
        <w:t>Convergencia de malla y de integración.</w:t>
      </w:r>
    </w:p>
    <w:p>
      <w:pPr>
        <w:pStyle w:val="ListBullet"/>
        <w:spacing w:after="40"/>
      </w:pPr>
      <w:r>
        <w:t>Repetibilidad bit a bit o tolerancia numérica documentada.</w:t>
      </w:r>
    </w:p>
    <w:p>
      <w:pPr>
        <w:pStyle w:val="ListBullet"/>
        <w:spacing w:after="40"/>
      </w:pPr>
      <w:r>
        <w:t>Ausencia de NaN, infinitos, overflow y resultados silenciosamente truncados.</w:t>
      </w:r>
    </w:p>
    <w:p>
      <w:r>
        <w:br w:type="page"/>
      </w:r>
    </w:p>
    <w:p>
      <w:pPr>
        <w:pStyle w:val="Heading1"/>
      </w:pPr>
      <w:r>
        <w:t>8. Validación independiente y comparación externa</w:t>
      </w:r>
    </w:p>
    <w:p>
      <w:r>
        <w:t>Los módulos críticos se contrastarán con al menos dos referencias independientes siempre que sea razonablemente posible. La independencia significa diferente implementación o fundamento, no ejecutar dos veces el mismo código con distinta interfaz.</w:t>
      </w:r>
    </w:p>
    <w:tbl>
      <w:tblPr>
        <w:tblStyle w:val="TableGrid"/>
        <w:tblW w:type="auto" w:w="0"/>
        <w:jc w:val="center"/>
        <w:tblLook w:firstColumn="1" w:firstRow="1" w:lastColumn="0" w:lastRow="0" w:noHBand="0" w:noVBand="1" w:val="04A0"/>
      </w:tblPr>
      <w:tblGrid>
        <w:gridCol w:w="3362"/>
        <w:gridCol w:w="3362"/>
        <w:gridCol w:w="3362"/>
      </w:tblGrid>
      <w:tr>
        <w:trPr>
          <w:tblHeader/>
          <w:cantSplit/>
        </w:trPr>
        <w:tc>
          <w:tcPr>
            <w:tcW w:type="dxa" w:w="2268"/>
            <w:vAlign w:val="center"/>
            <w:shd w:fill="262626"/>
          </w:tcPr>
          <w:p>
            <w:pPr>
              <w:spacing w:after="0"/>
            </w:pPr>
            <w:r/>
            <w:r>
              <w:rPr>
                <w:rFonts w:ascii="Arial" w:hAnsi="Arial"/>
                <w:b/>
                <w:color w:val="FFFFFF"/>
                <w:sz w:val="16"/>
              </w:rPr>
              <w:t>Referencia</w:t>
            </w:r>
          </w:p>
        </w:tc>
        <w:tc>
          <w:tcPr>
            <w:tcW w:type="dxa" w:w="3855"/>
            <w:vAlign w:val="center"/>
            <w:shd w:fill="262626"/>
          </w:tcPr>
          <w:p>
            <w:pPr>
              <w:spacing w:after="0"/>
            </w:pPr>
            <w:r/>
            <w:r>
              <w:rPr>
                <w:rFonts w:ascii="Arial" w:hAnsi="Arial"/>
                <w:b/>
                <w:color w:val="FFFFFF"/>
                <w:sz w:val="16"/>
              </w:rPr>
              <w:t>Uso</w:t>
            </w:r>
          </w:p>
        </w:tc>
        <w:tc>
          <w:tcPr>
            <w:tcW w:type="dxa" w:w="3515"/>
            <w:vAlign w:val="center"/>
            <w:shd w:fill="262626"/>
          </w:tcPr>
          <w:p>
            <w:pPr>
              <w:spacing w:after="0"/>
            </w:pPr>
            <w:r/>
            <w:r>
              <w:rPr>
                <w:rFonts w:ascii="Arial" w:hAnsi="Arial"/>
                <w:b/>
                <w:color w:val="FFFFFF"/>
                <w:sz w:val="16"/>
              </w:rPr>
              <w:t>Condiciones</w:t>
            </w:r>
          </w:p>
        </w:tc>
      </w:tr>
      <w:tr>
        <w:trPr>
          <w:cantSplit/>
        </w:trPr>
        <w:tc>
          <w:tcPr>
            <w:tcW w:type="dxa" w:w="2268"/>
            <w:vAlign w:val="center"/>
          </w:tcPr>
          <w:p>
            <w:pPr>
              <w:spacing w:after="0"/>
            </w:pPr>
            <w:r/>
            <w:r>
              <w:rPr>
                <w:rFonts w:ascii="Arial" w:hAnsi="Arial"/>
                <w:b w:val="0"/>
                <w:sz w:val="16"/>
              </w:rPr>
              <w:t>Solución analítica</w:t>
            </w:r>
          </w:p>
        </w:tc>
        <w:tc>
          <w:tcPr>
            <w:tcW w:type="dxa" w:w="3855"/>
            <w:vAlign w:val="center"/>
          </w:tcPr>
          <w:p>
            <w:pPr>
              <w:spacing w:after="0"/>
            </w:pPr>
            <w:r/>
            <w:r>
              <w:rPr>
                <w:rFonts w:ascii="Arial" w:hAnsi="Arial"/>
                <w:b w:val="0"/>
                <w:sz w:val="16"/>
              </w:rPr>
              <w:t>Casos simples y límites.</w:t>
            </w:r>
          </w:p>
        </w:tc>
        <w:tc>
          <w:tcPr>
            <w:tcW w:type="dxa" w:w="3515"/>
            <w:vAlign w:val="center"/>
          </w:tcPr>
          <w:p>
            <w:pPr>
              <w:spacing w:after="0"/>
            </w:pPr>
            <w:r/>
            <w:r>
              <w:rPr>
                <w:rFonts w:ascii="Arial" w:hAnsi="Arial"/>
                <w:b w:val="0"/>
                <w:sz w:val="16"/>
              </w:rPr>
              <w:t>Preferente cuando exista.</w:t>
            </w:r>
          </w:p>
        </w:tc>
      </w:tr>
      <w:tr>
        <w:trPr>
          <w:cantSplit/>
        </w:trPr>
        <w:tc>
          <w:tcPr>
            <w:tcW w:type="dxa" w:w="2268"/>
            <w:vAlign w:val="center"/>
            <w:shd w:fill="F2F2F2"/>
          </w:tcPr>
          <w:p>
            <w:pPr>
              <w:spacing w:after="0"/>
            </w:pPr>
            <w:r/>
            <w:r>
              <w:rPr>
                <w:rFonts w:ascii="Arial" w:hAnsi="Arial"/>
                <w:b w:val="0"/>
                <w:sz w:val="16"/>
              </w:rPr>
              <w:t>Hoja manual aprobada</w:t>
            </w:r>
          </w:p>
        </w:tc>
        <w:tc>
          <w:tcPr>
            <w:tcW w:type="dxa" w:w="3855"/>
            <w:vAlign w:val="center"/>
            <w:shd w:fill="F2F2F2"/>
          </w:tcPr>
          <w:p>
            <w:pPr>
              <w:spacing w:after="0"/>
            </w:pPr>
            <w:r/>
            <w:r>
              <w:rPr>
                <w:rFonts w:ascii="Arial" w:hAnsi="Arial"/>
                <w:b w:val="0"/>
                <w:sz w:val="16"/>
              </w:rPr>
              <w:t>Reglas normativas discretas.</w:t>
            </w:r>
          </w:p>
        </w:tc>
        <w:tc>
          <w:tcPr>
            <w:tcW w:type="dxa" w:w="3515"/>
            <w:vAlign w:val="center"/>
            <w:shd w:fill="F2F2F2"/>
          </w:tcPr>
          <w:p>
            <w:pPr>
              <w:spacing w:after="0"/>
            </w:pPr>
            <w:r/>
            <w:r>
              <w:rPr>
                <w:rFonts w:ascii="Arial" w:hAnsi="Arial"/>
                <w:b w:val="0"/>
                <w:sz w:val="16"/>
              </w:rPr>
              <w:t>Bloqueada y versionada.</w:t>
            </w:r>
          </w:p>
        </w:tc>
      </w:tr>
      <w:tr>
        <w:trPr>
          <w:cantSplit/>
        </w:trPr>
        <w:tc>
          <w:tcPr>
            <w:tcW w:type="dxa" w:w="2268"/>
            <w:vAlign w:val="center"/>
          </w:tcPr>
          <w:p>
            <w:pPr>
              <w:spacing w:after="0"/>
            </w:pPr>
            <w:r/>
            <w:r>
              <w:rPr>
                <w:rFonts w:ascii="Arial" w:hAnsi="Arial"/>
                <w:b w:val="0"/>
                <w:sz w:val="16"/>
              </w:rPr>
              <w:t>Software estructural reconocido</w:t>
            </w:r>
          </w:p>
        </w:tc>
        <w:tc>
          <w:tcPr>
            <w:tcW w:type="dxa" w:w="3855"/>
            <w:vAlign w:val="center"/>
          </w:tcPr>
          <w:p>
            <w:pPr>
              <w:spacing w:after="0"/>
            </w:pPr>
            <w:r/>
            <w:r>
              <w:rPr>
                <w:rFonts w:ascii="Arial" w:hAnsi="Arial"/>
                <w:b w:val="0"/>
                <w:sz w:val="16"/>
              </w:rPr>
              <w:t>Modelos globales y FEM.</w:t>
            </w:r>
          </w:p>
        </w:tc>
        <w:tc>
          <w:tcPr>
            <w:tcW w:type="dxa" w:w="3515"/>
            <w:vAlign w:val="center"/>
          </w:tcPr>
          <w:p>
            <w:pPr>
              <w:spacing w:after="0"/>
            </w:pPr>
            <w:r/>
            <w:r>
              <w:rPr>
                <w:rFonts w:ascii="Arial" w:hAnsi="Arial"/>
                <w:b w:val="0"/>
                <w:sz w:val="16"/>
              </w:rPr>
              <w:t>Modelo y opciones documentados.</w:t>
            </w:r>
          </w:p>
        </w:tc>
      </w:tr>
      <w:tr>
        <w:trPr>
          <w:cantSplit/>
        </w:trPr>
        <w:tc>
          <w:tcPr>
            <w:tcW w:type="dxa" w:w="2268"/>
            <w:vAlign w:val="center"/>
            <w:shd w:fill="F2F2F2"/>
          </w:tcPr>
          <w:p>
            <w:pPr>
              <w:spacing w:after="0"/>
            </w:pPr>
            <w:r/>
            <w:r>
              <w:rPr>
                <w:rFonts w:ascii="Arial" w:hAnsi="Arial"/>
                <w:b w:val="0"/>
                <w:sz w:val="16"/>
              </w:rPr>
              <w:t>Cálculo de ingeniería externo</w:t>
            </w:r>
          </w:p>
        </w:tc>
        <w:tc>
          <w:tcPr>
            <w:tcW w:type="dxa" w:w="3855"/>
            <w:vAlign w:val="center"/>
            <w:shd w:fill="F2F2F2"/>
          </w:tcPr>
          <w:p>
            <w:pPr>
              <w:spacing w:after="0"/>
            </w:pPr>
            <w:r/>
            <w:r>
              <w:rPr>
                <w:rFonts w:ascii="Arial" w:hAnsi="Arial"/>
                <w:b w:val="0"/>
                <w:sz w:val="16"/>
              </w:rPr>
              <w:t>Casos especiales y auditoría.</w:t>
            </w:r>
          </w:p>
        </w:tc>
        <w:tc>
          <w:tcPr>
            <w:tcW w:type="dxa" w:w="3515"/>
            <w:vAlign w:val="center"/>
            <w:shd w:fill="F2F2F2"/>
          </w:tcPr>
          <w:p>
            <w:pPr>
              <w:spacing w:after="0"/>
            </w:pPr>
            <w:r/>
            <w:r>
              <w:rPr>
                <w:rFonts w:ascii="Arial" w:hAnsi="Arial"/>
                <w:b w:val="0"/>
                <w:sz w:val="16"/>
              </w:rPr>
              <w:t>Autor e hipótesis identificados.</w:t>
            </w:r>
          </w:p>
        </w:tc>
      </w:tr>
      <w:tr>
        <w:trPr>
          <w:cantSplit/>
        </w:trPr>
        <w:tc>
          <w:tcPr>
            <w:tcW w:type="dxa" w:w="2268"/>
            <w:vAlign w:val="center"/>
          </w:tcPr>
          <w:p>
            <w:pPr>
              <w:spacing w:after="0"/>
            </w:pPr>
            <w:r/>
            <w:r>
              <w:rPr>
                <w:rFonts w:ascii="Arial" w:hAnsi="Arial"/>
                <w:b w:val="0"/>
                <w:sz w:val="16"/>
              </w:rPr>
              <w:t>Ensayo físico</w:t>
            </w:r>
          </w:p>
        </w:tc>
        <w:tc>
          <w:tcPr>
            <w:tcW w:type="dxa" w:w="3855"/>
            <w:vAlign w:val="center"/>
          </w:tcPr>
          <w:p>
            <w:pPr>
              <w:spacing w:after="0"/>
            </w:pPr>
            <w:r/>
            <w:r>
              <w:rPr>
                <w:rFonts w:ascii="Arial" w:hAnsi="Arial"/>
                <w:b w:val="0"/>
                <w:sz w:val="16"/>
              </w:rPr>
              <w:t>Validación de realidad.</w:t>
            </w:r>
          </w:p>
        </w:tc>
        <w:tc>
          <w:tcPr>
            <w:tcW w:type="dxa" w:w="3515"/>
            <w:vAlign w:val="center"/>
          </w:tcPr>
          <w:p>
            <w:pPr>
              <w:spacing w:after="0"/>
            </w:pPr>
            <w:r/>
            <w:r>
              <w:rPr>
                <w:rFonts w:ascii="Arial" w:hAnsi="Arial"/>
                <w:b w:val="0"/>
                <w:sz w:val="16"/>
              </w:rPr>
              <w:t>Incertidumbre y trazabilidad.</w:t>
            </w:r>
          </w:p>
        </w:tc>
      </w:tr>
      <w:tr>
        <w:trPr>
          <w:cantSplit/>
        </w:trPr>
        <w:tc>
          <w:tcPr>
            <w:tcW w:type="dxa" w:w="2268"/>
            <w:vAlign w:val="center"/>
            <w:shd w:fill="F2F2F2"/>
          </w:tcPr>
          <w:p>
            <w:pPr>
              <w:spacing w:after="0"/>
            </w:pPr>
            <w:r/>
            <w:r>
              <w:rPr>
                <w:rFonts w:ascii="Arial" w:hAnsi="Arial"/>
                <w:b w:val="0"/>
                <w:sz w:val="16"/>
              </w:rPr>
              <w:t>Producto histórico Salvi</w:t>
            </w:r>
          </w:p>
        </w:tc>
        <w:tc>
          <w:tcPr>
            <w:tcW w:type="dxa" w:w="3855"/>
            <w:vAlign w:val="center"/>
            <w:shd w:fill="F2F2F2"/>
          </w:tcPr>
          <w:p>
            <w:pPr>
              <w:spacing w:after="0"/>
            </w:pPr>
            <w:r/>
            <w:r>
              <w:rPr>
                <w:rFonts w:ascii="Arial" w:hAnsi="Arial"/>
                <w:b w:val="0"/>
                <w:sz w:val="16"/>
              </w:rPr>
              <w:t>Regresión industrial.</w:t>
            </w:r>
          </w:p>
        </w:tc>
        <w:tc>
          <w:tcPr>
            <w:tcW w:type="dxa" w:w="3515"/>
            <w:vAlign w:val="center"/>
            <w:shd w:fill="F2F2F2"/>
          </w:tcPr>
          <w:p>
            <w:pPr>
              <w:spacing w:after="0"/>
            </w:pPr>
            <w:r/>
            <w:r>
              <w:rPr>
                <w:rFonts w:ascii="Arial" w:hAnsi="Arial"/>
                <w:b w:val="0"/>
                <w:sz w:val="16"/>
              </w:rPr>
              <w:t>Geometría y evidencia suficientes.</w:t>
            </w:r>
          </w:p>
        </w:tc>
      </w:tr>
    </w:tbl>
    <w:p>
      <w:pPr>
        <w:spacing w:after="20"/>
      </w:pPr>
    </w:p>
    <w:p>
      <w:pPr>
        <w:pStyle w:val="Heading2"/>
      </w:pPr>
      <w:r>
        <w:t>8.1 Protocolo de comparación</w:t>
      </w:r>
    </w:p>
    <w:p>
      <w:pPr>
        <w:pStyle w:val="ListNumber"/>
        <w:spacing w:after="40"/>
      </w:pPr>
      <w:r>
        <w:t>Congelar entradas equivalentes y unidades.</w:t>
      </w:r>
    </w:p>
    <w:p>
      <w:pPr>
        <w:pStyle w:val="ListNumber"/>
        <w:spacing w:after="40"/>
      </w:pPr>
      <w:r>
        <w:t>Documentar diferencias inevitables de modelado.</w:t>
      </w:r>
    </w:p>
    <w:p>
      <w:pPr>
        <w:pStyle w:val="ListNumber"/>
        <w:spacing w:after="40"/>
      </w:pPr>
      <w:r>
        <w:t>Comparar reacciones, esfuerzos, deformaciones, modos y utilización.</w:t>
      </w:r>
    </w:p>
    <w:p>
      <w:pPr>
        <w:pStyle w:val="ListNumber"/>
        <w:spacing w:after="40"/>
      </w:pPr>
      <w:r>
        <w:t>Explicar discrepancias antes de aplicar cualquier ajuste.</w:t>
      </w:r>
    </w:p>
    <w:p>
      <w:pPr>
        <w:pStyle w:val="ListNumber"/>
        <w:spacing w:after="40"/>
      </w:pPr>
      <w:r>
        <w:t>Repetir con sensibilidad de malla, rigidez, apoyos y parámetros.</w:t>
      </w:r>
    </w:p>
    <w:p>
      <w:pPr>
        <w:pStyle w:val="ListNumber"/>
        <w:spacing w:after="40"/>
      </w:pPr>
      <w:r>
        <w:t>Clasificar la discrepancia como error, diferencia de hipótesis o incertidumbre física.</w:t>
      </w:r>
    </w:p>
    <w:p>
      <w:pPr>
        <w:pStyle w:val="ListNumber"/>
        <w:spacing w:after="40"/>
      </w:pPr>
      <w:r>
        <w:t>Aprobar o bloquear el dominio afectado.</w:t>
      </w:r>
    </w:p>
    <w:p>
      <w:pPr>
        <w:pStyle w:val="Heading1"/>
      </w:pPr>
      <w:r>
        <w:t>9. Tratamiento de fórmulas, tablas, gráficas y nomogramas</w:t>
      </w:r>
    </w:p>
    <w:tbl>
      <w:tblPr>
        <w:tblStyle w:val="TableGrid"/>
        <w:tblW w:type="auto" w:w="0"/>
        <w:jc w:val="center"/>
        <w:tblLook w:firstColumn="1" w:firstRow="1" w:lastColumn="0" w:lastRow="0" w:noHBand="0" w:noVBand="1" w:val="04A0"/>
      </w:tblPr>
      <w:tblGrid>
        <w:gridCol w:w="10086"/>
      </w:tblGrid>
      <w:tr>
        <w:trPr>
          <w:cantSplit/>
        </w:trPr>
        <w:tc>
          <w:tcPr>
            <w:tcW w:type="dxa" w:w="10086"/>
            <w:shd w:fill="F2F2F2"/>
          </w:tcPr>
          <w:p>
            <w:pPr>
              <w:spacing w:after="40"/>
            </w:pPr>
            <w:r/>
            <w:r>
              <w:rPr>
                <w:rFonts w:ascii="Arial" w:hAnsi="Arial"/>
                <w:b/>
                <w:sz w:val="19"/>
              </w:rPr>
              <w:t>Regla absoluta</w:t>
            </w:r>
          </w:p>
          <w:p>
            <w:pPr>
              <w:spacing w:after="20"/>
            </w:pPr>
            <w:r>
              <w:rPr>
                <w:rFonts w:ascii="Arial" w:hAnsi="Arial"/>
                <w:sz w:val="17"/>
              </w:rPr>
              <w:t>No se permitirá lectura manual de gráficas durante un cálculo final. Toda gráfica normativa o industrial deberá convertirse en una función, tabla o dataset versionado y validado.</w:t>
            </w:r>
          </w:p>
        </w:tc>
      </w:tr>
    </w:tbl>
    <w:p>
      <w:pPr>
        <w:spacing w:after="20"/>
      </w:pPr>
    </w:p>
    <w:tbl>
      <w:tblPr>
        <w:tblStyle w:val="TableGrid"/>
        <w:tblW w:type="auto" w:w="0"/>
        <w:jc w:val="center"/>
        <w:tblLook w:firstColumn="1" w:firstRow="1" w:lastColumn="0" w:lastRow="0" w:noHBand="0" w:noVBand="1" w:val="04A0"/>
      </w:tblPr>
      <w:tblGrid>
        <w:gridCol w:w="5043"/>
        <w:gridCol w:w="5043"/>
      </w:tblGrid>
      <w:tr>
        <w:trPr>
          <w:tblHeader/>
          <w:cantSplit/>
        </w:trPr>
        <w:tc>
          <w:tcPr>
            <w:tcW w:type="dxa" w:w="1701"/>
            <w:vAlign w:val="center"/>
            <w:shd w:fill="262626"/>
          </w:tcPr>
          <w:p>
            <w:pPr>
              <w:spacing w:after="0"/>
            </w:pPr>
            <w:r/>
            <w:r>
              <w:rPr>
                <w:rFonts w:ascii="Arial" w:hAnsi="Arial"/>
                <w:b/>
                <w:color w:val="FFFFFF"/>
                <w:sz w:val="16"/>
              </w:rPr>
              <w:t>Paso</w:t>
            </w:r>
          </w:p>
        </w:tc>
        <w:tc>
          <w:tcPr>
            <w:tcW w:type="dxa" w:w="7937"/>
            <w:vAlign w:val="center"/>
            <w:shd w:fill="262626"/>
          </w:tcPr>
          <w:p>
            <w:pPr>
              <w:spacing w:after="0"/>
            </w:pPr>
            <w:r/>
            <w:r>
              <w:rPr>
                <w:rFonts w:ascii="Arial" w:hAnsi="Arial"/>
                <w:b/>
                <w:color w:val="FFFFFF"/>
                <w:sz w:val="16"/>
              </w:rPr>
              <w:t>Requisito</w:t>
            </w:r>
          </w:p>
        </w:tc>
      </w:tr>
      <w:tr>
        <w:trPr>
          <w:cantSplit/>
        </w:trPr>
        <w:tc>
          <w:tcPr>
            <w:tcW w:type="dxa" w:w="1701"/>
            <w:vAlign w:val="center"/>
          </w:tcPr>
          <w:p>
            <w:pPr>
              <w:spacing w:after="0"/>
            </w:pPr>
            <w:r/>
            <w:r>
              <w:rPr>
                <w:rFonts w:ascii="Arial" w:hAnsi="Arial"/>
                <w:b w:val="0"/>
                <w:sz w:val="16"/>
              </w:rPr>
              <w:t>Identificación</w:t>
            </w:r>
          </w:p>
        </w:tc>
        <w:tc>
          <w:tcPr>
            <w:tcW w:type="dxa" w:w="7937"/>
            <w:vAlign w:val="center"/>
          </w:tcPr>
          <w:p>
            <w:pPr>
              <w:spacing w:after="0"/>
            </w:pPr>
            <w:r/>
            <w:r>
              <w:rPr>
                <w:rFonts w:ascii="Arial" w:hAnsi="Arial"/>
                <w:b w:val="0"/>
                <w:sz w:val="16"/>
              </w:rPr>
              <w:t>Fuente, edición, figura, ejes, unidades y dominio.</w:t>
            </w:r>
          </w:p>
        </w:tc>
      </w:tr>
      <w:tr>
        <w:trPr>
          <w:cantSplit/>
        </w:trPr>
        <w:tc>
          <w:tcPr>
            <w:tcW w:type="dxa" w:w="1701"/>
            <w:vAlign w:val="center"/>
            <w:shd w:fill="F2F2F2"/>
          </w:tcPr>
          <w:p>
            <w:pPr>
              <w:spacing w:after="0"/>
            </w:pPr>
            <w:r/>
            <w:r>
              <w:rPr>
                <w:rFonts w:ascii="Arial" w:hAnsi="Arial"/>
                <w:b w:val="0"/>
                <w:sz w:val="16"/>
              </w:rPr>
              <w:t>Digitalización</w:t>
            </w:r>
          </w:p>
        </w:tc>
        <w:tc>
          <w:tcPr>
            <w:tcW w:type="dxa" w:w="7937"/>
            <w:vAlign w:val="center"/>
            <w:shd w:fill="F2F2F2"/>
          </w:tcPr>
          <w:p>
            <w:pPr>
              <w:spacing w:after="0"/>
            </w:pPr>
            <w:r/>
            <w:r>
              <w:rPr>
                <w:rFonts w:ascii="Arial" w:hAnsi="Arial"/>
                <w:b w:val="0"/>
                <w:sz w:val="16"/>
              </w:rPr>
              <w:t>Puntos suficientes, doble revisión y conservación de imagen de referencia.</w:t>
            </w:r>
          </w:p>
        </w:tc>
      </w:tr>
      <w:tr>
        <w:trPr>
          <w:cantSplit/>
        </w:trPr>
        <w:tc>
          <w:tcPr>
            <w:tcW w:type="dxa" w:w="1701"/>
            <w:vAlign w:val="center"/>
          </w:tcPr>
          <w:p>
            <w:pPr>
              <w:spacing w:after="0"/>
            </w:pPr>
            <w:r/>
            <w:r>
              <w:rPr>
                <w:rFonts w:ascii="Arial" w:hAnsi="Arial"/>
                <w:b w:val="0"/>
                <w:sz w:val="16"/>
              </w:rPr>
              <w:t>Modelo</w:t>
            </w:r>
          </w:p>
        </w:tc>
        <w:tc>
          <w:tcPr>
            <w:tcW w:type="dxa" w:w="7937"/>
            <w:vAlign w:val="center"/>
          </w:tcPr>
          <w:p>
            <w:pPr>
              <w:spacing w:after="0"/>
            </w:pPr>
            <w:r/>
            <w:r>
              <w:rPr>
                <w:rFonts w:ascii="Arial" w:hAnsi="Arial"/>
                <w:b w:val="0"/>
                <w:sz w:val="16"/>
              </w:rPr>
              <w:t>Fórmula subyacente si existe; en otro caso interpolación controlada.</w:t>
            </w:r>
          </w:p>
        </w:tc>
      </w:tr>
      <w:tr>
        <w:trPr>
          <w:cantSplit/>
        </w:trPr>
        <w:tc>
          <w:tcPr>
            <w:tcW w:type="dxa" w:w="1701"/>
            <w:vAlign w:val="center"/>
            <w:shd w:fill="F2F2F2"/>
          </w:tcPr>
          <w:p>
            <w:pPr>
              <w:spacing w:after="0"/>
            </w:pPr>
            <w:r/>
            <w:r>
              <w:rPr>
                <w:rFonts w:ascii="Arial" w:hAnsi="Arial"/>
                <w:b w:val="0"/>
                <w:sz w:val="16"/>
              </w:rPr>
              <w:t>Conservadurismo</w:t>
            </w:r>
          </w:p>
        </w:tc>
        <w:tc>
          <w:tcPr>
            <w:tcW w:type="dxa" w:w="7937"/>
            <w:vAlign w:val="center"/>
            <w:shd w:fill="F2F2F2"/>
          </w:tcPr>
          <w:p>
            <w:pPr>
              <w:spacing w:after="0"/>
            </w:pPr>
            <w:r/>
            <w:r>
              <w:rPr>
                <w:rFonts w:ascii="Arial" w:hAnsi="Arial"/>
                <w:b w:val="0"/>
                <w:sz w:val="16"/>
              </w:rPr>
              <w:t>Dirección conservadora definida según se trate de carga o resistencia.</w:t>
            </w:r>
          </w:p>
        </w:tc>
      </w:tr>
      <w:tr>
        <w:trPr>
          <w:cantSplit/>
        </w:trPr>
        <w:tc>
          <w:tcPr>
            <w:tcW w:type="dxa" w:w="1701"/>
            <w:vAlign w:val="center"/>
          </w:tcPr>
          <w:p>
            <w:pPr>
              <w:spacing w:after="0"/>
            </w:pPr>
            <w:r/>
            <w:r>
              <w:rPr>
                <w:rFonts w:ascii="Arial" w:hAnsi="Arial"/>
                <w:b w:val="0"/>
                <w:sz w:val="16"/>
              </w:rPr>
              <w:t>Extrapolación</w:t>
            </w:r>
          </w:p>
        </w:tc>
        <w:tc>
          <w:tcPr>
            <w:tcW w:type="dxa" w:w="7937"/>
            <w:vAlign w:val="center"/>
          </w:tcPr>
          <w:p>
            <w:pPr>
              <w:spacing w:after="0"/>
            </w:pPr>
            <w:r/>
            <w:r>
              <w:rPr>
                <w:rFonts w:ascii="Arial" w:hAnsi="Arial"/>
                <w:b w:val="0"/>
                <w:sz w:val="16"/>
              </w:rPr>
              <w:t>Prohibida salvo regla normativa expresa.</w:t>
            </w:r>
          </w:p>
        </w:tc>
      </w:tr>
      <w:tr>
        <w:trPr>
          <w:cantSplit/>
        </w:trPr>
        <w:tc>
          <w:tcPr>
            <w:tcW w:type="dxa" w:w="1701"/>
            <w:vAlign w:val="center"/>
            <w:shd w:fill="F2F2F2"/>
          </w:tcPr>
          <w:p>
            <w:pPr>
              <w:spacing w:after="0"/>
            </w:pPr>
            <w:r/>
            <w:r>
              <w:rPr>
                <w:rFonts w:ascii="Arial" w:hAnsi="Arial"/>
                <w:b w:val="0"/>
                <w:sz w:val="16"/>
              </w:rPr>
              <w:t>Validación</w:t>
            </w:r>
          </w:p>
        </w:tc>
        <w:tc>
          <w:tcPr>
            <w:tcW w:type="dxa" w:w="7937"/>
            <w:vAlign w:val="center"/>
            <w:shd w:fill="F2F2F2"/>
          </w:tcPr>
          <w:p>
            <w:pPr>
              <w:spacing w:after="0"/>
            </w:pPr>
            <w:r/>
            <w:r>
              <w:rPr>
                <w:rFonts w:ascii="Arial" w:hAnsi="Arial"/>
                <w:b w:val="0"/>
                <w:sz w:val="16"/>
              </w:rPr>
              <w:t>Puntos de control, error máximo y monotonicidad.</w:t>
            </w:r>
          </w:p>
        </w:tc>
      </w:tr>
      <w:tr>
        <w:trPr>
          <w:cantSplit/>
        </w:trPr>
        <w:tc>
          <w:tcPr>
            <w:tcW w:type="dxa" w:w="1701"/>
            <w:vAlign w:val="center"/>
          </w:tcPr>
          <w:p>
            <w:pPr>
              <w:spacing w:after="0"/>
            </w:pPr>
            <w:r/>
            <w:r>
              <w:rPr>
                <w:rFonts w:ascii="Arial" w:hAnsi="Arial"/>
                <w:b w:val="0"/>
                <w:sz w:val="16"/>
              </w:rPr>
              <w:t>Versionado</w:t>
            </w:r>
          </w:p>
        </w:tc>
        <w:tc>
          <w:tcPr>
            <w:tcW w:type="dxa" w:w="7937"/>
            <w:vAlign w:val="center"/>
          </w:tcPr>
          <w:p>
            <w:pPr>
              <w:spacing w:after="0"/>
            </w:pPr>
            <w:r/>
            <w:r>
              <w:rPr>
                <w:rFonts w:ascii="Arial" w:hAnsi="Arial"/>
                <w:b w:val="0"/>
                <w:sz w:val="16"/>
              </w:rPr>
              <w:t>Hash del dataset, algoritmo y parámetros.</w:t>
            </w:r>
          </w:p>
        </w:tc>
      </w:tr>
      <w:tr>
        <w:trPr>
          <w:cantSplit/>
        </w:trPr>
        <w:tc>
          <w:tcPr>
            <w:tcW w:type="dxa" w:w="1701"/>
            <w:vAlign w:val="center"/>
            <w:shd w:fill="F2F2F2"/>
          </w:tcPr>
          <w:p>
            <w:pPr>
              <w:spacing w:after="0"/>
            </w:pPr>
            <w:r/>
            <w:r>
              <w:rPr>
                <w:rFonts w:ascii="Arial" w:hAnsi="Arial"/>
                <w:b w:val="0"/>
                <w:sz w:val="16"/>
              </w:rPr>
              <w:t>Auditoría</w:t>
            </w:r>
          </w:p>
        </w:tc>
        <w:tc>
          <w:tcPr>
            <w:tcW w:type="dxa" w:w="7937"/>
            <w:vAlign w:val="center"/>
            <w:shd w:fill="F2F2F2"/>
          </w:tcPr>
          <w:p>
            <w:pPr>
              <w:spacing w:after="0"/>
            </w:pPr>
            <w:r/>
            <w:r>
              <w:rPr>
                <w:rFonts w:ascii="Arial" w:hAnsi="Arial"/>
                <w:b w:val="0"/>
                <w:sz w:val="16"/>
              </w:rPr>
              <w:t>Visualización de curva original, curva implementada y residuales.</w:t>
            </w:r>
          </w:p>
        </w:tc>
      </w:tr>
    </w:tbl>
    <w:p>
      <w:pPr>
        <w:spacing w:after="20"/>
      </w:pPr>
    </w:p>
    <w:p>
      <w:r>
        <w:t>Una fórmula aproximada creada por Salvi solo podrá sustituir una gráfica cuando represente la lógica física o sea una envolvente conservadora demostrada. Deberá documentar error, límites y aprobación. Claude u otra IA no podrá crear ni aprobar esa fórmula de forma autónoma.</w:t>
      </w:r>
    </w:p>
    <w:p>
      <w:pPr>
        <w:pStyle w:val="Heading1"/>
        <w:pageBreakBefore/>
      </w:pPr>
      <w:r>
        <w:t>10. Validación por módulos</w:t>
      </w:r>
    </w:p>
    <w:tbl>
      <w:tblPr>
        <w:tblStyle w:val="TableGrid"/>
        <w:tblW w:type="auto" w:w="0"/>
        <w:jc w:val="center"/>
        <w:tblLook w:firstColumn="1" w:firstRow="1" w:lastColumn="0" w:lastRow="0" w:noHBand="0" w:noVBand="1" w:val="04A0"/>
      </w:tblPr>
      <w:tblGrid>
        <w:gridCol w:w="5043"/>
        <w:gridCol w:w="5043"/>
      </w:tblGrid>
      <w:tr>
        <w:trPr>
          <w:tblHeader/>
          <w:cantSplit/>
        </w:trPr>
        <w:tc>
          <w:tcPr>
            <w:tcW w:type="dxa" w:w="2154"/>
            <w:vAlign w:val="center"/>
            <w:shd w:fill="262626"/>
          </w:tcPr>
          <w:p>
            <w:pPr>
              <w:spacing w:after="0"/>
            </w:pPr>
            <w:r/>
            <w:r>
              <w:rPr>
                <w:rFonts w:ascii="Arial" w:hAnsi="Arial"/>
                <w:b/>
                <w:color w:val="FFFFFF"/>
                <w:sz w:val="15"/>
              </w:rPr>
              <w:t>Módulo</w:t>
            </w:r>
          </w:p>
        </w:tc>
        <w:tc>
          <w:tcPr>
            <w:tcW w:type="dxa" w:w="7483"/>
            <w:vAlign w:val="center"/>
            <w:shd w:fill="262626"/>
          </w:tcPr>
          <w:p>
            <w:pPr>
              <w:spacing w:after="0"/>
            </w:pPr>
            <w:r/>
            <w:r>
              <w:rPr>
                <w:rFonts w:ascii="Arial" w:hAnsi="Arial"/>
                <w:b/>
                <w:color w:val="FFFFFF"/>
                <w:sz w:val="15"/>
              </w:rPr>
              <w:t>Evidencia principal</w:t>
            </w:r>
          </w:p>
        </w:tc>
      </w:tr>
      <w:tr>
        <w:trPr>
          <w:cantSplit/>
        </w:trPr>
        <w:tc>
          <w:tcPr>
            <w:tcW w:type="dxa" w:w="2154"/>
            <w:vAlign w:val="center"/>
          </w:tcPr>
          <w:p>
            <w:pPr>
              <w:spacing w:after="0"/>
            </w:pPr>
            <w:r/>
            <w:r>
              <w:rPr>
                <w:rFonts w:ascii="Arial" w:hAnsi="Arial"/>
                <w:b w:val="0"/>
                <w:sz w:val="15"/>
              </w:rPr>
              <w:t>Geometría</w:t>
            </w:r>
          </w:p>
        </w:tc>
        <w:tc>
          <w:tcPr>
            <w:tcW w:type="dxa" w:w="7483"/>
            <w:vAlign w:val="center"/>
          </w:tcPr>
          <w:p>
            <w:pPr>
              <w:spacing w:after="0"/>
            </w:pPr>
            <w:r/>
            <w:r>
              <w:rPr>
                <w:rFonts w:ascii="Arial" w:hAnsi="Arial"/>
                <w:b w:val="0"/>
                <w:sz w:val="15"/>
              </w:rPr>
              <w:t>Comparación CAD, propiedades, masa, áreas proyectadas e interferencias.</w:t>
            </w:r>
          </w:p>
        </w:tc>
      </w:tr>
      <w:tr>
        <w:trPr>
          <w:cantSplit/>
        </w:trPr>
        <w:tc>
          <w:tcPr>
            <w:tcW w:type="dxa" w:w="2154"/>
            <w:vAlign w:val="center"/>
            <w:shd w:fill="F2F2F2"/>
          </w:tcPr>
          <w:p>
            <w:pPr>
              <w:spacing w:after="0"/>
            </w:pPr>
            <w:r/>
            <w:r>
              <w:rPr>
                <w:rFonts w:ascii="Arial" w:hAnsi="Arial"/>
                <w:b w:val="0"/>
                <w:sz w:val="15"/>
              </w:rPr>
              <w:t>Acciones</w:t>
            </w:r>
          </w:p>
        </w:tc>
        <w:tc>
          <w:tcPr>
            <w:tcW w:type="dxa" w:w="7483"/>
            <w:vAlign w:val="center"/>
            <w:shd w:fill="F2F2F2"/>
          </w:tcPr>
          <w:p>
            <w:pPr>
              <w:spacing w:after="0"/>
            </w:pPr>
            <w:r/>
            <w:r>
              <w:rPr>
                <w:rFonts w:ascii="Arial" w:hAnsi="Arial"/>
                <w:b w:val="0"/>
                <w:sz w:val="15"/>
              </w:rPr>
              <w:t>Casos manuales, mapas, viento, nieve, sismo, peso y cables.</w:t>
            </w:r>
          </w:p>
        </w:tc>
      </w:tr>
      <w:tr>
        <w:trPr>
          <w:cantSplit/>
        </w:trPr>
        <w:tc>
          <w:tcPr>
            <w:tcW w:type="dxa" w:w="2154"/>
            <w:vAlign w:val="center"/>
          </w:tcPr>
          <w:p>
            <w:pPr>
              <w:spacing w:after="0"/>
            </w:pPr>
            <w:r/>
            <w:r>
              <w:rPr>
                <w:rFonts w:ascii="Arial" w:hAnsi="Arial"/>
                <w:b w:val="0"/>
                <w:sz w:val="15"/>
              </w:rPr>
              <w:t>Solver global</w:t>
            </w:r>
          </w:p>
        </w:tc>
        <w:tc>
          <w:tcPr>
            <w:tcW w:type="dxa" w:w="7483"/>
            <w:vAlign w:val="center"/>
          </w:tcPr>
          <w:p>
            <w:pPr>
              <w:spacing w:after="0"/>
            </w:pPr>
            <w:r/>
            <w:r>
              <w:rPr>
                <w:rFonts w:ascii="Arial" w:hAnsi="Arial"/>
                <w:b w:val="0"/>
                <w:sz w:val="15"/>
              </w:rPr>
              <w:t>Analíticos, software externo, ensayos y convergencia.</w:t>
            </w:r>
          </w:p>
        </w:tc>
      </w:tr>
      <w:tr>
        <w:trPr>
          <w:cantSplit/>
        </w:trPr>
        <w:tc>
          <w:tcPr>
            <w:tcW w:type="dxa" w:w="2154"/>
            <w:vAlign w:val="center"/>
            <w:shd w:fill="F2F2F2"/>
          </w:tcPr>
          <w:p>
            <w:pPr>
              <w:spacing w:after="0"/>
            </w:pPr>
            <w:r/>
            <w:r>
              <w:rPr>
                <w:rFonts w:ascii="Arial" w:hAnsi="Arial"/>
                <w:b w:val="0"/>
                <w:sz w:val="15"/>
              </w:rPr>
              <w:t>Acero</w:t>
            </w:r>
          </w:p>
        </w:tc>
        <w:tc>
          <w:tcPr>
            <w:tcW w:type="dxa" w:w="7483"/>
            <w:vAlign w:val="center"/>
            <w:shd w:fill="F2F2F2"/>
          </w:tcPr>
          <w:p>
            <w:pPr>
              <w:spacing w:after="0"/>
            </w:pPr>
            <w:r/>
            <w:r>
              <w:rPr>
                <w:rFonts w:ascii="Arial" w:hAnsi="Arial"/>
                <w:b w:val="0"/>
                <w:sz w:val="15"/>
              </w:rPr>
              <w:t>Ensayos/familias, puerta, soldadura, fatiga y fabricación.</w:t>
            </w:r>
          </w:p>
        </w:tc>
      </w:tr>
      <w:tr>
        <w:trPr>
          <w:cantSplit/>
        </w:trPr>
        <w:tc>
          <w:tcPr>
            <w:tcW w:type="dxa" w:w="2154"/>
            <w:vAlign w:val="center"/>
          </w:tcPr>
          <w:p>
            <w:pPr>
              <w:spacing w:after="0"/>
            </w:pPr>
            <w:r/>
            <w:r>
              <w:rPr>
                <w:rFonts w:ascii="Arial" w:hAnsi="Arial"/>
                <w:b w:val="0"/>
                <w:sz w:val="15"/>
              </w:rPr>
              <w:t>Aluminio</w:t>
            </w:r>
          </w:p>
        </w:tc>
        <w:tc>
          <w:tcPr>
            <w:tcW w:type="dxa" w:w="7483"/>
            <w:vAlign w:val="center"/>
          </w:tcPr>
          <w:p>
            <w:pPr>
              <w:spacing w:after="0"/>
            </w:pPr>
            <w:r/>
            <w:r>
              <w:rPr>
                <w:rFonts w:ascii="Arial" w:hAnsi="Arial"/>
                <w:b w:val="0"/>
                <w:sz w:val="15"/>
              </w:rPr>
              <w:t>HAZ, soldadura/FSW, pandeo, fatiga y corrosión.</w:t>
            </w:r>
          </w:p>
        </w:tc>
      </w:tr>
      <w:tr>
        <w:trPr>
          <w:cantSplit/>
        </w:trPr>
        <w:tc>
          <w:tcPr>
            <w:tcW w:type="dxa" w:w="2154"/>
            <w:vAlign w:val="center"/>
            <w:shd w:fill="F2F2F2"/>
          </w:tcPr>
          <w:p>
            <w:pPr>
              <w:spacing w:after="0"/>
            </w:pPr>
            <w:r/>
            <w:r>
              <w:rPr>
                <w:rFonts w:ascii="Arial" w:hAnsi="Arial"/>
                <w:b w:val="0"/>
                <w:sz w:val="15"/>
              </w:rPr>
              <w:t>Hormigón pretensado</w:t>
            </w:r>
          </w:p>
        </w:tc>
        <w:tc>
          <w:tcPr>
            <w:tcW w:type="dxa" w:w="7483"/>
            <w:vAlign w:val="center"/>
            <w:shd w:fill="F2F2F2"/>
          </w:tcPr>
          <w:p>
            <w:pPr>
              <w:spacing w:after="0"/>
            </w:pPr>
            <w:r/>
            <w:r>
              <w:rPr>
                <w:rFonts w:ascii="Arial" w:hAnsi="Arial"/>
                <w:b w:val="0"/>
                <w:sz w:val="15"/>
              </w:rPr>
              <w:t>Pérdidas, transferencia, fisuración, flecha, rotura y proceso.</w:t>
            </w:r>
          </w:p>
        </w:tc>
      </w:tr>
      <w:tr>
        <w:trPr>
          <w:cantSplit/>
        </w:trPr>
        <w:tc>
          <w:tcPr>
            <w:tcW w:type="dxa" w:w="2154"/>
            <w:vAlign w:val="center"/>
          </w:tcPr>
          <w:p>
            <w:pPr>
              <w:spacing w:after="0"/>
            </w:pPr>
            <w:r/>
            <w:r>
              <w:rPr>
                <w:rFonts w:ascii="Arial" w:hAnsi="Arial"/>
                <w:b w:val="0"/>
                <w:sz w:val="15"/>
              </w:rPr>
              <w:t>Detalles locales</w:t>
            </w:r>
          </w:p>
        </w:tc>
        <w:tc>
          <w:tcPr>
            <w:tcW w:type="dxa" w:w="7483"/>
            <w:vAlign w:val="center"/>
          </w:tcPr>
          <w:p>
            <w:pPr>
              <w:spacing w:after="0"/>
            </w:pPr>
            <w:r/>
            <w:r>
              <w:rPr>
                <w:rFonts w:ascii="Arial" w:hAnsi="Arial"/>
                <w:b w:val="0"/>
                <w:sz w:val="15"/>
              </w:rPr>
              <w:t>Ensayo o FEM validado de puertas, refuerzos y soportes.</w:t>
            </w:r>
          </w:p>
        </w:tc>
      </w:tr>
      <w:tr>
        <w:trPr>
          <w:cantSplit/>
        </w:trPr>
        <w:tc>
          <w:tcPr>
            <w:tcW w:type="dxa" w:w="2154"/>
            <w:vAlign w:val="center"/>
            <w:shd w:fill="F2F2F2"/>
          </w:tcPr>
          <w:p>
            <w:pPr>
              <w:spacing w:after="0"/>
            </w:pPr>
            <w:r/>
            <w:r>
              <w:rPr>
                <w:rFonts w:ascii="Arial" w:hAnsi="Arial"/>
                <w:b w:val="0"/>
                <w:sz w:val="15"/>
              </w:rPr>
              <w:t>Uniones</w:t>
            </w:r>
          </w:p>
        </w:tc>
        <w:tc>
          <w:tcPr>
            <w:tcW w:type="dxa" w:w="7483"/>
            <w:vAlign w:val="center"/>
            <w:shd w:fill="F2F2F2"/>
          </w:tcPr>
          <w:p>
            <w:pPr>
              <w:spacing w:after="0"/>
            </w:pPr>
            <w:r/>
            <w:r>
              <w:rPr>
                <w:rFonts w:ascii="Arial" w:hAnsi="Arial"/>
                <w:b w:val="0"/>
                <w:sz w:val="15"/>
              </w:rPr>
              <w:t>Rigidez, resistencia, montaje, fatiga y tolerancias.</w:t>
            </w:r>
          </w:p>
        </w:tc>
      </w:tr>
      <w:tr>
        <w:trPr>
          <w:cantSplit/>
        </w:trPr>
        <w:tc>
          <w:tcPr>
            <w:tcW w:type="dxa" w:w="2154"/>
            <w:vAlign w:val="center"/>
          </w:tcPr>
          <w:p>
            <w:pPr>
              <w:spacing w:after="0"/>
            </w:pPr>
            <w:r/>
            <w:r>
              <w:rPr>
                <w:rFonts w:ascii="Arial" w:hAnsi="Arial"/>
                <w:b w:val="0"/>
                <w:sz w:val="15"/>
              </w:rPr>
              <w:t>Base/anclajes</w:t>
            </w:r>
          </w:p>
        </w:tc>
        <w:tc>
          <w:tcPr>
            <w:tcW w:type="dxa" w:w="7483"/>
            <w:vAlign w:val="center"/>
          </w:tcPr>
          <w:p>
            <w:pPr>
              <w:spacing w:after="0"/>
            </w:pPr>
            <w:r/>
            <w:r>
              <w:rPr>
                <w:rFonts w:ascii="Arial" w:hAnsi="Arial"/>
                <w:b w:val="0"/>
                <w:sz w:val="15"/>
              </w:rPr>
              <w:t>Contacto, pernos, hormigón y ensayos de anclaje cuando proceda.</w:t>
            </w:r>
          </w:p>
        </w:tc>
      </w:tr>
      <w:tr>
        <w:trPr>
          <w:cantSplit/>
        </w:trPr>
        <w:tc>
          <w:tcPr>
            <w:tcW w:type="dxa" w:w="2154"/>
            <w:vAlign w:val="center"/>
            <w:shd w:fill="F2F2F2"/>
          </w:tcPr>
          <w:p>
            <w:pPr>
              <w:spacing w:after="0"/>
            </w:pPr>
            <w:r/>
            <w:r>
              <w:rPr>
                <w:rFonts w:ascii="Arial" w:hAnsi="Arial"/>
                <w:b w:val="0"/>
                <w:sz w:val="15"/>
              </w:rPr>
              <w:t>Cimentación</w:t>
            </w:r>
          </w:p>
        </w:tc>
        <w:tc>
          <w:tcPr>
            <w:tcW w:type="dxa" w:w="7483"/>
            <w:vAlign w:val="center"/>
            <w:shd w:fill="F2F2F2"/>
          </w:tcPr>
          <w:p>
            <w:pPr>
              <w:spacing w:after="0"/>
            </w:pPr>
            <w:r/>
            <w:r>
              <w:rPr>
                <w:rFonts w:ascii="Arial" w:hAnsi="Arial"/>
                <w:b w:val="0"/>
                <w:sz w:val="15"/>
              </w:rPr>
              <w:t>Casos geotécnicos, sensibilidad y advertencias.</w:t>
            </w:r>
          </w:p>
        </w:tc>
      </w:tr>
      <w:tr>
        <w:trPr>
          <w:cantSplit/>
        </w:trPr>
        <w:tc>
          <w:tcPr>
            <w:tcW w:type="dxa" w:w="2154"/>
            <w:vAlign w:val="center"/>
          </w:tcPr>
          <w:p>
            <w:pPr>
              <w:spacing w:after="0"/>
            </w:pPr>
            <w:r/>
            <w:r>
              <w:rPr>
                <w:rFonts w:ascii="Arial" w:hAnsi="Arial"/>
                <w:b w:val="0"/>
                <w:sz w:val="15"/>
              </w:rPr>
              <w:t>Catálogo</w:t>
            </w:r>
          </w:p>
        </w:tc>
        <w:tc>
          <w:tcPr>
            <w:tcW w:type="dxa" w:w="7483"/>
            <w:vAlign w:val="center"/>
          </w:tcPr>
          <w:p>
            <w:pPr>
              <w:spacing w:after="0"/>
            </w:pPr>
            <w:r/>
            <w:r>
              <w:rPr>
                <w:rFonts w:ascii="Arial" w:hAnsi="Arial"/>
                <w:b w:val="0"/>
                <w:sz w:val="15"/>
              </w:rPr>
              <w:t>Dominio, evidencias, reglas de extensión y disponibilidad.</w:t>
            </w:r>
          </w:p>
        </w:tc>
      </w:tr>
      <w:tr>
        <w:trPr>
          <w:cantSplit/>
        </w:trPr>
        <w:tc>
          <w:tcPr>
            <w:tcW w:type="dxa" w:w="2154"/>
            <w:vAlign w:val="center"/>
            <w:shd w:fill="F2F2F2"/>
          </w:tcPr>
          <w:p>
            <w:pPr>
              <w:spacing w:after="0"/>
            </w:pPr>
            <w:r/>
            <w:r>
              <w:rPr>
                <w:rFonts w:ascii="Arial" w:hAnsi="Arial"/>
                <w:b w:val="0"/>
                <w:sz w:val="15"/>
              </w:rPr>
              <w:t>Optimizador</w:t>
            </w:r>
          </w:p>
        </w:tc>
        <w:tc>
          <w:tcPr>
            <w:tcW w:type="dxa" w:w="7483"/>
            <w:vAlign w:val="center"/>
            <w:shd w:fill="F2F2F2"/>
          </w:tcPr>
          <w:p>
            <w:pPr>
              <w:spacing w:after="0"/>
            </w:pPr>
            <w:r/>
            <w:r>
              <w:rPr>
                <w:rFonts w:ascii="Arial" w:hAnsi="Arial"/>
                <w:b w:val="0"/>
                <w:sz w:val="15"/>
              </w:rPr>
              <w:t>Factibilidad, Pareto, reproducibilidad y ausencia de soluciones dominadas.</w:t>
            </w:r>
          </w:p>
        </w:tc>
      </w:tr>
      <w:tr>
        <w:trPr>
          <w:cantSplit/>
        </w:trPr>
        <w:tc>
          <w:tcPr>
            <w:tcW w:type="dxa" w:w="2154"/>
            <w:vAlign w:val="center"/>
          </w:tcPr>
          <w:p>
            <w:pPr>
              <w:spacing w:after="0"/>
            </w:pPr>
            <w:r/>
            <w:r>
              <w:rPr>
                <w:rFonts w:ascii="Arial" w:hAnsi="Arial"/>
                <w:b w:val="0"/>
                <w:sz w:val="15"/>
              </w:rPr>
              <w:t>CAD/BOM/informes</w:t>
            </w:r>
          </w:p>
        </w:tc>
        <w:tc>
          <w:tcPr>
            <w:tcW w:type="dxa" w:w="7483"/>
            <w:vAlign w:val="center"/>
          </w:tcPr>
          <w:p>
            <w:pPr>
              <w:spacing w:after="0"/>
            </w:pPr>
            <w:r/>
            <w:r>
              <w:rPr>
                <w:rFonts w:ascii="Arial" w:hAnsi="Arial"/>
                <w:b w:val="0"/>
                <w:sz w:val="15"/>
              </w:rPr>
              <w:t>Coherencia, masa, cantidades, planos y trazabilidad.</w:t>
            </w:r>
          </w:p>
        </w:tc>
      </w:tr>
      <w:tr>
        <w:trPr>
          <w:cantSplit/>
        </w:trPr>
        <w:tc>
          <w:tcPr>
            <w:tcW w:type="dxa" w:w="2154"/>
            <w:vAlign w:val="center"/>
            <w:shd w:fill="F2F2F2"/>
          </w:tcPr>
          <w:p>
            <w:pPr>
              <w:spacing w:after="0"/>
            </w:pPr>
            <w:r/>
            <w:r>
              <w:rPr>
                <w:rFonts w:ascii="Arial" w:hAnsi="Arial"/>
                <w:b w:val="0"/>
                <w:sz w:val="15"/>
              </w:rPr>
              <w:t>Catenarias</w:t>
            </w:r>
          </w:p>
        </w:tc>
        <w:tc>
          <w:tcPr>
            <w:tcW w:type="dxa" w:w="7483"/>
            <w:vAlign w:val="center"/>
            <w:shd w:fill="F2F2F2"/>
          </w:tcPr>
          <w:p>
            <w:pPr>
              <w:spacing w:after="0"/>
            </w:pPr>
            <w:r/>
            <w:r>
              <w:rPr>
                <w:rFonts w:ascii="Arial" w:hAnsi="Arial"/>
                <w:b w:val="0"/>
                <w:sz w:val="15"/>
              </w:rPr>
              <w:t>Topología, flecha, tensión, resultantes, interacción y montaje.</w:t>
            </w:r>
          </w:p>
        </w:tc>
      </w:tr>
    </w:tbl>
    <w:p>
      <w:pPr>
        <w:spacing w:after="20"/>
      </w:pPr>
    </w:p>
    <w:p>
      <w:r>
        <w:br w:type="page"/>
      </w:r>
    </w:p>
    <w:p>
      <w:pPr>
        <w:pStyle w:val="Heading1"/>
      </w:pPr>
      <w:r>
        <w:t>11. Ensayos físicos y campañas experimentales</w:t>
      </w:r>
    </w:p>
    <w:p>
      <w:pPr>
        <w:pStyle w:val="Heading2"/>
      </w:pPr>
      <w:r>
        <w:t>11.1 Tipos de ensayo</w:t>
      </w:r>
    </w:p>
    <w:tbl>
      <w:tblPr>
        <w:tblStyle w:val="TableGrid"/>
        <w:tblW w:type="auto" w:w="0"/>
        <w:jc w:val="center"/>
        <w:tblLook w:firstColumn="1" w:firstRow="1" w:lastColumn="0" w:lastRow="0" w:noHBand="0" w:noVBand="1" w:val="04A0"/>
      </w:tblPr>
      <w:tblGrid>
        <w:gridCol w:w="5043"/>
        <w:gridCol w:w="5043"/>
      </w:tblGrid>
      <w:tr>
        <w:trPr>
          <w:tblHeader/>
          <w:cantSplit/>
        </w:trPr>
        <w:tc>
          <w:tcPr>
            <w:tcW w:type="dxa" w:w="2381"/>
            <w:vAlign w:val="center"/>
            <w:shd w:fill="262626"/>
          </w:tcPr>
          <w:p>
            <w:pPr>
              <w:spacing w:after="0"/>
            </w:pPr>
            <w:r/>
            <w:r>
              <w:rPr>
                <w:rFonts w:ascii="Arial" w:hAnsi="Arial"/>
                <w:b/>
                <w:color w:val="FFFFFF"/>
                <w:sz w:val="16"/>
              </w:rPr>
              <w:t>Tipo</w:t>
            </w:r>
          </w:p>
        </w:tc>
        <w:tc>
          <w:tcPr>
            <w:tcW w:type="dxa" w:w="7257"/>
            <w:vAlign w:val="center"/>
            <w:shd w:fill="262626"/>
          </w:tcPr>
          <w:p>
            <w:pPr>
              <w:spacing w:after="0"/>
            </w:pPr>
            <w:r/>
            <w:r>
              <w:rPr>
                <w:rFonts w:ascii="Arial" w:hAnsi="Arial"/>
                <w:b/>
                <w:color w:val="FFFFFF"/>
                <w:sz w:val="16"/>
              </w:rPr>
              <w:t>Objetivo</w:t>
            </w:r>
          </w:p>
        </w:tc>
      </w:tr>
      <w:tr>
        <w:trPr>
          <w:cantSplit/>
        </w:trPr>
        <w:tc>
          <w:tcPr>
            <w:tcW w:type="dxa" w:w="2381"/>
            <w:vAlign w:val="center"/>
          </w:tcPr>
          <w:p>
            <w:pPr>
              <w:spacing w:after="0"/>
            </w:pPr>
            <w:r/>
            <w:r>
              <w:rPr>
                <w:rFonts w:ascii="Arial" w:hAnsi="Arial"/>
                <w:b w:val="0"/>
                <w:sz w:val="16"/>
              </w:rPr>
              <w:t>Material</w:t>
            </w:r>
          </w:p>
        </w:tc>
        <w:tc>
          <w:tcPr>
            <w:tcW w:type="dxa" w:w="7257"/>
            <w:vAlign w:val="center"/>
          </w:tcPr>
          <w:p>
            <w:pPr>
              <w:spacing w:after="0"/>
            </w:pPr>
            <w:r/>
            <w:r>
              <w:rPr>
                <w:rFonts w:ascii="Arial" w:hAnsi="Arial"/>
                <w:b w:val="0"/>
                <w:sz w:val="16"/>
              </w:rPr>
              <w:t>Propiedades mecánicas, químicas, espesor, temple, hormigón y acero activo.</w:t>
            </w:r>
          </w:p>
        </w:tc>
      </w:tr>
      <w:tr>
        <w:trPr>
          <w:cantSplit/>
        </w:trPr>
        <w:tc>
          <w:tcPr>
            <w:tcW w:type="dxa" w:w="2381"/>
            <w:vAlign w:val="center"/>
            <w:shd w:fill="F2F2F2"/>
          </w:tcPr>
          <w:p>
            <w:pPr>
              <w:spacing w:after="0"/>
            </w:pPr>
            <w:r/>
            <w:r>
              <w:rPr>
                <w:rFonts w:ascii="Arial" w:hAnsi="Arial"/>
                <w:b w:val="0"/>
                <w:sz w:val="16"/>
              </w:rPr>
              <w:t>Cupón/soldadura</w:t>
            </w:r>
          </w:p>
        </w:tc>
        <w:tc>
          <w:tcPr>
            <w:tcW w:type="dxa" w:w="7257"/>
            <w:vAlign w:val="center"/>
            <w:shd w:fill="F2F2F2"/>
          </w:tcPr>
          <w:p>
            <w:pPr>
              <w:spacing w:after="0"/>
            </w:pPr>
            <w:r/>
            <w:r>
              <w:rPr>
                <w:rFonts w:ascii="Arial" w:hAnsi="Arial"/>
                <w:b w:val="0"/>
                <w:sz w:val="16"/>
              </w:rPr>
              <w:t>HAZ, resistencia, dureza, fatiga, defectos y proceso.</w:t>
            </w:r>
          </w:p>
        </w:tc>
      </w:tr>
      <w:tr>
        <w:trPr>
          <w:cantSplit/>
        </w:trPr>
        <w:tc>
          <w:tcPr>
            <w:tcW w:type="dxa" w:w="2381"/>
            <w:vAlign w:val="center"/>
          </w:tcPr>
          <w:p>
            <w:pPr>
              <w:spacing w:after="0"/>
            </w:pPr>
            <w:r/>
            <w:r>
              <w:rPr>
                <w:rFonts w:ascii="Arial" w:hAnsi="Arial"/>
                <w:b w:val="0"/>
                <w:sz w:val="16"/>
              </w:rPr>
              <w:t>Componente</w:t>
            </w:r>
          </w:p>
        </w:tc>
        <w:tc>
          <w:tcPr>
            <w:tcW w:type="dxa" w:w="7257"/>
            <w:vAlign w:val="center"/>
          </w:tcPr>
          <w:p>
            <w:pPr>
              <w:spacing w:after="0"/>
            </w:pPr>
            <w:r/>
            <w:r>
              <w:rPr>
                <w:rFonts w:ascii="Arial" w:hAnsi="Arial"/>
                <w:b w:val="0"/>
                <w:sz w:val="16"/>
              </w:rPr>
              <w:t>Puerta, unión, placa, perno, anclaje, brazo, terminal o soporte.</w:t>
            </w:r>
          </w:p>
        </w:tc>
      </w:tr>
      <w:tr>
        <w:trPr>
          <w:cantSplit/>
        </w:trPr>
        <w:tc>
          <w:tcPr>
            <w:tcW w:type="dxa" w:w="2381"/>
            <w:vAlign w:val="center"/>
            <w:shd w:fill="F2F2F2"/>
          </w:tcPr>
          <w:p>
            <w:pPr>
              <w:spacing w:after="0"/>
            </w:pPr>
            <w:r/>
            <w:r>
              <w:rPr>
                <w:rFonts w:ascii="Arial" w:hAnsi="Arial"/>
                <w:b w:val="0"/>
                <w:sz w:val="16"/>
              </w:rPr>
              <w:t>Subconjunto</w:t>
            </w:r>
          </w:p>
        </w:tc>
        <w:tc>
          <w:tcPr>
            <w:tcW w:type="dxa" w:w="7257"/>
            <w:vAlign w:val="center"/>
            <w:shd w:fill="F2F2F2"/>
          </w:tcPr>
          <w:p>
            <w:pPr>
              <w:spacing w:after="0"/>
            </w:pPr>
            <w:r/>
            <w:r>
              <w:rPr>
                <w:rFonts w:ascii="Arial" w:hAnsi="Arial"/>
                <w:b w:val="0"/>
                <w:sz w:val="16"/>
              </w:rPr>
              <w:t>Tramo con puerta, unión segmentada, base completa o cable con luminarias.</w:t>
            </w:r>
          </w:p>
        </w:tc>
      </w:tr>
      <w:tr>
        <w:trPr>
          <w:cantSplit/>
        </w:trPr>
        <w:tc>
          <w:tcPr>
            <w:tcW w:type="dxa" w:w="2381"/>
            <w:vAlign w:val="center"/>
          </w:tcPr>
          <w:p>
            <w:pPr>
              <w:spacing w:after="0"/>
            </w:pPr>
            <w:r/>
            <w:r>
              <w:rPr>
                <w:rFonts w:ascii="Arial" w:hAnsi="Arial"/>
                <w:b w:val="0"/>
                <w:sz w:val="16"/>
              </w:rPr>
              <w:t>Escala real</w:t>
            </w:r>
          </w:p>
        </w:tc>
        <w:tc>
          <w:tcPr>
            <w:tcW w:type="dxa" w:w="7257"/>
            <w:vAlign w:val="center"/>
          </w:tcPr>
          <w:p>
            <w:pPr>
              <w:spacing w:after="0"/>
            </w:pPr>
            <w:r/>
            <w:r>
              <w:rPr>
                <w:rFonts w:ascii="Arial" w:hAnsi="Arial"/>
                <w:b w:val="0"/>
                <w:sz w:val="16"/>
              </w:rPr>
              <w:t>Columna/báculo completo bajo cargas de diseño y ensayo.</w:t>
            </w:r>
          </w:p>
        </w:tc>
      </w:tr>
      <w:tr>
        <w:trPr>
          <w:cantSplit/>
        </w:trPr>
        <w:tc>
          <w:tcPr>
            <w:tcW w:type="dxa" w:w="2381"/>
            <w:vAlign w:val="center"/>
            <w:shd w:fill="F2F2F2"/>
          </w:tcPr>
          <w:p>
            <w:pPr>
              <w:spacing w:after="0"/>
            </w:pPr>
            <w:r/>
            <w:r>
              <w:rPr>
                <w:rFonts w:ascii="Arial" w:hAnsi="Arial"/>
                <w:b w:val="0"/>
                <w:sz w:val="16"/>
              </w:rPr>
              <w:t>Fatiga/dinámica</w:t>
            </w:r>
          </w:p>
        </w:tc>
        <w:tc>
          <w:tcPr>
            <w:tcW w:type="dxa" w:w="7257"/>
            <w:vAlign w:val="center"/>
            <w:shd w:fill="F2F2F2"/>
          </w:tcPr>
          <w:p>
            <w:pPr>
              <w:spacing w:after="0"/>
            </w:pPr>
            <w:r/>
            <w:r>
              <w:rPr>
                <w:rFonts w:ascii="Arial" w:hAnsi="Arial"/>
                <w:b w:val="0"/>
                <w:sz w:val="16"/>
              </w:rPr>
              <w:t>Rangos de tensión, vibración, amortiguamiento y resonancia.</w:t>
            </w:r>
          </w:p>
        </w:tc>
      </w:tr>
      <w:tr>
        <w:trPr>
          <w:cantSplit/>
        </w:trPr>
        <w:tc>
          <w:tcPr>
            <w:tcW w:type="dxa" w:w="2381"/>
            <w:vAlign w:val="center"/>
          </w:tcPr>
          <w:p>
            <w:pPr>
              <w:spacing w:after="0"/>
            </w:pPr>
            <w:r/>
            <w:r>
              <w:rPr>
                <w:rFonts w:ascii="Arial" w:hAnsi="Arial"/>
                <w:b w:val="0"/>
                <w:sz w:val="16"/>
              </w:rPr>
              <w:t>Durabilidad</w:t>
            </w:r>
          </w:p>
        </w:tc>
        <w:tc>
          <w:tcPr>
            <w:tcW w:type="dxa" w:w="7257"/>
            <w:vAlign w:val="center"/>
          </w:tcPr>
          <w:p>
            <w:pPr>
              <w:spacing w:after="0"/>
            </w:pPr>
            <w:r/>
            <w:r>
              <w:rPr>
                <w:rFonts w:ascii="Arial" w:hAnsi="Arial"/>
                <w:b w:val="0"/>
                <w:sz w:val="16"/>
              </w:rPr>
              <w:t>Corrosión, galvanizado, recubrimientos, sellado y ciclos ambientales.</w:t>
            </w:r>
          </w:p>
        </w:tc>
      </w:tr>
      <w:tr>
        <w:trPr>
          <w:cantSplit/>
        </w:trPr>
        <w:tc>
          <w:tcPr>
            <w:tcW w:type="dxa" w:w="2381"/>
            <w:vAlign w:val="center"/>
            <w:shd w:fill="F2F2F2"/>
          </w:tcPr>
          <w:p>
            <w:pPr>
              <w:spacing w:after="0"/>
            </w:pPr>
            <w:r/>
            <w:r>
              <w:rPr>
                <w:rFonts w:ascii="Arial" w:hAnsi="Arial"/>
                <w:b w:val="0"/>
                <w:sz w:val="16"/>
              </w:rPr>
              <w:t>Montaje</w:t>
            </w:r>
          </w:p>
        </w:tc>
        <w:tc>
          <w:tcPr>
            <w:tcW w:type="dxa" w:w="7257"/>
            <w:vAlign w:val="center"/>
            <w:shd w:fill="F2F2F2"/>
          </w:tcPr>
          <w:p>
            <w:pPr>
              <w:spacing w:after="0"/>
            </w:pPr>
            <w:r/>
            <w:r>
              <w:rPr>
                <w:rFonts w:ascii="Arial" w:hAnsi="Arial"/>
                <w:b w:val="0"/>
                <w:sz w:val="16"/>
              </w:rPr>
              <w:t>Tolerancias, secuencia, izado, inserción, tensado y mantenimiento.</w:t>
            </w:r>
          </w:p>
        </w:tc>
      </w:tr>
    </w:tbl>
    <w:p>
      <w:pPr>
        <w:spacing w:after="20"/>
      </w:pPr>
    </w:p>
    <w:p>
      <w:pPr>
        <w:pStyle w:val="Heading2"/>
      </w:pPr>
      <w:r>
        <w:t>11.2 Plan de ensayo</w:t>
      </w:r>
    </w:p>
    <w:p>
      <w:pPr>
        <w:pStyle w:val="ListBullet"/>
        <w:spacing w:after="40"/>
      </w:pPr>
      <w:r>
        <w:t>Objeto, referencia, revisión y dominio que se pretende cualificar.</w:t>
      </w:r>
    </w:p>
    <w:p>
      <w:pPr>
        <w:pStyle w:val="ListBullet"/>
        <w:spacing w:after="40"/>
      </w:pPr>
      <w:r>
        <w:t>Norma y procedimiento aplicables.</w:t>
      </w:r>
    </w:p>
    <w:p>
      <w:pPr>
        <w:pStyle w:val="ListBullet"/>
        <w:spacing w:after="40"/>
      </w:pPr>
      <w:r>
        <w:t>Configuración geométrica y materiales reales.</w:t>
      </w:r>
    </w:p>
    <w:p>
      <w:pPr>
        <w:pStyle w:val="ListBullet"/>
        <w:spacing w:after="40"/>
      </w:pPr>
      <w:r>
        <w:t>Instrumentación, rango, precisión, frecuencia de adquisición y calibración.</w:t>
      </w:r>
    </w:p>
    <w:p>
      <w:pPr>
        <w:pStyle w:val="ListBullet"/>
        <w:spacing w:after="40"/>
      </w:pPr>
      <w:r>
        <w:t>Casos de carga, secuencia, velocidades y estados intermedios.</w:t>
      </w:r>
    </w:p>
    <w:p>
      <w:pPr>
        <w:pStyle w:val="ListBullet"/>
        <w:spacing w:after="40"/>
      </w:pPr>
      <w:r>
        <w:t>Criterios de parada, seguridad y modo de fallo previsto.</w:t>
      </w:r>
    </w:p>
    <w:p>
      <w:pPr>
        <w:pStyle w:val="ListBullet"/>
        <w:spacing w:after="40"/>
      </w:pPr>
      <w:r>
        <w:t>Datos brutos, sincronización, fotografías y vídeo.</w:t>
      </w:r>
    </w:p>
    <w:p>
      <w:pPr>
        <w:pStyle w:val="ListBullet"/>
        <w:spacing w:after="40"/>
      </w:pPr>
      <w:r>
        <w:t>Análisis, incertidumbre, desviaciones y aprobación.</w:t>
      </w:r>
    </w:p>
    <w:p>
      <w:pPr>
        <w:pStyle w:val="Heading2"/>
      </w:pPr>
      <w:r>
        <w:t>11.3 Ensayos de columnas y báculos</w:t>
      </w:r>
    </w:p>
    <w:p>
      <w:r>
        <w:t>La campaña deberá reproducir las configuraciones y procedimientos de ensayo aplicables a la familia. Se medirán como mínimo cargas, desplazamientos, deformaciones locales, giros, apertura o deslizamiento de uniones, comportamiento de puerta y modo de fallo. El informe deberá distinguir claramente carga de servicio, carga de prueba, carga última y cualquier descarga o ciclo.</w:t>
      </w:r>
    </w:p>
    <w:p>
      <w:pPr>
        <w:pStyle w:val="Heading2"/>
      </w:pPr>
      <w:r>
        <w:t>11.4 Seguridad del ensayo</w:t>
      </w:r>
    </w:p>
    <w:p>
      <w:pPr>
        <w:pStyle w:val="ListBullet"/>
        <w:spacing w:after="40"/>
      </w:pPr>
      <w:r>
        <w:t>Análisis de riesgos y zona de exclusión.</w:t>
      </w:r>
    </w:p>
    <w:p>
      <w:pPr>
        <w:pStyle w:val="ListBullet"/>
        <w:spacing w:after="40"/>
      </w:pPr>
      <w:r>
        <w:t>Sistemas redundantes de retención y parada.</w:t>
      </w:r>
    </w:p>
    <w:p>
      <w:pPr>
        <w:pStyle w:val="ListBullet"/>
        <w:spacing w:after="40"/>
      </w:pPr>
      <w:r>
        <w:t>Protección frente a rotura frágil, expulsión de pernos o cables y caída de masas.</w:t>
      </w:r>
    </w:p>
    <w:p>
      <w:pPr>
        <w:pStyle w:val="ListBullet"/>
        <w:spacing w:after="40"/>
      </w:pPr>
      <w:r>
        <w:t>Inspección previa del banco y certificados de equipos.</w:t>
      </w:r>
    </w:p>
    <w:p>
      <w:pPr>
        <w:pStyle w:val="ListBullet"/>
        <w:spacing w:after="40"/>
      </w:pPr>
      <w:r>
        <w:t>Responsable único de autorización de cada escalón de carga.</w:t>
      </w:r>
    </w:p>
    <w:p>
      <w:pPr>
        <w:pStyle w:val="Heading1"/>
      </w:pPr>
      <w:r>
        <w:t>12. Instrumentación, calibración e incertidumbre</w:t>
      </w:r>
    </w:p>
    <w:tbl>
      <w:tblPr>
        <w:tblStyle w:val="TableGrid"/>
        <w:tblW w:type="auto" w:w="0"/>
        <w:jc w:val="center"/>
        <w:tblLook w:firstColumn="1" w:firstRow="1" w:lastColumn="0" w:lastRow="0" w:noHBand="0" w:noVBand="1" w:val="04A0"/>
      </w:tblPr>
      <w:tblGrid>
        <w:gridCol w:w="3362"/>
        <w:gridCol w:w="3362"/>
        <w:gridCol w:w="3362"/>
      </w:tblGrid>
      <w:tr>
        <w:trPr>
          <w:tblHeader/>
          <w:cantSplit/>
        </w:trPr>
        <w:tc>
          <w:tcPr>
            <w:tcW w:type="dxa" w:w="1814"/>
            <w:vAlign w:val="center"/>
            <w:shd w:fill="262626"/>
          </w:tcPr>
          <w:p>
            <w:pPr>
              <w:spacing w:after="0"/>
            </w:pPr>
            <w:r/>
            <w:r>
              <w:rPr>
                <w:rFonts w:ascii="Arial" w:hAnsi="Arial"/>
                <w:b/>
                <w:color w:val="FFFFFF"/>
                <w:sz w:val="15"/>
              </w:rPr>
              <w:t>Magnitud</w:t>
            </w:r>
          </w:p>
        </w:tc>
        <w:tc>
          <w:tcPr>
            <w:tcW w:type="dxa" w:w="3288"/>
            <w:vAlign w:val="center"/>
            <w:shd w:fill="262626"/>
          </w:tcPr>
          <w:p>
            <w:pPr>
              <w:spacing w:after="0"/>
            </w:pPr>
            <w:r/>
            <w:r>
              <w:rPr>
                <w:rFonts w:ascii="Arial" w:hAnsi="Arial"/>
                <w:b/>
                <w:color w:val="FFFFFF"/>
                <w:sz w:val="15"/>
              </w:rPr>
              <w:t>Instrumentos posibles</w:t>
            </w:r>
          </w:p>
        </w:tc>
        <w:tc>
          <w:tcPr>
            <w:tcW w:type="dxa" w:w="4535"/>
            <w:vAlign w:val="center"/>
            <w:shd w:fill="262626"/>
          </w:tcPr>
          <w:p>
            <w:pPr>
              <w:spacing w:after="0"/>
            </w:pPr>
            <w:r/>
            <w:r>
              <w:rPr>
                <w:rFonts w:ascii="Arial" w:hAnsi="Arial"/>
                <w:b/>
                <w:color w:val="FFFFFF"/>
                <w:sz w:val="15"/>
              </w:rPr>
              <w:t>Controles</w:t>
            </w:r>
          </w:p>
        </w:tc>
      </w:tr>
      <w:tr>
        <w:trPr>
          <w:cantSplit/>
        </w:trPr>
        <w:tc>
          <w:tcPr>
            <w:tcW w:type="dxa" w:w="1814"/>
            <w:vAlign w:val="center"/>
          </w:tcPr>
          <w:p>
            <w:pPr>
              <w:spacing w:after="0"/>
            </w:pPr>
            <w:r/>
            <w:r>
              <w:rPr>
                <w:rFonts w:ascii="Arial" w:hAnsi="Arial"/>
                <w:b w:val="0"/>
                <w:sz w:val="15"/>
              </w:rPr>
              <w:t>Fuerza</w:t>
            </w:r>
          </w:p>
        </w:tc>
        <w:tc>
          <w:tcPr>
            <w:tcW w:type="dxa" w:w="3288"/>
            <w:vAlign w:val="center"/>
          </w:tcPr>
          <w:p>
            <w:pPr>
              <w:spacing w:after="0"/>
            </w:pPr>
            <w:r/>
            <w:r>
              <w:rPr>
                <w:rFonts w:ascii="Arial" w:hAnsi="Arial"/>
                <w:b w:val="0"/>
                <w:sz w:val="15"/>
              </w:rPr>
              <w:t>Células de carga, dinamómetros.</w:t>
            </w:r>
          </w:p>
        </w:tc>
        <w:tc>
          <w:tcPr>
            <w:tcW w:type="dxa" w:w="4535"/>
            <w:vAlign w:val="center"/>
          </w:tcPr>
          <w:p>
            <w:pPr>
              <w:spacing w:after="0"/>
            </w:pPr>
            <w:r/>
            <w:r>
              <w:rPr>
                <w:rFonts w:ascii="Arial" w:hAnsi="Arial"/>
                <w:b w:val="0"/>
                <w:sz w:val="15"/>
              </w:rPr>
              <w:t>Rango, linealidad, deriva y montaje.</w:t>
            </w:r>
          </w:p>
        </w:tc>
      </w:tr>
      <w:tr>
        <w:trPr>
          <w:cantSplit/>
        </w:trPr>
        <w:tc>
          <w:tcPr>
            <w:tcW w:type="dxa" w:w="1814"/>
            <w:vAlign w:val="center"/>
            <w:shd w:fill="F2F2F2"/>
          </w:tcPr>
          <w:p>
            <w:pPr>
              <w:spacing w:after="0"/>
            </w:pPr>
            <w:r/>
            <w:r>
              <w:rPr>
                <w:rFonts w:ascii="Arial" w:hAnsi="Arial"/>
                <w:b w:val="0"/>
                <w:sz w:val="15"/>
              </w:rPr>
              <w:t>Desplazamiento</w:t>
            </w:r>
          </w:p>
        </w:tc>
        <w:tc>
          <w:tcPr>
            <w:tcW w:type="dxa" w:w="3288"/>
            <w:vAlign w:val="center"/>
            <w:shd w:fill="F2F2F2"/>
          </w:tcPr>
          <w:p>
            <w:pPr>
              <w:spacing w:after="0"/>
            </w:pPr>
            <w:r/>
            <w:r>
              <w:rPr>
                <w:rFonts w:ascii="Arial" w:hAnsi="Arial"/>
                <w:b w:val="0"/>
                <w:sz w:val="15"/>
              </w:rPr>
              <w:t>LVDT, láser, fotogrametría.</w:t>
            </w:r>
          </w:p>
        </w:tc>
        <w:tc>
          <w:tcPr>
            <w:tcW w:type="dxa" w:w="4535"/>
            <w:vAlign w:val="center"/>
            <w:shd w:fill="F2F2F2"/>
          </w:tcPr>
          <w:p>
            <w:pPr>
              <w:spacing w:after="0"/>
            </w:pPr>
            <w:r/>
            <w:r>
              <w:rPr>
                <w:rFonts w:ascii="Arial" w:hAnsi="Arial"/>
                <w:b w:val="0"/>
                <w:sz w:val="15"/>
              </w:rPr>
              <w:t>Referencia fija y alineación.</w:t>
            </w:r>
          </w:p>
        </w:tc>
      </w:tr>
      <w:tr>
        <w:trPr>
          <w:cantSplit/>
        </w:trPr>
        <w:tc>
          <w:tcPr>
            <w:tcW w:type="dxa" w:w="1814"/>
            <w:vAlign w:val="center"/>
          </w:tcPr>
          <w:p>
            <w:pPr>
              <w:spacing w:after="0"/>
            </w:pPr>
            <w:r/>
            <w:r>
              <w:rPr>
                <w:rFonts w:ascii="Arial" w:hAnsi="Arial"/>
                <w:b w:val="0"/>
                <w:sz w:val="15"/>
              </w:rPr>
              <w:t>Deformación</w:t>
            </w:r>
          </w:p>
        </w:tc>
        <w:tc>
          <w:tcPr>
            <w:tcW w:type="dxa" w:w="3288"/>
            <w:vAlign w:val="center"/>
          </w:tcPr>
          <w:p>
            <w:pPr>
              <w:spacing w:after="0"/>
            </w:pPr>
            <w:r/>
            <w:r>
              <w:rPr>
                <w:rFonts w:ascii="Arial" w:hAnsi="Arial"/>
                <w:b w:val="0"/>
                <w:sz w:val="15"/>
              </w:rPr>
              <w:t>Galgas, fibra óptica, DIC.</w:t>
            </w:r>
          </w:p>
        </w:tc>
        <w:tc>
          <w:tcPr>
            <w:tcW w:type="dxa" w:w="4535"/>
            <w:vAlign w:val="center"/>
          </w:tcPr>
          <w:p>
            <w:pPr>
              <w:spacing w:after="0"/>
            </w:pPr>
            <w:r/>
            <w:r>
              <w:rPr>
                <w:rFonts w:ascii="Arial" w:hAnsi="Arial"/>
                <w:b w:val="0"/>
                <w:sz w:val="15"/>
              </w:rPr>
              <w:t>Compensación térmica y adherencia.</w:t>
            </w:r>
          </w:p>
        </w:tc>
      </w:tr>
      <w:tr>
        <w:trPr>
          <w:cantSplit/>
        </w:trPr>
        <w:tc>
          <w:tcPr>
            <w:tcW w:type="dxa" w:w="1814"/>
            <w:vAlign w:val="center"/>
            <w:shd w:fill="F2F2F2"/>
          </w:tcPr>
          <w:p>
            <w:pPr>
              <w:spacing w:after="0"/>
            </w:pPr>
            <w:r/>
            <w:r>
              <w:rPr>
                <w:rFonts w:ascii="Arial" w:hAnsi="Arial"/>
                <w:b w:val="0"/>
                <w:sz w:val="15"/>
              </w:rPr>
              <w:t>Aceleración</w:t>
            </w:r>
          </w:p>
        </w:tc>
        <w:tc>
          <w:tcPr>
            <w:tcW w:type="dxa" w:w="3288"/>
            <w:vAlign w:val="center"/>
            <w:shd w:fill="F2F2F2"/>
          </w:tcPr>
          <w:p>
            <w:pPr>
              <w:spacing w:after="0"/>
            </w:pPr>
            <w:r/>
            <w:r>
              <w:rPr>
                <w:rFonts w:ascii="Arial" w:hAnsi="Arial"/>
                <w:b w:val="0"/>
                <w:sz w:val="15"/>
              </w:rPr>
              <w:t>Acelerómetros.</w:t>
            </w:r>
          </w:p>
        </w:tc>
        <w:tc>
          <w:tcPr>
            <w:tcW w:type="dxa" w:w="4535"/>
            <w:vAlign w:val="center"/>
            <w:shd w:fill="F2F2F2"/>
          </w:tcPr>
          <w:p>
            <w:pPr>
              <w:spacing w:after="0"/>
            </w:pPr>
            <w:r/>
            <w:r>
              <w:rPr>
                <w:rFonts w:ascii="Arial" w:hAnsi="Arial"/>
                <w:b w:val="0"/>
                <w:sz w:val="15"/>
              </w:rPr>
              <w:t>Masa, orientación y frecuencia.</w:t>
            </w:r>
          </w:p>
        </w:tc>
      </w:tr>
      <w:tr>
        <w:trPr>
          <w:cantSplit/>
        </w:trPr>
        <w:tc>
          <w:tcPr>
            <w:tcW w:type="dxa" w:w="1814"/>
            <w:vAlign w:val="center"/>
          </w:tcPr>
          <w:p>
            <w:pPr>
              <w:spacing w:after="0"/>
            </w:pPr>
            <w:r/>
            <w:r>
              <w:rPr>
                <w:rFonts w:ascii="Arial" w:hAnsi="Arial"/>
                <w:b w:val="0"/>
                <w:sz w:val="15"/>
              </w:rPr>
              <w:t>Tensión de cable</w:t>
            </w:r>
          </w:p>
        </w:tc>
        <w:tc>
          <w:tcPr>
            <w:tcW w:type="dxa" w:w="3288"/>
            <w:vAlign w:val="center"/>
          </w:tcPr>
          <w:p>
            <w:pPr>
              <w:spacing w:after="0"/>
            </w:pPr>
            <w:r/>
            <w:r>
              <w:rPr>
                <w:rFonts w:ascii="Arial" w:hAnsi="Arial"/>
                <w:b w:val="0"/>
                <w:sz w:val="15"/>
              </w:rPr>
              <w:t>Célula, frecuencia vibratoria, jack.</w:t>
            </w:r>
          </w:p>
        </w:tc>
        <w:tc>
          <w:tcPr>
            <w:tcW w:type="dxa" w:w="4535"/>
            <w:vAlign w:val="center"/>
          </w:tcPr>
          <w:p>
            <w:pPr>
              <w:spacing w:after="0"/>
            </w:pPr>
            <w:r/>
            <w:r>
              <w:rPr>
                <w:rFonts w:ascii="Arial" w:hAnsi="Arial"/>
                <w:b w:val="0"/>
                <w:sz w:val="15"/>
              </w:rPr>
              <w:t>Método y temperatura.</w:t>
            </w:r>
          </w:p>
        </w:tc>
      </w:tr>
      <w:tr>
        <w:trPr>
          <w:cantSplit/>
        </w:trPr>
        <w:tc>
          <w:tcPr>
            <w:tcW w:type="dxa" w:w="1814"/>
            <w:vAlign w:val="center"/>
            <w:shd w:fill="F2F2F2"/>
          </w:tcPr>
          <w:p>
            <w:pPr>
              <w:spacing w:after="0"/>
            </w:pPr>
            <w:r/>
            <w:r>
              <w:rPr>
                <w:rFonts w:ascii="Arial" w:hAnsi="Arial"/>
                <w:b w:val="0"/>
                <w:sz w:val="15"/>
              </w:rPr>
              <w:t>Temperatura</w:t>
            </w:r>
          </w:p>
        </w:tc>
        <w:tc>
          <w:tcPr>
            <w:tcW w:type="dxa" w:w="3288"/>
            <w:vAlign w:val="center"/>
            <w:shd w:fill="F2F2F2"/>
          </w:tcPr>
          <w:p>
            <w:pPr>
              <w:spacing w:after="0"/>
            </w:pPr>
            <w:r/>
            <w:r>
              <w:rPr>
                <w:rFonts w:ascii="Arial" w:hAnsi="Arial"/>
                <w:b w:val="0"/>
                <w:sz w:val="15"/>
              </w:rPr>
              <w:t>Termopares/RTD.</w:t>
            </w:r>
          </w:p>
        </w:tc>
        <w:tc>
          <w:tcPr>
            <w:tcW w:type="dxa" w:w="4535"/>
            <w:vAlign w:val="center"/>
            <w:shd w:fill="F2F2F2"/>
          </w:tcPr>
          <w:p>
            <w:pPr>
              <w:spacing w:after="0"/>
            </w:pPr>
            <w:r/>
            <w:r>
              <w:rPr>
                <w:rFonts w:ascii="Arial" w:hAnsi="Arial"/>
                <w:b w:val="0"/>
                <w:sz w:val="15"/>
              </w:rPr>
              <w:t>Ubicación y respuesta.</w:t>
            </w:r>
          </w:p>
        </w:tc>
      </w:tr>
      <w:tr>
        <w:trPr>
          <w:cantSplit/>
        </w:trPr>
        <w:tc>
          <w:tcPr>
            <w:tcW w:type="dxa" w:w="1814"/>
            <w:vAlign w:val="center"/>
          </w:tcPr>
          <w:p>
            <w:pPr>
              <w:spacing w:after="0"/>
            </w:pPr>
            <w:r/>
            <w:r>
              <w:rPr>
                <w:rFonts w:ascii="Arial" w:hAnsi="Arial"/>
                <w:b w:val="0"/>
                <w:sz w:val="15"/>
              </w:rPr>
              <w:t>Geometría</w:t>
            </w:r>
          </w:p>
        </w:tc>
        <w:tc>
          <w:tcPr>
            <w:tcW w:type="dxa" w:w="3288"/>
            <w:vAlign w:val="center"/>
          </w:tcPr>
          <w:p>
            <w:pPr>
              <w:spacing w:after="0"/>
            </w:pPr>
            <w:r/>
            <w:r>
              <w:rPr>
                <w:rFonts w:ascii="Arial" w:hAnsi="Arial"/>
                <w:b w:val="0"/>
                <w:sz w:val="15"/>
              </w:rPr>
              <w:t>Escáner, estación total, calibre.</w:t>
            </w:r>
          </w:p>
        </w:tc>
        <w:tc>
          <w:tcPr>
            <w:tcW w:type="dxa" w:w="4535"/>
            <w:vAlign w:val="center"/>
          </w:tcPr>
          <w:p>
            <w:pPr>
              <w:spacing w:after="0"/>
            </w:pPr>
            <w:r/>
            <w:r>
              <w:rPr>
                <w:rFonts w:ascii="Arial" w:hAnsi="Arial"/>
                <w:b w:val="0"/>
                <w:sz w:val="15"/>
              </w:rPr>
              <w:t>Datum y tolerancia.</w:t>
            </w:r>
          </w:p>
        </w:tc>
      </w:tr>
    </w:tbl>
    <w:p>
      <w:pPr>
        <w:spacing w:after="20"/>
      </w:pPr>
    </w:p>
    <w:p>
      <w:pPr>
        <w:pStyle w:val="Heading2"/>
      </w:pPr>
      <w:r>
        <w:t>12.1 Presupuesto de incertidumbre</w:t>
      </w:r>
    </w:p>
    <w:p>
      <w:r>
        <w:t>Cada resultado experimental crítico incluirá incertidumbre combinada. Como mínimo se considerarán calibración, repetibilidad, resolución, montaje, temperatura, alineación y procesamiento. El criterio de aceptación deberá considerar la banda de incertidumbre; no se declarará cumplimiento cuando la conclusión dependa únicamente de redondear un valor favorable.</w:t>
      </w:r>
    </w:p>
    <w:p>
      <w:pPr>
        <w:pStyle w:val="SalviCode"/>
      </w:pPr>
      <w:r>
        <w:t>U = k · sqrt(u1² + u2² + ... + un²)</w:t>
      </w:r>
    </w:p>
    <w:p>
      <w:r>
        <w:t>El factor de cobertura k y el nivel de confianza deberán declararse. Esta expresión es una estructura general; el presupuesto concreto dependerá del método y de las correlaciones entre fuentes.</w:t>
      </w:r>
    </w:p>
    <w:p>
      <w:pPr>
        <w:pStyle w:val="Heading1"/>
      </w:pPr>
      <w:r>
        <w:t>13. Correlación y actualización del modelo</w:t>
      </w:r>
    </w:p>
    <w:tbl>
      <w:tblPr>
        <w:tblStyle w:val="TableGrid"/>
        <w:tblW w:type="auto" w:w="0"/>
        <w:jc w:val="center"/>
        <w:tblLook w:firstColumn="1" w:firstRow="1" w:lastColumn="0" w:lastRow="0" w:noHBand="0" w:noVBand="1" w:val="04A0"/>
      </w:tblPr>
      <w:tblGrid>
        <w:gridCol w:w="5043"/>
        <w:gridCol w:w="5043"/>
      </w:tblGrid>
      <w:tr>
        <w:trPr>
          <w:tblHeader/>
          <w:cantSplit/>
        </w:trPr>
        <w:tc>
          <w:tcPr>
            <w:tcW w:type="dxa" w:w="2551"/>
            <w:vAlign w:val="center"/>
            <w:shd w:fill="262626"/>
          </w:tcPr>
          <w:p>
            <w:pPr>
              <w:spacing w:after="0"/>
            </w:pPr>
            <w:r/>
            <w:r>
              <w:rPr>
                <w:rFonts w:ascii="Arial" w:hAnsi="Arial"/>
                <w:b/>
                <w:color w:val="FFFFFF"/>
                <w:sz w:val="16"/>
              </w:rPr>
              <w:t>Métrica</w:t>
            </w:r>
          </w:p>
        </w:tc>
        <w:tc>
          <w:tcPr>
            <w:tcW w:type="dxa" w:w="7087"/>
            <w:vAlign w:val="center"/>
            <w:shd w:fill="262626"/>
          </w:tcPr>
          <w:p>
            <w:pPr>
              <w:spacing w:after="0"/>
            </w:pPr>
            <w:r/>
            <w:r>
              <w:rPr>
                <w:rFonts w:ascii="Arial" w:hAnsi="Arial"/>
                <w:b/>
                <w:color w:val="FFFFFF"/>
                <w:sz w:val="16"/>
              </w:rPr>
              <w:t>Uso</w:t>
            </w:r>
          </w:p>
        </w:tc>
      </w:tr>
      <w:tr>
        <w:trPr>
          <w:cantSplit/>
        </w:trPr>
        <w:tc>
          <w:tcPr>
            <w:tcW w:type="dxa" w:w="2551"/>
            <w:vAlign w:val="center"/>
          </w:tcPr>
          <w:p>
            <w:pPr>
              <w:spacing w:after="0"/>
            </w:pPr>
            <w:r/>
            <w:r>
              <w:rPr>
                <w:rFonts w:ascii="Arial" w:hAnsi="Arial"/>
                <w:b w:val="0"/>
                <w:sz w:val="16"/>
              </w:rPr>
              <w:t>Sesgo medio</w:t>
            </w:r>
          </w:p>
        </w:tc>
        <w:tc>
          <w:tcPr>
            <w:tcW w:type="dxa" w:w="7087"/>
            <w:vAlign w:val="center"/>
          </w:tcPr>
          <w:p>
            <w:pPr>
              <w:spacing w:after="0"/>
            </w:pPr>
            <w:r/>
            <w:r>
              <w:rPr>
                <w:rFonts w:ascii="Arial" w:hAnsi="Arial"/>
                <w:b w:val="0"/>
                <w:sz w:val="16"/>
              </w:rPr>
              <w:t>Detectar tendencia sistemática conservadora o no conservadora.</w:t>
            </w:r>
          </w:p>
        </w:tc>
      </w:tr>
      <w:tr>
        <w:trPr>
          <w:cantSplit/>
        </w:trPr>
        <w:tc>
          <w:tcPr>
            <w:tcW w:type="dxa" w:w="2551"/>
            <w:vAlign w:val="center"/>
            <w:shd w:fill="F2F2F2"/>
          </w:tcPr>
          <w:p>
            <w:pPr>
              <w:spacing w:after="0"/>
            </w:pPr>
            <w:r/>
            <w:r>
              <w:rPr>
                <w:rFonts w:ascii="Arial" w:hAnsi="Arial"/>
                <w:b w:val="0"/>
                <w:sz w:val="16"/>
              </w:rPr>
              <w:t>RMSE</w:t>
            </w:r>
          </w:p>
        </w:tc>
        <w:tc>
          <w:tcPr>
            <w:tcW w:type="dxa" w:w="7087"/>
            <w:vAlign w:val="center"/>
            <w:shd w:fill="F2F2F2"/>
          </w:tcPr>
          <w:p>
            <w:pPr>
              <w:spacing w:after="0"/>
            </w:pPr>
            <w:r/>
            <w:r>
              <w:rPr>
                <w:rFonts w:ascii="Arial" w:hAnsi="Arial"/>
                <w:b w:val="0"/>
                <w:sz w:val="16"/>
              </w:rPr>
              <w:t>Magnitud global de error.</w:t>
            </w:r>
          </w:p>
        </w:tc>
      </w:tr>
      <w:tr>
        <w:trPr>
          <w:cantSplit/>
        </w:trPr>
        <w:tc>
          <w:tcPr>
            <w:tcW w:type="dxa" w:w="2551"/>
            <w:vAlign w:val="center"/>
          </w:tcPr>
          <w:p>
            <w:pPr>
              <w:spacing w:after="0"/>
            </w:pPr>
            <w:r/>
            <w:r>
              <w:rPr>
                <w:rFonts w:ascii="Arial" w:hAnsi="Arial"/>
                <w:b w:val="0"/>
                <w:sz w:val="16"/>
              </w:rPr>
              <w:t>Error máximo</w:t>
            </w:r>
          </w:p>
        </w:tc>
        <w:tc>
          <w:tcPr>
            <w:tcW w:type="dxa" w:w="7087"/>
            <w:vAlign w:val="center"/>
          </w:tcPr>
          <w:p>
            <w:pPr>
              <w:spacing w:after="0"/>
            </w:pPr>
            <w:r/>
            <w:r>
              <w:rPr>
                <w:rFonts w:ascii="Arial" w:hAnsi="Arial"/>
                <w:b w:val="0"/>
                <w:sz w:val="16"/>
              </w:rPr>
              <w:t>Identificar peor punto o caso.</w:t>
            </w:r>
          </w:p>
        </w:tc>
      </w:tr>
      <w:tr>
        <w:trPr>
          <w:cantSplit/>
        </w:trPr>
        <w:tc>
          <w:tcPr>
            <w:tcW w:type="dxa" w:w="2551"/>
            <w:vAlign w:val="center"/>
            <w:shd w:fill="F2F2F2"/>
          </w:tcPr>
          <w:p>
            <w:pPr>
              <w:spacing w:after="0"/>
            </w:pPr>
            <w:r/>
            <w:r>
              <w:rPr>
                <w:rFonts w:ascii="Arial" w:hAnsi="Arial"/>
                <w:b w:val="0"/>
                <w:sz w:val="16"/>
              </w:rPr>
              <w:t>Factor de modelo</w:t>
            </w:r>
          </w:p>
        </w:tc>
        <w:tc>
          <w:tcPr>
            <w:tcW w:type="dxa" w:w="7087"/>
            <w:vAlign w:val="center"/>
            <w:shd w:fill="F2F2F2"/>
          </w:tcPr>
          <w:p>
            <w:pPr>
              <w:spacing w:after="0"/>
            </w:pPr>
            <w:r/>
            <w:r>
              <w:rPr>
                <w:rFonts w:ascii="Arial" w:hAnsi="Arial"/>
                <w:b w:val="0"/>
                <w:sz w:val="16"/>
              </w:rPr>
              <w:t>Relación observado/predicho por modo de fallo.</w:t>
            </w:r>
          </w:p>
        </w:tc>
      </w:tr>
      <w:tr>
        <w:trPr>
          <w:cantSplit/>
        </w:trPr>
        <w:tc>
          <w:tcPr>
            <w:tcW w:type="dxa" w:w="2551"/>
            <w:vAlign w:val="center"/>
          </w:tcPr>
          <w:p>
            <w:pPr>
              <w:spacing w:after="0"/>
            </w:pPr>
            <w:r/>
            <w:r>
              <w:rPr>
                <w:rFonts w:ascii="Arial" w:hAnsi="Arial"/>
                <w:b w:val="0"/>
                <w:sz w:val="16"/>
              </w:rPr>
              <w:t>Correlación de formas</w:t>
            </w:r>
          </w:p>
        </w:tc>
        <w:tc>
          <w:tcPr>
            <w:tcW w:type="dxa" w:w="7087"/>
            <w:vAlign w:val="center"/>
          </w:tcPr>
          <w:p>
            <w:pPr>
              <w:spacing w:after="0"/>
            </w:pPr>
            <w:r/>
            <w:r>
              <w:rPr>
                <w:rFonts w:ascii="Arial" w:hAnsi="Arial"/>
                <w:b w:val="0"/>
                <w:sz w:val="16"/>
              </w:rPr>
              <w:t>Comparar deformadas o modos propios.</w:t>
            </w:r>
          </w:p>
        </w:tc>
      </w:tr>
      <w:tr>
        <w:trPr>
          <w:cantSplit/>
        </w:trPr>
        <w:tc>
          <w:tcPr>
            <w:tcW w:type="dxa" w:w="2551"/>
            <w:vAlign w:val="center"/>
            <w:shd w:fill="F2F2F2"/>
          </w:tcPr>
          <w:p>
            <w:pPr>
              <w:spacing w:after="0"/>
            </w:pPr>
            <w:r/>
            <w:r>
              <w:rPr>
                <w:rFonts w:ascii="Arial" w:hAnsi="Arial"/>
                <w:b w:val="0"/>
                <w:sz w:val="16"/>
              </w:rPr>
              <w:t>Frecuencia/amortiguamiento</w:t>
            </w:r>
          </w:p>
        </w:tc>
        <w:tc>
          <w:tcPr>
            <w:tcW w:type="dxa" w:w="7087"/>
            <w:vAlign w:val="center"/>
            <w:shd w:fill="F2F2F2"/>
          </w:tcPr>
          <w:p>
            <w:pPr>
              <w:spacing w:after="0"/>
            </w:pPr>
            <w:r/>
            <w:r>
              <w:rPr>
                <w:rFonts w:ascii="Arial" w:hAnsi="Arial"/>
                <w:b w:val="0"/>
                <w:sz w:val="16"/>
              </w:rPr>
              <w:t>Validar respuesta dinámica.</w:t>
            </w:r>
          </w:p>
        </w:tc>
      </w:tr>
      <w:tr>
        <w:trPr>
          <w:cantSplit/>
        </w:trPr>
        <w:tc>
          <w:tcPr>
            <w:tcW w:type="dxa" w:w="2551"/>
            <w:vAlign w:val="center"/>
          </w:tcPr>
          <w:p>
            <w:pPr>
              <w:spacing w:after="0"/>
            </w:pPr>
            <w:r/>
            <w:r>
              <w:rPr>
                <w:rFonts w:ascii="Arial" w:hAnsi="Arial"/>
                <w:b w:val="0"/>
                <w:sz w:val="16"/>
              </w:rPr>
              <w:t>Cobertura</w:t>
            </w:r>
          </w:p>
        </w:tc>
        <w:tc>
          <w:tcPr>
            <w:tcW w:type="dxa" w:w="7087"/>
            <w:vAlign w:val="center"/>
          </w:tcPr>
          <w:p>
            <w:pPr>
              <w:spacing w:after="0"/>
            </w:pPr>
            <w:r/>
            <w:r>
              <w:rPr>
                <w:rFonts w:ascii="Arial" w:hAnsi="Arial"/>
                <w:b w:val="0"/>
                <w:sz w:val="16"/>
              </w:rPr>
              <w:t>Porcentaje de resultados dentro de bandas objetivo.</w:t>
            </w:r>
          </w:p>
        </w:tc>
      </w:tr>
    </w:tbl>
    <w:p>
      <w:pPr>
        <w:spacing w:after="20"/>
      </w:pPr>
    </w:p>
    <w:p>
      <w:pPr>
        <w:pStyle w:val="Heading2"/>
      </w:pPr>
      <w:r>
        <w:t>13.1 Reglas de calibración</w:t>
      </w:r>
    </w:p>
    <w:p>
      <w:pPr>
        <w:pStyle w:val="ListBullet"/>
        <w:spacing w:after="40"/>
      </w:pPr>
      <w:r>
        <w:t>El parámetro ajustado debe corresponder a una propiedad física o modelo explícito.</w:t>
      </w:r>
    </w:p>
    <w:p>
      <w:pPr>
        <w:pStyle w:val="ListBullet"/>
        <w:spacing w:after="40"/>
      </w:pPr>
      <w:r>
        <w:t>La calibración se realizará con un subconjunto y se validará con datos independientes.</w:t>
      </w:r>
    </w:p>
    <w:p>
      <w:pPr>
        <w:pStyle w:val="ListBullet"/>
        <w:spacing w:after="40"/>
      </w:pPr>
      <w:r>
        <w:t>No se calibrará un factor único para corregir errores de varias fuentes diferentes.</w:t>
      </w:r>
    </w:p>
    <w:p>
      <w:pPr>
        <w:pStyle w:val="ListBullet"/>
        <w:spacing w:after="40"/>
      </w:pPr>
      <w:r>
        <w:t>Todo factor de modelo tendrá dominio, incertidumbre, fecha y propietario.</w:t>
      </w:r>
    </w:p>
    <w:p>
      <w:pPr>
        <w:pStyle w:val="ListBullet"/>
        <w:spacing w:after="40"/>
      </w:pPr>
      <w:r>
        <w:t>Una actualización no se aplicará retroactivamente sin análisis de impacto.</w:t>
      </w:r>
    </w:p>
    <w:p>
      <w:r>
        <w:br w:type="page"/>
      </w:r>
    </w:p>
    <w:p>
      <w:pPr>
        <w:pStyle w:val="Heading1"/>
      </w:pPr>
      <w:r>
        <w:t>14. Validación industrial y control de producción</w:t>
      </w:r>
    </w:p>
    <w:p>
      <w:r>
        <w:t>El cálculo solo es válido si la fábrica o subcontratista puede reproducir la geometría, material, uniones, tratamiento y tolerancias asumidas. La validación industrial conectará el modelo digital con la pieza real.</w:t>
      </w:r>
    </w:p>
    <w:p>
      <w:pPr>
        <w:pStyle w:val="Heading2"/>
      </w:pPr>
      <w:r>
        <w:t>14.1 First Article Inspection (FAI)</w:t>
      </w:r>
    </w:p>
    <w:tbl>
      <w:tblPr>
        <w:tblStyle w:val="TableGrid"/>
        <w:tblW w:type="auto" w:w="0"/>
        <w:jc w:val="center"/>
        <w:tblLook w:firstColumn="1" w:firstRow="1" w:lastColumn="0" w:lastRow="0" w:noHBand="0" w:noVBand="1" w:val="04A0"/>
      </w:tblPr>
      <w:tblGrid>
        <w:gridCol w:w="5043"/>
        <w:gridCol w:w="5043"/>
      </w:tblGrid>
      <w:tr>
        <w:trPr>
          <w:tblHeader/>
          <w:cantSplit/>
        </w:trPr>
        <w:tc>
          <w:tcPr>
            <w:tcW w:type="dxa" w:w="2041"/>
            <w:vAlign w:val="center"/>
            <w:shd w:fill="262626"/>
          </w:tcPr>
          <w:p>
            <w:pPr>
              <w:spacing w:after="0"/>
            </w:pPr>
            <w:r/>
            <w:r>
              <w:rPr>
                <w:rFonts w:ascii="Arial" w:hAnsi="Arial"/>
                <w:b/>
                <w:color w:val="FFFFFF"/>
                <w:sz w:val="16"/>
              </w:rPr>
              <w:t>Bloque</w:t>
            </w:r>
          </w:p>
        </w:tc>
        <w:tc>
          <w:tcPr>
            <w:tcW w:type="dxa" w:w="7597"/>
            <w:vAlign w:val="center"/>
            <w:shd w:fill="262626"/>
          </w:tcPr>
          <w:p>
            <w:pPr>
              <w:spacing w:after="0"/>
            </w:pPr>
            <w:r/>
            <w:r>
              <w:rPr>
                <w:rFonts w:ascii="Arial" w:hAnsi="Arial"/>
                <w:b/>
                <w:color w:val="FFFFFF"/>
                <w:sz w:val="16"/>
              </w:rPr>
              <w:t>Verificaciones</w:t>
            </w:r>
          </w:p>
        </w:tc>
      </w:tr>
      <w:tr>
        <w:trPr>
          <w:cantSplit/>
        </w:trPr>
        <w:tc>
          <w:tcPr>
            <w:tcW w:type="dxa" w:w="2041"/>
            <w:vAlign w:val="center"/>
          </w:tcPr>
          <w:p>
            <w:pPr>
              <w:spacing w:after="0"/>
            </w:pPr>
            <w:r/>
            <w:r>
              <w:rPr>
                <w:rFonts w:ascii="Arial" w:hAnsi="Arial"/>
                <w:b w:val="0"/>
                <w:sz w:val="16"/>
              </w:rPr>
              <w:t>Identidad</w:t>
            </w:r>
          </w:p>
        </w:tc>
        <w:tc>
          <w:tcPr>
            <w:tcW w:type="dxa" w:w="7597"/>
            <w:vAlign w:val="center"/>
          </w:tcPr>
          <w:p>
            <w:pPr>
              <w:spacing w:after="0"/>
            </w:pPr>
            <w:r/>
            <w:r>
              <w:rPr>
                <w:rFonts w:ascii="Arial" w:hAnsi="Arial"/>
                <w:b w:val="0"/>
                <w:sz w:val="16"/>
              </w:rPr>
              <w:t>Referencia, revisión, lote, proveedor y trazabilidad.</w:t>
            </w:r>
          </w:p>
        </w:tc>
      </w:tr>
      <w:tr>
        <w:trPr>
          <w:cantSplit/>
        </w:trPr>
        <w:tc>
          <w:tcPr>
            <w:tcW w:type="dxa" w:w="2041"/>
            <w:vAlign w:val="center"/>
            <w:shd w:fill="F2F2F2"/>
          </w:tcPr>
          <w:p>
            <w:pPr>
              <w:spacing w:after="0"/>
            </w:pPr>
            <w:r/>
            <w:r>
              <w:rPr>
                <w:rFonts w:ascii="Arial" w:hAnsi="Arial"/>
                <w:b w:val="0"/>
                <w:sz w:val="16"/>
              </w:rPr>
              <w:t>Material</w:t>
            </w:r>
          </w:p>
        </w:tc>
        <w:tc>
          <w:tcPr>
            <w:tcW w:type="dxa" w:w="7597"/>
            <w:vAlign w:val="center"/>
            <w:shd w:fill="F2F2F2"/>
          </w:tcPr>
          <w:p>
            <w:pPr>
              <w:spacing w:after="0"/>
            </w:pPr>
            <w:r/>
            <w:r>
              <w:rPr>
                <w:rFonts w:ascii="Arial" w:hAnsi="Arial"/>
                <w:b w:val="0"/>
                <w:sz w:val="16"/>
              </w:rPr>
              <w:t>Certificados, espesor, aleación, temple, hormigón, cordones.</w:t>
            </w:r>
          </w:p>
        </w:tc>
      </w:tr>
      <w:tr>
        <w:trPr>
          <w:cantSplit/>
        </w:trPr>
        <w:tc>
          <w:tcPr>
            <w:tcW w:type="dxa" w:w="2041"/>
            <w:vAlign w:val="center"/>
          </w:tcPr>
          <w:p>
            <w:pPr>
              <w:spacing w:after="0"/>
            </w:pPr>
            <w:r/>
            <w:r>
              <w:rPr>
                <w:rFonts w:ascii="Arial" w:hAnsi="Arial"/>
                <w:b w:val="0"/>
                <w:sz w:val="16"/>
              </w:rPr>
              <w:t>Geometría</w:t>
            </w:r>
          </w:p>
        </w:tc>
        <w:tc>
          <w:tcPr>
            <w:tcW w:type="dxa" w:w="7597"/>
            <w:vAlign w:val="center"/>
          </w:tcPr>
          <w:p>
            <w:pPr>
              <w:spacing w:after="0"/>
            </w:pPr>
            <w:r/>
            <w:r>
              <w:rPr>
                <w:rFonts w:ascii="Arial" w:hAnsi="Arial"/>
                <w:b w:val="0"/>
                <w:sz w:val="16"/>
              </w:rPr>
              <w:t>Longitudes, diámetros, conicidad, rectitud, puerta, placa y uniones.</w:t>
            </w:r>
          </w:p>
        </w:tc>
      </w:tr>
      <w:tr>
        <w:trPr>
          <w:cantSplit/>
        </w:trPr>
        <w:tc>
          <w:tcPr>
            <w:tcW w:type="dxa" w:w="2041"/>
            <w:vAlign w:val="center"/>
            <w:shd w:fill="F2F2F2"/>
          </w:tcPr>
          <w:p>
            <w:pPr>
              <w:spacing w:after="0"/>
            </w:pPr>
            <w:r/>
            <w:r>
              <w:rPr>
                <w:rFonts w:ascii="Arial" w:hAnsi="Arial"/>
                <w:b w:val="0"/>
                <w:sz w:val="16"/>
              </w:rPr>
              <w:t>Procesos</w:t>
            </w:r>
          </w:p>
        </w:tc>
        <w:tc>
          <w:tcPr>
            <w:tcW w:type="dxa" w:w="7597"/>
            <w:vAlign w:val="center"/>
            <w:shd w:fill="F2F2F2"/>
          </w:tcPr>
          <w:p>
            <w:pPr>
              <w:spacing w:after="0"/>
            </w:pPr>
            <w:r/>
            <w:r>
              <w:rPr>
                <w:rFonts w:ascii="Arial" w:hAnsi="Arial"/>
                <w:b w:val="0"/>
                <w:sz w:val="16"/>
              </w:rPr>
              <w:t>Plegado, soldadura, FSW, pretensado, galvanizado, pintura y curado.</w:t>
            </w:r>
          </w:p>
        </w:tc>
      </w:tr>
      <w:tr>
        <w:trPr>
          <w:cantSplit/>
        </w:trPr>
        <w:tc>
          <w:tcPr>
            <w:tcW w:type="dxa" w:w="2041"/>
            <w:vAlign w:val="center"/>
          </w:tcPr>
          <w:p>
            <w:pPr>
              <w:spacing w:after="0"/>
            </w:pPr>
            <w:r/>
            <w:r>
              <w:rPr>
                <w:rFonts w:ascii="Arial" w:hAnsi="Arial"/>
                <w:b w:val="0"/>
                <w:sz w:val="16"/>
              </w:rPr>
              <w:t>END</w:t>
            </w:r>
          </w:p>
        </w:tc>
        <w:tc>
          <w:tcPr>
            <w:tcW w:type="dxa" w:w="7597"/>
            <w:vAlign w:val="center"/>
          </w:tcPr>
          <w:p>
            <w:pPr>
              <w:spacing w:after="0"/>
            </w:pPr>
            <w:r/>
            <w:r>
              <w:rPr>
                <w:rFonts w:ascii="Arial" w:hAnsi="Arial"/>
                <w:b w:val="0"/>
                <w:sz w:val="16"/>
              </w:rPr>
              <w:t>Método, alcance, resultados y aceptación.</w:t>
            </w:r>
          </w:p>
        </w:tc>
      </w:tr>
      <w:tr>
        <w:trPr>
          <w:cantSplit/>
        </w:trPr>
        <w:tc>
          <w:tcPr>
            <w:tcW w:type="dxa" w:w="2041"/>
            <w:vAlign w:val="center"/>
            <w:shd w:fill="F2F2F2"/>
          </w:tcPr>
          <w:p>
            <w:pPr>
              <w:spacing w:after="0"/>
            </w:pPr>
            <w:r/>
            <w:r>
              <w:rPr>
                <w:rFonts w:ascii="Arial" w:hAnsi="Arial"/>
                <w:b w:val="0"/>
                <w:sz w:val="16"/>
              </w:rPr>
              <w:t>Montaje</w:t>
            </w:r>
          </w:p>
        </w:tc>
        <w:tc>
          <w:tcPr>
            <w:tcW w:type="dxa" w:w="7597"/>
            <w:vAlign w:val="center"/>
            <w:shd w:fill="F2F2F2"/>
          </w:tcPr>
          <w:p>
            <w:pPr>
              <w:spacing w:after="0"/>
            </w:pPr>
            <w:r/>
            <w:r>
              <w:rPr>
                <w:rFonts w:ascii="Arial" w:hAnsi="Arial"/>
                <w:b w:val="0"/>
                <w:sz w:val="16"/>
              </w:rPr>
              <w:t>Compatibilidad de piezas, pernos, manguitos, brazos y equipos.</w:t>
            </w:r>
          </w:p>
        </w:tc>
      </w:tr>
      <w:tr>
        <w:trPr>
          <w:cantSplit/>
        </w:trPr>
        <w:tc>
          <w:tcPr>
            <w:tcW w:type="dxa" w:w="2041"/>
            <w:vAlign w:val="center"/>
          </w:tcPr>
          <w:p>
            <w:pPr>
              <w:spacing w:after="0"/>
            </w:pPr>
            <w:r/>
            <w:r>
              <w:rPr>
                <w:rFonts w:ascii="Arial" w:hAnsi="Arial"/>
                <w:b w:val="0"/>
                <w:sz w:val="16"/>
              </w:rPr>
              <w:t>Masa/CG</w:t>
            </w:r>
          </w:p>
        </w:tc>
        <w:tc>
          <w:tcPr>
            <w:tcW w:type="dxa" w:w="7597"/>
            <w:vAlign w:val="center"/>
          </w:tcPr>
          <w:p>
            <w:pPr>
              <w:spacing w:after="0"/>
            </w:pPr>
            <w:r/>
            <w:r>
              <w:rPr>
                <w:rFonts w:ascii="Arial" w:hAnsi="Arial"/>
                <w:b w:val="0"/>
                <w:sz w:val="16"/>
              </w:rPr>
              <w:t>Comparación CAD-BOM-real.</w:t>
            </w:r>
          </w:p>
        </w:tc>
      </w:tr>
      <w:tr>
        <w:trPr>
          <w:cantSplit/>
        </w:trPr>
        <w:tc>
          <w:tcPr>
            <w:tcW w:type="dxa" w:w="2041"/>
            <w:vAlign w:val="center"/>
            <w:shd w:fill="F2F2F2"/>
          </w:tcPr>
          <w:p>
            <w:pPr>
              <w:spacing w:after="0"/>
            </w:pPr>
            <w:r/>
            <w:r>
              <w:rPr>
                <w:rFonts w:ascii="Arial" w:hAnsi="Arial"/>
                <w:b w:val="0"/>
                <w:sz w:val="16"/>
              </w:rPr>
              <w:t>Documentos</w:t>
            </w:r>
          </w:p>
        </w:tc>
        <w:tc>
          <w:tcPr>
            <w:tcW w:type="dxa" w:w="7597"/>
            <w:vAlign w:val="center"/>
            <w:shd w:fill="F2F2F2"/>
          </w:tcPr>
          <w:p>
            <w:pPr>
              <w:spacing w:after="0"/>
            </w:pPr>
            <w:r/>
            <w:r>
              <w:rPr>
                <w:rFonts w:ascii="Arial" w:hAnsi="Arial"/>
                <w:b w:val="0"/>
                <w:sz w:val="16"/>
              </w:rPr>
              <w:t>Planos, WPS, ITP, instrucciones, marcado y registros.</w:t>
            </w:r>
          </w:p>
        </w:tc>
      </w:tr>
    </w:tbl>
    <w:p>
      <w:pPr>
        <w:spacing w:after="20"/>
      </w:pPr>
    </w:p>
    <w:p>
      <w:pPr>
        <w:pStyle w:val="Heading2"/>
      </w:pPr>
      <w:r>
        <w:t>14.2 Control de Producción en Fábrica</w:t>
      </w:r>
    </w:p>
    <w:p>
      <w:pPr>
        <w:pStyle w:val="ListBullet"/>
        <w:spacing w:after="40"/>
      </w:pPr>
      <w:r>
        <w:t>Plan de inspección por característica crítica.</w:t>
      </w:r>
    </w:p>
    <w:p>
      <w:pPr>
        <w:pStyle w:val="ListBullet"/>
        <w:spacing w:after="40"/>
      </w:pPr>
      <w:r>
        <w:t>Frecuencia de muestreo y reglas de lote.</w:t>
      </w:r>
    </w:p>
    <w:p>
      <w:pPr>
        <w:pStyle w:val="ListBullet"/>
        <w:spacing w:after="40"/>
      </w:pPr>
      <w:r>
        <w:t>Equipos calibrados y competencia de operarios.</w:t>
      </w:r>
    </w:p>
    <w:p>
      <w:pPr>
        <w:pStyle w:val="ListBullet"/>
        <w:spacing w:after="40"/>
      </w:pPr>
      <w:r>
        <w:t>Trazabilidad de materias primas, soldaduras, pretensado y tratamientos.</w:t>
      </w:r>
    </w:p>
    <w:p>
      <w:pPr>
        <w:pStyle w:val="ListBullet"/>
        <w:spacing w:after="40"/>
      </w:pPr>
      <w:r>
        <w:t>Gestión de no conformidades, retrabajo y concesiones.</w:t>
      </w:r>
    </w:p>
    <w:p>
      <w:pPr>
        <w:pStyle w:val="ListBullet"/>
        <w:spacing w:after="40"/>
      </w:pPr>
      <w:r>
        <w:t>Ensayos periódicos y revalidación por cambios de proceso.</w:t>
      </w:r>
    </w:p>
    <w:p>
      <w:pPr>
        <w:pStyle w:val="ListBullet"/>
        <w:spacing w:after="40"/>
      </w:pPr>
      <w:r>
        <w:t>Conservación de registros durante el periodo definido por calidad y regulación.</w:t>
      </w:r>
    </w:p>
    <w:p>
      <w:pPr>
        <w:pStyle w:val="Heading2"/>
      </w:pPr>
      <w:r>
        <w:t>14.3 Validación de subcontratistas</w:t>
      </w:r>
    </w:p>
    <w:p>
      <w:pPr>
        <w:pStyle w:val="ListNumber"/>
        <w:spacing w:after="40"/>
      </w:pPr>
      <w:r>
        <w:t>Precalificación documental y de capacidad.</w:t>
      </w:r>
    </w:p>
    <w:p>
      <w:pPr>
        <w:pStyle w:val="ListNumber"/>
        <w:spacing w:after="40"/>
      </w:pPr>
      <w:r>
        <w:t>Auditoría del proceso crítico.</w:t>
      </w:r>
    </w:p>
    <w:p>
      <w:pPr>
        <w:pStyle w:val="ListNumber"/>
        <w:spacing w:after="40"/>
      </w:pPr>
      <w:r>
        <w:t>Fabricación de primer artículo.</w:t>
      </w:r>
    </w:p>
    <w:p>
      <w:pPr>
        <w:pStyle w:val="ListNumber"/>
        <w:spacing w:after="40"/>
      </w:pPr>
      <w:r>
        <w:t>Inspección y ensayo acordados.</w:t>
      </w:r>
    </w:p>
    <w:p>
      <w:pPr>
        <w:pStyle w:val="ListNumber"/>
        <w:spacing w:after="40"/>
      </w:pPr>
      <w:r>
        <w:t>Aprobación limitada por familia/proceso/planta.</w:t>
      </w:r>
    </w:p>
    <w:p>
      <w:pPr>
        <w:pStyle w:val="ListNumber"/>
        <w:spacing w:after="40"/>
      </w:pPr>
      <w:r>
        <w:t>Seguimiento de desempeño y recualificación.</w:t>
      </w:r>
    </w:p>
    <w:p>
      <w:pPr>
        <w:pStyle w:val="Heading1"/>
      </w:pPr>
      <w:r>
        <w:t>15. Cualificación de familias y extensión de resultados</w:t>
      </w:r>
    </w:p>
    <w:p>
      <w:r>
        <w:t>La extensión de un ensayo o cálculo a otras referencias deberá basarse en una regla explícita. No se aceptará la frase “similar” sin demostrar qué parámetros son iguales o más favorables.</w:t>
      </w:r>
    </w:p>
    <w:tbl>
      <w:tblPr>
        <w:tblStyle w:val="TableGrid"/>
        <w:tblW w:type="auto" w:w="0"/>
        <w:jc w:val="center"/>
        <w:tblLook w:firstColumn="1" w:firstRow="1" w:lastColumn="0" w:lastRow="0" w:noHBand="0" w:noVBand="1" w:val="04A0"/>
      </w:tblPr>
      <w:tblGrid>
        <w:gridCol w:w="5043"/>
        <w:gridCol w:w="5043"/>
      </w:tblGrid>
      <w:tr>
        <w:trPr>
          <w:tblHeader/>
          <w:cantSplit/>
        </w:trPr>
        <w:tc>
          <w:tcPr>
            <w:tcW w:type="dxa" w:w="2381"/>
            <w:vAlign w:val="center"/>
            <w:shd w:fill="262626"/>
          </w:tcPr>
          <w:p>
            <w:pPr>
              <w:spacing w:after="0"/>
            </w:pPr>
            <w:r/>
            <w:r>
              <w:rPr>
                <w:rFonts w:ascii="Arial" w:hAnsi="Arial"/>
                <w:b/>
                <w:color w:val="FFFFFF"/>
                <w:sz w:val="16"/>
              </w:rPr>
              <w:t>Dimensión del dominio</w:t>
            </w:r>
          </w:p>
        </w:tc>
        <w:tc>
          <w:tcPr>
            <w:tcW w:type="dxa" w:w="7257"/>
            <w:vAlign w:val="center"/>
            <w:shd w:fill="262626"/>
          </w:tcPr>
          <w:p>
            <w:pPr>
              <w:spacing w:after="0"/>
            </w:pPr>
            <w:r/>
            <w:r>
              <w:rPr>
                <w:rFonts w:ascii="Arial" w:hAnsi="Arial"/>
                <w:b/>
                <w:color w:val="FFFFFF"/>
                <w:sz w:val="16"/>
              </w:rPr>
              <w:t>Ejemplos de límites</w:t>
            </w:r>
          </w:p>
        </w:tc>
      </w:tr>
      <w:tr>
        <w:trPr>
          <w:cantSplit/>
        </w:trPr>
        <w:tc>
          <w:tcPr>
            <w:tcW w:type="dxa" w:w="2381"/>
            <w:vAlign w:val="center"/>
          </w:tcPr>
          <w:p>
            <w:pPr>
              <w:spacing w:after="0"/>
            </w:pPr>
            <w:r/>
            <w:r>
              <w:rPr>
                <w:rFonts w:ascii="Arial" w:hAnsi="Arial"/>
                <w:b w:val="0"/>
                <w:sz w:val="16"/>
              </w:rPr>
              <w:t>Geometría</w:t>
            </w:r>
          </w:p>
        </w:tc>
        <w:tc>
          <w:tcPr>
            <w:tcW w:type="dxa" w:w="7257"/>
            <w:vAlign w:val="center"/>
          </w:tcPr>
          <w:p>
            <w:pPr>
              <w:spacing w:after="0"/>
            </w:pPr>
            <w:r/>
            <w:r>
              <w:rPr>
                <w:rFonts w:ascii="Arial" w:hAnsi="Arial"/>
                <w:b w:val="0"/>
                <w:sz w:val="16"/>
              </w:rPr>
              <w:t>Altura, diámetro, conicidad, espesor, número de caras, tramos.</w:t>
            </w:r>
          </w:p>
        </w:tc>
      </w:tr>
      <w:tr>
        <w:trPr>
          <w:cantSplit/>
        </w:trPr>
        <w:tc>
          <w:tcPr>
            <w:tcW w:type="dxa" w:w="2381"/>
            <w:vAlign w:val="center"/>
            <w:shd w:fill="F2F2F2"/>
          </w:tcPr>
          <w:p>
            <w:pPr>
              <w:spacing w:after="0"/>
            </w:pPr>
            <w:r/>
            <w:r>
              <w:rPr>
                <w:rFonts w:ascii="Arial" w:hAnsi="Arial"/>
                <w:b w:val="0"/>
                <w:sz w:val="16"/>
              </w:rPr>
              <w:t>Material</w:t>
            </w:r>
          </w:p>
        </w:tc>
        <w:tc>
          <w:tcPr>
            <w:tcW w:type="dxa" w:w="7257"/>
            <w:vAlign w:val="center"/>
            <w:shd w:fill="F2F2F2"/>
          </w:tcPr>
          <w:p>
            <w:pPr>
              <w:spacing w:after="0"/>
            </w:pPr>
            <w:r/>
            <w:r>
              <w:rPr>
                <w:rFonts w:ascii="Arial" w:hAnsi="Arial"/>
                <w:b w:val="0"/>
                <w:sz w:val="16"/>
              </w:rPr>
              <w:t>Calidad, aleación, temple, hormigón, acero activo.</w:t>
            </w:r>
          </w:p>
        </w:tc>
      </w:tr>
      <w:tr>
        <w:trPr>
          <w:cantSplit/>
        </w:trPr>
        <w:tc>
          <w:tcPr>
            <w:tcW w:type="dxa" w:w="2381"/>
            <w:vAlign w:val="center"/>
          </w:tcPr>
          <w:p>
            <w:pPr>
              <w:spacing w:after="0"/>
            </w:pPr>
            <w:r/>
            <w:r>
              <w:rPr>
                <w:rFonts w:ascii="Arial" w:hAnsi="Arial"/>
                <w:b w:val="0"/>
                <w:sz w:val="16"/>
              </w:rPr>
              <w:t>Detalle</w:t>
            </w:r>
          </w:p>
        </w:tc>
        <w:tc>
          <w:tcPr>
            <w:tcW w:type="dxa" w:w="7257"/>
            <w:vAlign w:val="center"/>
          </w:tcPr>
          <w:p>
            <w:pPr>
              <w:spacing w:after="0"/>
            </w:pPr>
            <w:r/>
            <w:r>
              <w:rPr>
                <w:rFonts w:ascii="Arial" w:hAnsi="Arial"/>
                <w:b w:val="0"/>
                <w:sz w:val="16"/>
              </w:rPr>
              <w:t>Puerta, refuerzo, soldadura, unión, placa y pernos.</w:t>
            </w:r>
          </w:p>
        </w:tc>
      </w:tr>
      <w:tr>
        <w:trPr>
          <w:cantSplit/>
        </w:trPr>
        <w:tc>
          <w:tcPr>
            <w:tcW w:type="dxa" w:w="2381"/>
            <w:vAlign w:val="center"/>
            <w:shd w:fill="F2F2F2"/>
          </w:tcPr>
          <w:p>
            <w:pPr>
              <w:spacing w:after="0"/>
            </w:pPr>
            <w:r/>
            <w:r>
              <w:rPr>
                <w:rFonts w:ascii="Arial" w:hAnsi="Arial"/>
                <w:b w:val="0"/>
                <w:sz w:val="16"/>
              </w:rPr>
              <w:t>Carga</w:t>
            </w:r>
          </w:p>
        </w:tc>
        <w:tc>
          <w:tcPr>
            <w:tcW w:type="dxa" w:w="7257"/>
            <w:vAlign w:val="center"/>
            <w:shd w:fill="F2F2F2"/>
          </w:tcPr>
          <w:p>
            <w:pPr>
              <w:spacing w:after="0"/>
            </w:pPr>
            <w:r/>
            <w:r>
              <w:rPr>
                <w:rFonts w:ascii="Arial" w:hAnsi="Arial"/>
                <w:b w:val="0"/>
                <w:sz w:val="16"/>
              </w:rPr>
              <w:t>Momento, torsión, axil, fatiga, viento, cable y accesorios.</w:t>
            </w:r>
          </w:p>
        </w:tc>
      </w:tr>
      <w:tr>
        <w:trPr>
          <w:cantSplit/>
        </w:trPr>
        <w:tc>
          <w:tcPr>
            <w:tcW w:type="dxa" w:w="2381"/>
            <w:vAlign w:val="center"/>
          </w:tcPr>
          <w:p>
            <w:pPr>
              <w:spacing w:after="0"/>
            </w:pPr>
            <w:r/>
            <w:r>
              <w:rPr>
                <w:rFonts w:ascii="Arial" w:hAnsi="Arial"/>
                <w:b w:val="0"/>
                <w:sz w:val="16"/>
              </w:rPr>
              <w:t>Proceso</w:t>
            </w:r>
          </w:p>
        </w:tc>
        <w:tc>
          <w:tcPr>
            <w:tcW w:type="dxa" w:w="7257"/>
            <w:vAlign w:val="center"/>
          </w:tcPr>
          <w:p>
            <w:pPr>
              <w:spacing w:after="0"/>
            </w:pPr>
            <w:r/>
            <w:r>
              <w:rPr>
                <w:rFonts w:ascii="Arial" w:hAnsi="Arial"/>
                <w:b w:val="0"/>
                <w:sz w:val="16"/>
              </w:rPr>
              <w:t>Planta, máquina, WPS, FSW, galvanizado, centrifugado.</w:t>
            </w:r>
          </w:p>
        </w:tc>
      </w:tr>
      <w:tr>
        <w:trPr>
          <w:cantSplit/>
        </w:trPr>
        <w:tc>
          <w:tcPr>
            <w:tcW w:type="dxa" w:w="2381"/>
            <w:vAlign w:val="center"/>
            <w:shd w:fill="F2F2F2"/>
          </w:tcPr>
          <w:p>
            <w:pPr>
              <w:spacing w:after="0"/>
            </w:pPr>
            <w:r/>
            <w:r>
              <w:rPr>
                <w:rFonts w:ascii="Arial" w:hAnsi="Arial"/>
                <w:b w:val="0"/>
                <w:sz w:val="16"/>
              </w:rPr>
              <w:t>Ambiente</w:t>
            </w:r>
          </w:p>
        </w:tc>
        <w:tc>
          <w:tcPr>
            <w:tcW w:type="dxa" w:w="7257"/>
            <w:vAlign w:val="center"/>
            <w:shd w:fill="F2F2F2"/>
          </w:tcPr>
          <w:p>
            <w:pPr>
              <w:spacing w:after="0"/>
            </w:pPr>
            <w:r/>
            <w:r>
              <w:rPr>
                <w:rFonts w:ascii="Arial" w:hAnsi="Arial"/>
                <w:b w:val="0"/>
                <w:sz w:val="16"/>
              </w:rPr>
              <w:t>Corrosividad, temperatura, nieve, hielo y sismo.</w:t>
            </w:r>
          </w:p>
        </w:tc>
      </w:tr>
      <w:tr>
        <w:trPr>
          <w:cantSplit/>
        </w:trPr>
        <w:tc>
          <w:tcPr>
            <w:tcW w:type="dxa" w:w="2381"/>
            <w:vAlign w:val="center"/>
          </w:tcPr>
          <w:p>
            <w:pPr>
              <w:spacing w:after="0"/>
            </w:pPr>
            <w:r/>
            <w:r>
              <w:rPr>
                <w:rFonts w:ascii="Arial" w:hAnsi="Arial"/>
                <w:b w:val="0"/>
                <w:sz w:val="16"/>
              </w:rPr>
              <w:t>Normativa</w:t>
            </w:r>
          </w:p>
        </w:tc>
        <w:tc>
          <w:tcPr>
            <w:tcW w:type="dxa" w:w="7257"/>
            <w:vAlign w:val="center"/>
          </w:tcPr>
          <w:p>
            <w:pPr>
              <w:spacing w:after="0"/>
            </w:pPr>
            <w:r/>
            <w:r>
              <w:rPr>
                <w:rFonts w:ascii="Arial" w:hAnsi="Arial"/>
                <w:b w:val="0"/>
                <w:sz w:val="16"/>
              </w:rPr>
              <w:t>Edición, ruta EN 40, Eurocódigo o método especial.</w:t>
            </w:r>
          </w:p>
        </w:tc>
      </w:tr>
    </w:tbl>
    <w:p>
      <w:pPr>
        <w:spacing w:after="20"/>
      </w:pPr>
    </w:p>
    <w:p>
      <w:pPr>
        <w:pStyle w:val="Heading2"/>
      </w:pPr>
      <w:r>
        <w:t>15.1 Regla de envolvente</w:t>
      </w:r>
    </w:p>
    <w:p>
      <w:r>
        <w:t>La referencia ensayada podrá cubrir otras configuraciones únicamente cuando la combinación de parámetros críticos quede dentro de una envolvente demostrada y no aparezca un modo de fallo nuevo. El sistema deberá mostrar la cadena de evidencia y bloquear cualquier extrapolación fuera de la envolvente.</w:t>
      </w:r>
    </w:p>
    <w:p>
      <w:pPr>
        <w:pStyle w:val="Heading1"/>
      </w:pPr>
      <w:r>
        <w:t>16. Validación del catálogo estándar</w:t>
      </w:r>
    </w:p>
    <w:p>
      <w:pPr>
        <w:pStyle w:val="ListBullet"/>
        <w:spacing w:after="40"/>
      </w:pPr>
      <w:r>
        <w:t>Cada referencia deberá enlazar geometría, material, proceso, ensayo, cálculo y dominio.</w:t>
      </w:r>
    </w:p>
    <w:p>
      <w:pPr>
        <w:pStyle w:val="ListBullet"/>
        <w:spacing w:after="40"/>
      </w:pPr>
      <w:r>
        <w:t>Los límites admisibles deben ser multidimensionales y no solo un momento máximo.</w:t>
      </w:r>
    </w:p>
    <w:p>
      <w:pPr>
        <w:pStyle w:val="ListBullet"/>
        <w:spacing w:after="40"/>
      </w:pPr>
      <w:r>
        <w:t>La referencia inmediatamente superior deberá justificarse con utilización y evidencias.</w:t>
      </w:r>
    </w:p>
    <w:p>
      <w:pPr>
        <w:pStyle w:val="ListBullet"/>
        <w:spacing w:after="40"/>
      </w:pPr>
      <w:r>
        <w:t>Una evidencia caducada, sustituida o afectada por cambio bloqueará nuevas selecciones.</w:t>
      </w:r>
    </w:p>
    <w:p>
      <w:pPr>
        <w:pStyle w:val="ListBullet"/>
        <w:spacing w:after="40"/>
      </w:pPr>
      <w:r>
        <w:t>Los proyectos históricos conservarán el snapshot original, pero mostrarán alerta si la referencia ha sido retirada.</w:t>
      </w:r>
    </w:p>
    <w:p>
      <w:pPr>
        <w:pStyle w:val="Heading1"/>
      </w:pPr>
      <w:r>
        <w:t>17. Validación del optimizador</w:t>
      </w:r>
    </w:p>
    <w:tbl>
      <w:tblPr>
        <w:tblStyle w:val="TableGrid"/>
        <w:tblW w:type="auto" w:w="0"/>
        <w:jc w:val="center"/>
        <w:tblLook w:firstColumn="1" w:firstRow="1" w:lastColumn="0" w:lastRow="0" w:noHBand="0" w:noVBand="1" w:val="04A0"/>
      </w:tblPr>
      <w:tblGrid>
        <w:gridCol w:w="5043"/>
        <w:gridCol w:w="5043"/>
      </w:tblGrid>
      <w:tr>
        <w:trPr>
          <w:tblHeader/>
          <w:cantSplit/>
        </w:trPr>
        <w:tc>
          <w:tcPr>
            <w:tcW w:type="dxa" w:w="2494"/>
            <w:vAlign w:val="center"/>
            <w:shd w:fill="262626"/>
          </w:tcPr>
          <w:p>
            <w:pPr>
              <w:spacing w:after="0"/>
            </w:pPr>
            <w:r/>
            <w:r>
              <w:rPr>
                <w:rFonts w:ascii="Arial" w:hAnsi="Arial"/>
                <w:b/>
                <w:color w:val="FFFFFF"/>
                <w:sz w:val="16"/>
              </w:rPr>
              <w:t>Prueba</w:t>
            </w:r>
          </w:p>
        </w:tc>
        <w:tc>
          <w:tcPr>
            <w:tcW w:type="dxa" w:w="7143"/>
            <w:vAlign w:val="center"/>
            <w:shd w:fill="262626"/>
          </w:tcPr>
          <w:p>
            <w:pPr>
              <w:spacing w:after="0"/>
            </w:pPr>
            <w:r/>
            <w:r>
              <w:rPr>
                <w:rFonts w:ascii="Arial" w:hAnsi="Arial"/>
                <w:b/>
                <w:color w:val="FFFFFF"/>
                <w:sz w:val="16"/>
              </w:rPr>
              <w:t>Criterio</w:t>
            </w:r>
          </w:p>
        </w:tc>
      </w:tr>
      <w:tr>
        <w:trPr>
          <w:cantSplit/>
        </w:trPr>
        <w:tc>
          <w:tcPr>
            <w:tcW w:type="dxa" w:w="2494"/>
            <w:vAlign w:val="center"/>
          </w:tcPr>
          <w:p>
            <w:pPr>
              <w:spacing w:after="0"/>
            </w:pPr>
            <w:r/>
            <w:r>
              <w:rPr>
                <w:rFonts w:ascii="Arial" w:hAnsi="Arial"/>
                <w:b w:val="0"/>
                <w:sz w:val="16"/>
              </w:rPr>
              <w:t>Factibilidad</w:t>
            </w:r>
          </w:p>
        </w:tc>
        <w:tc>
          <w:tcPr>
            <w:tcW w:type="dxa" w:w="7143"/>
            <w:vAlign w:val="center"/>
          </w:tcPr>
          <w:p>
            <w:pPr>
              <w:spacing w:after="0"/>
            </w:pPr>
            <w:r/>
            <w:r>
              <w:rPr>
                <w:rFonts w:ascii="Arial" w:hAnsi="Arial"/>
                <w:b w:val="0"/>
                <w:sz w:val="16"/>
              </w:rPr>
              <w:t>100 % de candidatos presentados cumplen restricciones bloqueantes.</w:t>
            </w:r>
          </w:p>
        </w:tc>
      </w:tr>
      <w:tr>
        <w:trPr>
          <w:cantSplit/>
        </w:trPr>
        <w:tc>
          <w:tcPr>
            <w:tcW w:type="dxa" w:w="2494"/>
            <w:vAlign w:val="center"/>
            <w:shd w:fill="F2F2F2"/>
          </w:tcPr>
          <w:p>
            <w:pPr>
              <w:spacing w:after="0"/>
            </w:pPr>
            <w:r/>
            <w:r>
              <w:rPr>
                <w:rFonts w:ascii="Arial" w:hAnsi="Arial"/>
                <w:b w:val="0"/>
                <w:sz w:val="16"/>
              </w:rPr>
              <w:t>Dominancia</w:t>
            </w:r>
          </w:p>
        </w:tc>
        <w:tc>
          <w:tcPr>
            <w:tcW w:type="dxa" w:w="7143"/>
            <w:vAlign w:val="center"/>
            <w:shd w:fill="F2F2F2"/>
          </w:tcPr>
          <w:p>
            <w:pPr>
              <w:spacing w:after="0"/>
            </w:pPr>
            <w:r/>
            <w:r>
              <w:rPr>
                <w:rFonts w:ascii="Arial" w:hAnsi="Arial"/>
                <w:b w:val="0"/>
                <w:sz w:val="16"/>
              </w:rPr>
              <w:t>No se presentan soluciones claramente dominadas salvo explicación.</w:t>
            </w:r>
          </w:p>
        </w:tc>
      </w:tr>
      <w:tr>
        <w:trPr>
          <w:cantSplit/>
        </w:trPr>
        <w:tc>
          <w:tcPr>
            <w:tcW w:type="dxa" w:w="2494"/>
            <w:vAlign w:val="center"/>
          </w:tcPr>
          <w:p>
            <w:pPr>
              <w:spacing w:after="0"/>
            </w:pPr>
            <w:r/>
            <w:r>
              <w:rPr>
                <w:rFonts w:ascii="Arial" w:hAnsi="Arial"/>
                <w:b w:val="0"/>
                <w:sz w:val="16"/>
              </w:rPr>
              <w:t>Reproducibilidad</w:t>
            </w:r>
          </w:p>
        </w:tc>
        <w:tc>
          <w:tcPr>
            <w:tcW w:type="dxa" w:w="7143"/>
            <w:vAlign w:val="center"/>
          </w:tcPr>
          <w:p>
            <w:pPr>
              <w:spacing w:after="0"/>
            </w:pPr>
            <w:r/>
            <w:r>
              <w:rPr>
                <w:rFonts w:ascii="Arial" w:hAnsi="Arial"/>
                <w:b w:val="0"/>
                <w:sz w:val="16"/>
              </w:rPr>
              <w:t>Mismas entradas, semilla y versiones producen mismo conjunto.</w:t>
            </w:r>
          </w:p>
        </w:tc>
      </w:tr>
      <w:tr>
        <w:trPr>
          <w:cantSplit/>
        </w:trPr>
        <w:tc>
          <w:tcPr>
            <w:tcW w:type="dxa" w:w="2494"/>
            <w:vAlign w:val="center"/>
            <w:shd w:fill="F2F2F2"/>
          </w:tcPr>
          <w:p>
            <w:pPr>
              <w:spacing w:after="0"/>
            </w:pPr>
            <w:r/>
            <w:r>
              <w:rPr>
                <w:rFonts w:ascii="Arial" w:hAnsi="Arial"/>
                <w:b w:val="0"/>
                <w:sz w:val="16"/>
              </w:rPr>
              <w:t>Conservadurismo</w:t>
            </w:r>
          </w:p>
        </w:tc>
        <w:tc>
          <w:tcPr>
            <w:tcW w:type="dxa" w:w="7143"/>
            <w:vAlign w:val="center"/>
            <w:shd w:fill="F2F2F2"/>
          </w:tcPr>
          <w:p>
            <w:pPr>
              <w:spacing w:after="0"/>
            </w:pPr>
            <w:r/>
            <w:r>
              <w:rPr>
                <w:rFonts w:ascii="Arial" w:hAnsi="Arial"/>
                <w:b w:val="0"/>
                <w:sz w:val="16"/>
              </w:rPr>
              <w:t>Modelos sustitutos no liberan; solo preseleccionan.</w:t>
            </w:r>
          </w:p>
        </w:tc>
      </w:tr>
      <w:tr>
        <w:trPr>
          <w:cantSplit/>
        </w:trPr>
        <w:tc>
          <w:tcPr>
            <w:tcW w:type="dxa" w:w="2494"/>
            <w:vAlign w:val="center"/>
          </w:tcPr>
          <w:p>
            <w:pPr>
              <w:spacing w:after="0"/>
            </w:pPr>
            <w:r/>
            <w:r>
              <w:rPr>
                <w:rFonts w:ascii="Arial" w:hAnsi="Arial"/>
                <w:b w:val="0"/>
                <w:sz w:val="16"/>
              </w:rPr>
              <w:t>Cobertura</w:t>
            </w:r>
          </w:p>
        </w:tc>
        <w:tc>
          <w:tcPr>
            <w:tcW w:type="dxa" w:w="7143"/>
            <w:vAlign w:val="center"/>
          </w:tcPr>
          <w:p>
            <w:pPr>
              <w:spacing w:after="0"/>
            </w:pPr>
            <w:r/>
            <w:r>
              <w:rPr>
                <w:rFonts w:ascii="Arial" w:hAnsi="Arial"/>
                <w:b w:val="0"/>
                <w:sz w:val="16"/>
              </w:rPr>
              <w:t>Explora alternativas discretas relevantes y límites.</w:t>
            </w:r>
          </w:p>
        </w:tc>
      </w:tr>
      <w:tr>
        <w:trPr>
          <w:cantSplit/>
        </w:trPr>
        <w:tc>
          <w:tcPr>
            <w:tcW w:type="dxa" w:w="2494"/>
            <w:vAlign w:val="center"/>
            <w:shd w:fill="F2F2F2"/>
          </w:tcPr>
          <w:p>
            <w:pPr>
              <w:spacing w:after="0"/>
            </w:pPr>
            <w:r/>
            <w:r>
              <w:rPr>
                <w:rFonts w:ascii="Arial" w:hAnsi="Arial"/>
                <w:b w:val="0"/>
                <w:sz w:val="16"/>
              </w:rPr>
              <w:t>Robustez</w:t>
            </w:r>
          </w:p>
        </w:tc>
        <w:tc>
          <w:tcPr>
            <w:tcW w:type="dxa" w:w="7143"/>
            <w:vAlign w:val="center"/>
            <w:shd w:fill="F2F2F2"/>
          </w:tcPr>
          <w:p>
            <w:pPr>
              <w:spacing w:after="0"/>
            </w:pPr>
            <w:r/>
            <w:r>
              <w:rPr>
                <w:rFonts w:ascii="Arial" w:hAnsi="Arial"/>
                <w:b w:val="0"/>
                <w:sz w:val="16"/>
              </w:rPr>
              <w:t>Solución seleccionada cumple tolerancias y escenarios.</w:t>
            </w:r>
          </w:p>
        </w:tc>
      </w:tr>
      <w:tr>
        <w:trPr>
          <w:cantSplit/>
        </w:trPr>
        <w:tc>
          <w:tcPr>
            <w:tcW w:type="dxa" w:w="2494"/>
            <w:vAlign w:val="center"/>
          </w:tcPr>
          <w:p>
            <w:pPr>
              <w:spacing w:after="0"/>
            </w:pPr>
            <w:r/>
            <w:r>
              <w:rPr>
                <w:rFonts w:ascii="Arial" w:hAnsi="Arial"/>
                <w:b w:val="0"/>
                <w:sz w:val="16"/>
              </w:rPr>
              <w:t>Explicabilidad</w:t>
            </w:r>
          </w:p>
        </w:tc>
        <w:tc>
          <w:tcPr>
            <w:tcW w:type="dxa" w:w="7143"/>
            <w:vAlign w:val="center"/>
          </w:tcPr>
          <w:p>
            <w:pPr>
              <w:spacing w:after="0"/>
            </w:pPr>
            <w:r/>
            <w:r>
              <w:rPr>
                <w:rFonts w:ascii="Arial" w:hAnsi="Arial"/>
                <w:b w:val="0"/>
                <w:sz w:val="16"/>
              </w:rPr>
              <w:t>Cada descarte y recomendación tiene razón trazable.</w:t>
            </w:r>
          </w:p>
        </w:tc>
      </w:tr>
    </w:tbl>
    <w:p>
      <w:pPr>
        <w:spacing w:after="20"/>
      </w:pPr>
    </w:p>
    <w:p>
      <w:r>
        <w:br w:type="page"/>
      </w:r>
    </w:p>
    <w:p>
      <w:pPr>
        <w:pStyle w:val="Heading1"/>
      </w:pPr>
      <w:r>
        <w:t>18. Validación de catenarias y redes importadas</w:t>
      </w:r>
    </w:p>
    <w:p>
      <w:pPr>
        <w:pStyle w:val="ListBullet"/>
        <w:spacing w:after="40"/>
      </w:pPr>
      <w:r>
        <w:t>Reconstrucción topológica desde DXF/mapa comparada con red revisada manualmente.</w:t>
      </w:r>
    </w:p>
    <w:p>
      <w:pPr>
        <w:pStyle w:val="ListBullet"/>
        <w:spacing w:after="40"/>
      </w:pPr>
      <w:r>
        <w:t>Conteo y posicionamiento de luminarias por cable.</w:t>
      </w:r>
    </w:p>
    <w:p>
      <w:pPr>
        <w:pStyle w:val="ListBullet"/>
        <w:spacing w:after="40"/>
      </w:pPr>
      <w:r>
        <w:t>Longitud en planta, espacial, deformada, natural y de fabricación.</w:t>
      </w:r>
    </w:p>
    <w:p>
      <w:pPr>
        <w:pStyle w:val="ListBullet"/>
        <w:spacing w:after="40"/>
      </w:pPr>
      <w:r>
        <w:t>Flecha y tensión en casos analíticos y modelos externos.</w:t>
      </w:r>
    </w:p>
    <w:p>
      <w:pPr>
        <w:pStyle w:val="ListBullet"/>
        <w:spacing w:after="40"/>
      </w:pPr>
      <w:r>
        <w:t>Efectos de temperatura, viento, hielo, luminarias puntuales y apoyos desnivelados.</w:t>
      </w:r>
    </w:p>
    <w:p>
      <w:pPr>
        <w:pStyle w:val="ListBullet"/>
        <w:spacing w:after="40"/>
      </w:pPr>
      <w:r>
        <w:t>Fuerzas de extremo y resultantes vectoriales por columna.</w:t>
      </w:r>
    </w:p>
    <w:p>
      <w:pPr>
        <w:pStyle w:val="ListBullet"/>
        <w:spacing w:after="40"/>
      </w:pPr>
      <w:r>
        <w:t>Casos de cable flojo, rotura, pérdida de pretensión y secuencias de montaje.</w:t>
      </w:r>
    </w:p>
    <w:p>
      <w:pPr>
        <w:pStyle w:val="ListBullet"/>
        <w:spacing w:after="40"/>
      </w:pPr>
      <w:r>
        <w:t>Interacción iterativa cable-columna-base-cimentación.</w:t>
      </w:r>
    </w:p>
    <w:p>
      <w:pPr>
        <w:pStyle w:val="ListBullet"/>
        <w:spacing w:after="40"/>
      </w:pPr>
      <w:r>
        <w:t>Correlación mediante tensado real, levantamiento geométrico y frecuencia vibratoria.</w:t>
      </w:r>
    </w:p>
    <w:p>
      <w:pPr>
        <w:pStyle w:val="Heading2"/>
      </w:pPr>
      <w:r>
        <w:t>18.1 Ensayo piloto de red</w:t>
      </w:r>
    </w:p>
    <w:p>
      <w:r>
        <w:t>Antes de liberar el módulo automático se ejecutará al menos una instalación piloto representativa con varias columnas y cables no coplanares. Se compararán flechas, tensiones, coordenadas de luminarias, desplazamientos de cabeza y reacciones inferidas. Las mediciones as-built alimentarán una validación independiente, no un ajuste oculto.</w:t>
      </w:r>
    </w:p>
    <w:p>
      <w:pPr>
        <w:pStyle w:val="Heading1"/>
      </w:pPr>
      <w:r>
        <w:t>19. Validación CAD, BOM, planos e informes</w:t>
      </w:r>
    </w:p>
    <w:tbl>
      <w:tblPr>
        <w:tblStyle w:val="TableGrid"/>
        <w:tblW w:type="auto" w:w="0"/>
        <w:jc w:val="center"/>
        <w:tblLook w:firstColumn="1" w:firstRow="1" w:lastColumn="0" w:lastRow="0" w:noHBand="0" w:noVBand="1" w:val="04A0"/>
      </w:tblPr>
      <w:tblGrid>
        <w:gridCol w:w="3362"/>
        <w:gridCol w:w="3362"/>
        <w:gridCol w:w="3362"/>
      </w:tblGrid>
      <w:tr>
        <w:trPr>
          <w:tblHeader/>
          <w:cantSplit/>
        </w:trPr>
        <w:tc>
          <w:tcPr>
            <w:tcW w:type="dxa" w:w="1928"/>
            <w:vAlign w:val="center"/>
            <w:shd w:fill="262626"/>
          </w:tcPr>
          <w:p>
            <w:pPr>
              <w:spacing w:after="0"/>
            </w:pPr>
            <w:r/>
            <w:r>
              <w:rPr>
                <w:rFonts w:ascii="Arial" w:hAnsi="Arial"/>
                <w:b/>
                <w:color w:val="FFFFFF"/>
                <w:sz w:val="15"/>
              </w:rPr>
              <w:t>Objeto</w:t>
            </w:r>
          </w:p>
        </w:tc>
        <w:tc>
          <w:tcPr>
            <w:tcW w:type="dxa" w:w="3742"/>
            <w:vAlign w:val="center"/>
            <w:shd w:fill="262626"/>
          </w:tcPr>
          <w:p>
            <w:pPr>
              <w:spacing w:after="0"/>
            </w:pPr>
            <w:r/>
            <w:r>
              <w:rPr>
                <w:rFonts w:ascii="Arial" w:hAnsi="Arial"/>
                <w:b/>
                <w:color w:val="FFFFFF"/>
                <w:sz w:val="15"/>
              </w:rPr>
              <w:t>Validación automática</w:t>
            </w:r>
          </w:p>
        </w:tc>
        <w:tc>
          <w:tcPr>
            <w:tcW w:type="dxa" w:w="3969"/>
            <w:vAlign w:val="center"/>
            <w:shd w:fill="262626"/>
          </w:tcPr>
          <w:p>
            <w:pPr>
              <w:spacing w:after="0"/>
            </w:pPr>
            <w:r/>
            <w:r>
              <w:rPr>
                <w:rFonts w:ascii="Arial" w:hAnsi="Arial"/>
                <w:b/>
                <w:color w:val="FFFFFF"/>
                <w:sz w:val="15"/>
              </w:rPr>
              <w:t>Validación humana</w:t>
            </w:r>
          </w:p>
        </w:tc>
      </w:tr>
      <w:tr>
        <w:trPr>
          <w:cantSplit/>
        </w:trPr>
        <w:tc>
          <w:tcPr>
            <w:tcW w:type="dxa" w:w="1928"/>
            <w:vAlign w:val="center"/>
          </w:tcPr>
          <w:p>
            <w:pPr>
              <w:spacing w:after="0"/>
            </w:pPr>
            <w:r/>
            <w:r>
              <w:rPr>
                <w:rFonts w:ascii="Arial" w:hAnsi="Arial"/>
                <w:b w:val="0"/>
                <w:sz w:val="15"/>
              </w:rPr>
              <w:t>STEP/DXF</w:t>
            </w:r>
          </w:p>
        </w:tc>
        <w:tc>
          <w:tcPr>
            <w:tcW w:type="dxa" w:w="3742"/>
            <w:vAlign w:val="center"/>
          </w:tcPr>
          <w:p>
            <w:pPr>
              <w:spacing w:after="0"/>
            </w:pPr>
            <w:r/>
            <w:r>
              <w:rPr>
                <w:rFonts w:ascii="Arial" w:hAnsi="Arial"/>
                <w:b w:val="0"/>
                <w:sz w:val="15"/>
              </w:rPr>
              <w:t>Topología, unidades, masa, capas, geometría.</w:t>
            </w:r>
          </w:p>
        </w:tc>
        <w:tc>
          <w:tcPr>
            <w:tcW w:type="dxa" w:w="3969"/>
            <w:vAlign w:val="center"/>
          </w:tcPr>
          <w:p>
            <w:pPr>
              <w:spacing w:after="0"/>
            </w:pPr>
            <w:r/>
            <w:r>
              <w:rPr>
                <w:rFonts w:ascii="Arial" w:hAnsi="Arial"/>
                <w:b w:val="0"/>
                <w:sz w:val="15"/>
              </w:rPr>
              <w:t>Fabricabilidad y lectura.</w:t>
            </w:r>
          </w:p>
        </w:tc>
      </w:tr>
      <w:tr>
        <w:trPr>
          <w:cantSplit/>
        </w:trPr>
        <w:tc>
          <w:tcPr>
            <w:tcW w:type="dxa" w:w="1928"/>
            <w:vAlign w:val="center"/>
            <w:shd w:fill="F2F2F2"/>
          </w:tcPr>
          <w:p>
            <w:pPr>
              <w:spacing w:after="0"/>
            </w:pPr>
            <w:r/>
            <w:r>
              <w:rPr>
                <w:rFonts w:ascii="Arial" w:hAnsi="Arial"/>
                <w:b w:val="0"/>
                <w:sz w:val="15"/>
              </w:rPr>
              <w:t>Planos</w:t>
            </w:r>
          </w:p>
        </w:tc>
        <w:tc>
          <w:tcPr>
            <w:tcW w:type="dxa" w:w="3742"/>
            <w:vAlign w:val="center"/>
            <w:shd w:fill="F2F2F2"/>
          </w:tcPr>
          <w:p>
            <w:pPr>
              <w:spacing w:after="0"/>
            </w:pPr>
            <w:r/>
            <w:r>
              <w:rPr>
                <w:rFonts w:ascii="Arial" w:hAnsi="Arial"/>
                <w:b w:val="0"/>
                <w:sz w:val="15"/>
              </w:rPr>
              <w:t>Cotas, vistas, referencias, coherencia.</w:t>
            </w:r>
          </w:p>
        </w:tc>
        <w:tc>
          <w:tcPr>
            <w:tcW w:type="dxa" w:w="3969"/>
            <w:vAlign w:val="center"/>
            <w:shd w:fill="F2F2F2"/>
          </w:tcPr>
          <w:p>
            <w:pPr>
              <w:spacing w:after="0"/>
            </w:pPr>
            <w:r/>
            <w:r>
              <w:rPr>
                <w:rFonts w:ascii="Arial" w:hAnsi="Arial"/>
                <w:b w:val="0"/>
                <w:sz w:val="15"/>
              </w:rPr>
              <w:t>Claridad, tolerancias y notas.</w:t>
            </w:r>
          </w:p>
        </w:tc>
      </w:tr>
      <w:tr>
        <w:trPr>
          <w:cantSplit/>
        </w:trPr>
        <w:tc>
          <w:tcPr>
            <w:tcW w:type="dxa" w:w="1928"/>
            <w:vAlign w:val="center"/>
          </w:tcPr>
          <w:p>
            <w:pPr>
              <w:spacing w:after="0"/>
            </w:pPr>
            <w:r/>
            <w:r>
              <w:rPr>
                <w:rFonts w:ascii="Arial" w:hAnsi="Arial"/>
                <w:b w:val="0"/>
                <w:sz w:val="15"/>
              </w:rPr>
              <w:t>BOM</w:t>
            </w:r>
          </w:p>
        </w:tc>
        <w:tc>
          <w:tcPr>
            <w:tcW w:type="dxa" w:w="3742"/>
            <w:vAlign w:val="center"/>
          </w:tcPr>
          <w:p>
            <w:pPr>
              <w:spacing w:after="0"/>
            </w:pPr>
            <w:r/>
            <w:r>
              <w:rPr>
                <w:rFonts w:ascii="Arial" w:hAnsi="Arial"/>
                <w:b w:val="0"/>
                <w:sz w:val="15"/>
              </w:rPr>
              <w:t>Cantidades, materiales, masa, revisiones.</w:t>
            </w:r>
          </w:p>
        </w:tc>
        <w:tc>
          <w:tcPr>
            <w:tcW w:type="dxa" w:w="3969"/>
            <w:vAlign w:val="center"/>
          </w:tcPr>
          <w:p>
            <w:pPr>
              <w:spacing w:after="0"/>
            </w:pPr>
            <w:r/>
            <w:r>
              <w:rPr>
                <w:rFonts w:ascii="Arial" w:hAnsi="Arial"/>
                <w:b w:val="0"/>
                <w:sz w:val="15"/>
              </w:rPr>
              <w:t>Comprabilidad y sustituciones.</w:t>
            </w:r>
          </w:p>
        </w:tc>
      </w:tr>
      <w:tr>
        <w:trPr>
          <w:cantSplit/>
        </w:trPr>
        <w:tc>
          <w:tcPr>
            <w:tcW w:type="dxa" w:w="1928"/>
            <w:vAlign w:val="center"/>
            <w:shd w:fill="F2F2F2"/>
          </w:tcPr>
          <w:p>
            <w:pPr>
              <w:spacing w:after="0"/>
            </w:pPr>
            <w:r/>
            <w:r>
              <w:rPr>
                <w:rFonts w:ascii="Arial" w:hAnsi="Arial"/>
                <w:b w:val="0"/>
                <w:sz w:val="15"/>
              </w:rPr>
              <w:t>Rutas</w:t>
            </w:r>
          </w:p>
        </w:tc>
        <w:tc>
          <w:tcPr>
            <w:tcW w:type="dxa" w:w="3742"/>
            <w:vAlign w:val="center"/>
            <w:shd w:fill="F2F2F2"/>
          </w:tcPr>
          <w:p>
            <w:pPr>
              <w:spacing w:after="0"/>
            </w:pPr>
            <w:r/>
            <w:r>
              <w:rPr>
                <w:rFonts w:ascii="Arial" w:hAnsi="Arial"/>
                <w:b w:val="0"/>
                <w:sz w:val="15"/>
              </w:rPr>
              <w:t>Operaciones, recursos, tiempos y procesos.</w:t>
            </w:r>
          </w:p>
        </w:tc>
        <w:tc>
          <w:tcPr>
            <w:tcW w:type="dxa" w:w="3969"/>
            <w:vAlign w:val="center"/>
            <w:shd w:fill="F2F2F2"/>
          </w:tcPr>
          <w:p>
            <w:pPr>
              <w:spacing w:after="0"/>
            </w:pPr>
            <w:r/>
            <w:r>
              <w:rPr>
                <w:rFonts w:ascii="Arial" w:hAnsi="Arial"/>
                <w:b w:val="0"/>
                <w:sz w:val="15"/>
              </w:rPr>
              <w:t>Capacidad real de planta.</w:t>
            </w:r>
          </w:p>
        </w:tc>
      </w:tr>
      <w:tr>
        <w:trPr>
          <w:cantSplit/>
        </w:trPr>
        <w:tc>
          <w:tcPr>
            <w:tcW w:type="dxa" w:w="1928"/>
            <w:vAlign w:val="center"/>
          </w:tcPr>
          <w:p>
            <w:pPr>
              <w:spacing w:after="0"/>
            </w:pPr>
            <w:r/>
            <w:r>
              <w:rPr>
                <w:rFonts w:ascii="Arial" w:hAnsi="Arial"/>
                <w:b w:val="0"/>
                <w:sz w:val="15"/>
              </w:rPr>
              <w:t>Informe cálculo</w:t>
            </w:r>
          </w:p>
        </w:tc>
        <w:tc>
          <w:tcPr>
            <w:tcW w:type="dxa" w:w="3742"/>
            <w:vAlign w:val="center"/>
          </w:tcPr>
          <w:p>
            <w:pPr>
              <w:spacing w:after="0"/>
            </w:pPr>
            <w:r/>
            <w:r>
              <w:rPr>
                <w:rFonts w:ascii="Arial" w:hAnsi="Arial"/>
                <w:b w:val="0"/>
                <w:sz w:val="15"/>
              </w:rPr>
              <w:t>Lineage, unidades, combinaciones y resultados.</w:t>
            </w:r>
          </w:p>
        </w:tc>
        <w:tc>
          <w:tcPr>
            <w:tcW w:type="dxa" w:w="3969"/>
            <w:vAlign w:val="center"/>
          </w:tcPr>
          <w:p>
            <w:pPr>
              <w:spacing w:after="0"/>
            </w:pPr>
            <w:r/>
            <w:r>
              <w:rPr>
                <w:rFonts w:ascii="Arial" w:hAnsi="Arial"/>
                <w:b w:val="0"/>
                <w:sz w:val="15"/>
              </w:rPr>
              <w:t>Conclusiones y limitaciones.</w:t>
            </w:r>
          </w:p>
        </w:tc>
      </w:tr>
      <w:tr>
        <w:trPr>
          <w:cantSplit/>
        </w:trPr>
        <w:tc>
          <w:tcPr>
            <w:tcW w:type="dxa" w:w="1928"/>
            <w:vAlign w:val="center"/>
            <w:shd w:fill="F2F2F2"/>
          </w:tcPr>
          <w:p>
            <w:pPr>
              <w:spacing w:after="0"/>
            </w:pPr>
            <w:r/>
            <w:r>
              <w:rPr>
                <w:rFonts w:ascii="Arial" w:hAnsi="Arial"/>
                <w:b w:val="0"/>
                <w:sz w:val="15"/>
              </w:rPr>
              <w:t>Informe cliente</w:t>
            </w:r>
          </w:p>
        </w:tc>
        <w:tc>
          <w:tcPr>
            <w:tcW w:type="dxa" w:w="3742"/>
            <w:vAlign w:val="center"/>
            <w:shd w:fill="F2F2F2"/>
          </w:tcPr>
          <w:p>
            <w:pPr>
              <w:spacing w:after="0"/>
            </w:pPr>
            <w:r/>
            <w:r>
              <w:rPr>
                <w:rFonts w:ascii="Arial" w:hAnsi="Arial"/>
                <w:b w:val="0"/>
                <w:sz w:val="15"/>
              </w:rPr>
              <w:t>Datos no confidenciales y consistencia.</w:t>
            </w:r>
          </w:p>
        </w:tc>
        <w:tc>
          <w:tcPr>
            <w:tcW w:type="dxa" w:w="3969"/>
            <w:vAlign w:val="center"/>
            <w:shd w:fill="F2F2F2"/>
          </w:tcPr>
          <w:p>
            <w:pPr>
              <w:spacing w:after="0"/>
            </w:pPr>
            <w:r/>
            <w:r>
              <w:rPr>
                <w:rFonts w:ascii="Arial" w:hAnsi="Arial"/>
                <w:b w:val="0"/>
                <w:sz w:val="15"/>
              </w:rPr>
              <w:t>Comprensión y adecuación contractual.</w:t>
            </w:r>
          </w:p>
        </w:tc>
      </w:tr>
    </w:tbl>
    <w:p>
      <w:pPr>
        <w:spacing w:after="20"/>
      </w:pPr>
    </w:p>
    <w:p>
      <w:pPr>
        <w:pStyle w:val="Heading2"/>
      </w:pPr>
      <w:r>
        <w:t>19.1 Reconciliaciones bloqueantes</w:t>
      </w:r>
    </w:p>
    <w:p>
      <w:pPr>
        <w:pStyle w:val="ListBullet"/>
        <w:spacing w:after="40"/>
      </w:pPr>
      <w:r>
        <w:t>Masa CAD frente a masa BOM y masa calculada.</w:t>
      </w:r>
    </w:p>
    <w:p>
      <w:pPr>
        <w:pStyle w:val="ListBullet"/>
        <w:spacing w:after="40"/>
      </w:pPr>
      <w:r>
        <w:t>Geometría de cálculo frente a CAD liberado.</w:t>
      </w:r>
    </w:p>
    <w:p>
      <w:pPr>
        <w:pStyle w:val="ListBullet"/>
        <w:spacing w:after="40"/>
      </w:pPr>
      <w:r>
        <w:t>Materiales y espesores frente a certificados y compras.</w:t>
      </w:r>
    </w:p>
    <w:p>
      <w:pPr>
        <w:pStyle w:val="ListBullet"/>
        <w:spacing w:after="40"/>
      </w:pPr>
      <w:r>
        <w:t>Soldaduras de cálculo frente a mapa de soldaduras y WPS.</w:t>
      </w:r>
    </w:p>
    <w:p>
      <w:pPr>
        <w:pStyle w:val="ListBullet"/>
        <w:spacing w:after="40"/>
      </w:pPr>
      <w:r>
        <w:t>Pernos/anclajes frente a plantilla y cimentación.</w:t>
      </w:r>
    </w:p>
    <w:p>
      <w:pPr>
        <w:pStyle w:val="ListBullet"/>
        <w:spacing w:after="40"/>
      </w:pPr>
      <w:r>
        <w:t>Utilización gobernante frente al informe y selección de catálogo.</w:t>
      </w:r>
    </w:p>
    <w:p>
      <w:pPr>
        <w:pStyle w:val="ListBullet"/>
        <w:spacing w:after="40"/>
      </w:pPr>
      <w:r>
        <w:t>Revisión y hash comunes en todos los documentos del paquete.</w:t>
      </w:r>
    </w:p>
    <w:p>
      <w:pPr>
        <w:pStyle w:val="Heading1"/>
      </w:pPr>
      <w:r>
        <w:t>20. Gestión de cambios y revalidación</w:t>
      </w:r>
    </w:p>
    <w:tbl>
      <w:tblPr>
        <w:tblStyle w:val="TableGrid"/>
        <w:tblW w:type="auto" w:w="0"/>
        <w:jc w:val="center"/>
        <w:tblLook w:firstColumn="1" w:firstRow="1" w:lastColumn="0" w:lastRow="0" w:noHBand="0" w:noVBand="1" w:val="04A0"/>
      </w:tblPr>
      <w:tblGrid>
        <w:gridCol w:w="5043"/>
        <w:gridCol w:w="5043"/>
      </w:tblGrid>
      <w:tr>
        <w:trPr>
          <w:tblHeader/>
          <w:cantSplit/>
        </w:trPr>
        <w:tc>
          <w:tcPr>
            <w:tcW w:type="dxa" w:w="2835"/>
            <w:vAlign w:val="center"/>
            <w:shd w:fill="262626"/>
          </w:tcPr>
          <w:p>
            <w:pPr>
              <w:spacing w:after="0"/>
            </w:pPr>
            <w:r/>
            <w:r>
              <w:rPr>
                <w:rFonts w:ascii="Arial" w:hAnsi="Arial"/>
                <w:b/>
                <w:color w:val="FFFFFF"/>
                <w:sz w:val="16"/>
              </w:rPr>
              <w:t>Tipo de cambio</w:t>
            </w:r>
          </w:p>
        </w:tc>
        <w:tc>
          <w:tcPr>
            <w:tcW w:type="dxa" w:w="6803"/>
            <w:vAlign w:val="center"/>
            <w:shd w:fill="262626"/>
          </w:tcPr>
          <w:p>
            <w:pPr>
              <w:spacing w:after="0"/>
            </w:pPr>
            <w:r/>
            <w:r>
              <w:rPr>
                <w:rFonts w:ascii="Arial" w:hAnsi="Arial"/>
                <w:b/>
                <w:color w:val="FFFFFF"/>
                <w:sz w:val="16"/>
              </w:rPr>
              <w:t>Acción mínima</w:t>
            </w:r>
          </w:p>
        </w:tc>
      </w:tr>
      <w:tr>
        <w:trPr>
          <w:cantSplit/>
        </w:trPr>
        <w:tc>
          <w:tcPr>
            <w:tcW w:type="dxa" w:w="2835"/>
            <w:vAlign w:val="center"/>
          </w:tcPr>
          <w:p>
            <w:pPr>
              <w:spacing w:after="0"/>
            </w:pPr>
            <w:r/>
            <w:r>
              <w:rPr>
                <w:rFonts w:ascii="Arial" w:hAnsi="Arial"/>
                <w:b w:val="0"/>
                <w:sz w:val="16"/>
              </w:rPr>
              <w:t>Corrección editorial</w:t>
            </w:r>
          </w:p>
        </w:tc>
        <w:tc>
          <w:tcPr>
            <w:tcW w:type="dxa" w:w="6803"/>
            <w:vAlign w:val="center"/>
          </w:tcPr>
          <w:p>
            <w:pPr>
              <w:spacing w:after="0"/>
            </w:pPr>
            <w:r/>
            <w:r>
              <w:rPr>
                <w:rFonts w:ascii="Arial" w:hAnsi="Arial"/>
                <w:b w:val="0"/>
                <w:sz w:val="16"/>
              </w:rPr>
              <w:t>QA documental y regresión limitada.</w:t>
            </w:r>
          </w:p>
        </w:tc>
      </w:tr>
      <w:tr>
        <w:trPr>
          <w:cantSplit/>
        </w:trPr>
        <w:tc>
          <w:tcPr>
            <w:tcW w:type="dxa" w:w="2835"/>
            <w:vAlign w:val="center"/>
            <w:shd w:fill="F2F2F2"/>
          </w:tcPr>
          <w:p>
            <w:pPr>
              <w:spacing w:after="0"/>
            </w:pPr>
            <w:r/>
            <w:r>
              <w:rPr>
                <w:rFonts w:ascii="Arial" w:hAnsi="Arial"/>
                <w:b w:val="0"/>
                <w:sz w:val="16"/>
              </w:rPr>
              <w:t>Cambio de coste o CO2</w:t>
            </w:r>
          </w:p>
        </w:tc>
        <w:tc>
          <w:tcPr>
            <w:tcW w:type="dxa" w:w="6803"/>
            <w:vAlign w:val="center"/>
            <w:shd w:fill="F2F2F2"/>
          </w:tcPr>
          <w:p>
            <w:pPr>
              <w:spacing w:after="0"/>
            </w:pPr>
            <w:r/>
            <w:r>
              <w:rPr>
                <w:rFonts w:ascii="Arial" w:hAnsi="Arial"/>
                <w:b w:val="0"/>
                <w:sz w:val="16"/>
              </w:rPr>
              <w:t>Reoptimización; sin revalidación estructural si no cambia diseño.</w:t>
            </w:r>
          </w:p>
        </w:tc>
      </w:tr>
      <w:tr>
        <w:trPr>
          <w:cantSplit/>
        </w:trPr>
        <w:tc>
          <w:tcPr>
            <w:tcW w:type="dxa" w:w="2835"/>
            <w:vAlign w:val="center"/>
          </w:tcPr>
          <w:p>
            <w:pPr>
              <w:spacing w:after="0"/>
            </w:pPr>
            <w:r/>
            <w:r>
              <w:rPr>
                <w:rFonts w:ascii="Arial" w:hAnsi="Arial"/>
                <w:b w:val="0"/>
                <w:sz w:val="16"/>
              </w:rPr>
              <w:t>Cambio de material/proveedor</w:t>
            </w:r>
          </w:p>
        </w:tc>
        <w:tc>
          <w:tcPr>
            <w:tcW w:type="dxa" w:w="6803"/>
            <w:vAlign w:val="center"/>
          </w:tcPr>
          <w:p>
            <w:pPr>
              <w:spacing w:after="0"/>
            </w:pPr>
            <w:r/>
            <w:r>
              <w:rPr>
                <w:rFonts w:ascii="Arial" w:hAnsi="Arial"/>
                <w:b w:val="0"/>
                <w:sz w:val="16"/>
              </w:rPr>
              <w:t>Revisión de propiedades, proceso, FPC y dominio.</w:t>
            </w:r>
          </w:p>
        </w:tc>
      </w:tr>
      <w:tr>
        <w:trPr>
          <w:cantSplit/>
        </w:trPr>
        <w:tc>
          <w:tcPr>
            <w:tcW w:type="dxa" w:w="2835"/>
            <w:vAlign w:val="center"/>
            <w:shd w:fill="F2F2F2"/>
          </w:tcPr>
          <w:p>
            <w:pPr>
              <w:spacing w:after="0"/>
            </w:pPr>
            <w:r/>
            <w:r>
              <w:rPr>
                <w:rFonts w:ascii="Arial" w:hAnsi="Arial"/>
                <w:b w:val="0"/>
                <w:sz w:val="16"/>
              </w:rPr>
              <w:t>Cambio geométrico</w:t>
            </w:r>
          </w:p>
        </w:tc>
        <w:tc>
          <w:tcPr>
            <w:tcW w:type="dxa" w:w="6803"/>
            <w:vAlign w:val="center"/>
            <w:shd w:fill="F2F2F2"/>
          </w:tcPr>
          <w:p>
            <w:pPr>
              <w:spacing w:after="0"/>
            </w:pPr>
            <w:r/>
            <w:r>
              <w:rPr>
                <w:rFonts w:ascii="Arial" w:hAnsi="Arial"/>
                <w:b w:val="0"/>
                <w:sz w:val="16"/>
              </w:rPr>
              <w:t>Recálculo, CAD/BOM y pruebas afectadas.</w:t>
            </w:r>
          </w:p>
        </w:tc>
      </w:tr>
      <w:tr>
        <w:trPr>
          <w:cantSplit/>
        </w:trPr>
        <w:tc>
          <w:tcPr>
            <w:tcW w:type="dxa" w:w="2835"/>
            <w:vAlign w:val="center"/>
          </w:tcPr>
          <w:p>
            <w:pPr>
              <w:spacing w:after="0"/>
            </w:pPr>
            <w:r/>
            <w:r>
              <w:rPr>
                <w:rFonts w:ascii="Arial" w:hAnsi="Arial"/>
                <w:b w:val="0"/>
                <w:sz w:val="16"/>
              </w:rPr>
              <w:t>Cambio de fórmula o solver</w:t>
            </w:r>
          </w:p>
        </w:tc>
        <w:tc>
          <w:tcPr>
            <w:tcW w:type="dxa" w:w="6803"/>
            <w:vAlign w:val="center"/>
          </w:tcPr>
          <w:p>
            <w:pPr>
              <w:spacing w:after="0"/>
            </w:pPr>
            <w:r/>
            <w:r>
              <w:rPr>
                <w:rFonts w:ascii="Arial" w:hAnsi="Arial"/>
                <w:b w:val="0"/>
                <w:sz w:val="16"/>
              </w:rPr>
              <w:t>Regresión completa y comparación independiente.</w:t>
            </w:r>
          </w:p>
        </w:tc>
      </w:tr>
      <w:tr>
        <w:trPr>
          <w:cantSplit/>
        </w:trPr>
        <w:tc>
          <w:tcPr>
            <w:tcW w:type="dxa" w:w="2835"/>
            <w:vAlign w:val="center"/>
            <w:shd w:fill="F2F2F2"/>
          </w:tcPr>
          <w:p>
            <w:pPr>
              <w:spacing w:after="0"/>
            </w:pPr>
            <w:r/>
            <w:r>
              <w:rPr>
                <w:rFonts w:ascii="Arial" w:hAnsi="Arial"/>
                <w:b w:val="0"/>
                <w:sz w:val="16"/>
              </w:rPr>
              <w:t>Cambio normativo</w:t>
            </w:r>
          </w:p>
        </w:tc>
        <w:tc>
          <w:tcPr>
            <w:tcW w:type="dxa" w:w="6803"/>
            <w:vAlign w:val="center"/>
            <w:shd w:fill="F2F2F2"/>
          </w:tcPr>
          <w:p>
            <w:pPr>
              <w:spacing w:after="0"/>
            </w:pPr>
            <w:r/>
            <w:r>
              <w:rPr>
                <w:rFonts w:ascii="Arial" w:hAnsi="Arial"/>
                <w:b w:val="0"/>
                <w:sz w:val="16"/>
              </w:rPr>
              <w:t>Análisis de impacto y nueva matriz de cumplimiento.</w:t>
            </w:r>
          </w:p>
        </w:tc>
      </w:tr>
      <w:tr>
        <w:trPr>
          <w:cantSplit/>
        </w:trPr>
        <w:tc>
          <w:tcPr>
            <w:tcW w:type="dxa" w:w="2835"/>
            <w:vAlign w:val="center"/>
          </w:tcPr>
          <w:p>
            <w:pPr>
              <w:spacing w:after="0"/>
            </w:pPr>
            <w:r/>
            <w:r>
              <w:rPr>
                <w:rFonts w:ascii="Arial" w:hAnsi="Arial"/>
                <w:b w:val="0"/>
                <w:sz w:val="16"/>
              </w:rPr>
              <w:t>Cambio de proceso crítico</w:t>
            </w:r>
          </w:p>
        </w:tc>
        <w:tc>
          <w:tcPr>
            <w:tcW w:type="dxa" w:w="6803"/>
            <w:vAlign w:val="center"/>
          </w:tcPr>
          <w:p>
            <w:pPr>
              <w:spacing w:after="0"/>
            </w:pPr>
            <w:r/>
            <w:r>
              <w:rPr>
                <w:rFonts w:ascii="Arial" w:hAnsi="Arial"/>
                <w:b w:val="0"/>
                <w:sz w:val="16"/>
              </w:rPr>
              <w:t>FAI, ensayos y recualificación.</w:t>
            </w:r>
          </w:p>
        </w:tc>
      </w:tr>
      <w:tr>
        <w:trPr>
          <w:cantSplit/>
        </w:trPr>
        <w:tc>
          <w:tcPr>
            <w:tcW w:type="dxa" w:w="2835"/>
            <w:vAlign w:val="center"/>
            <w:shd w:fill="F2F2F2"/>
          </w:tcPr>
          <w:p>
            <w:pPr>
              <w:spacing w:after="0"/>
            </w:pPr>
            <w:r/>
            <w:r>
              <w:rPr>
                <w:rFonts w:ascii="Arial" w:hAnsi="Arial"/>
                <w:b w:val="0"/>
                <w:sz w:val="16"/>
              </w:rPr>
              <w:t>Incidencia de campo</w:t>
            </w:r>
          </w:p>
        </w:tc>
        <w:tc>
          <w:tcPr>
            <w:tcW w:type="dxa" w:w="6803"/>
            <w:vAlign w:val="center"/>
            <w:shd w:fill="F2F2F2"/>
          </w:tcPr>
          <w:p>
            <w:pPr>
              <w:spacing w:after="0"/>
            </w:pPr>
            <w:r/>
            <w:r>
              <w:rPr>
                <w:rFonts w:ascii="Arial" w:hAnsi="Arial"/>
                <w:b w:val="0"/>
                <w:sz w:val="16"/>
              </w:rPr>
              <w:t>Contención, análisis, CAPA y posible retirada.</w:t>
            </w:r>
          </w:p>
        </w:tc>
      </w:tr>
    </w:tbl>
    <w:p>
      <w:pPr>
        <w:spacing w:after="20"/>
      </w:pPr>
    </w:p>
    <w:p>
      <w:pPr>
        <w:pStyle w:val="Heading2"/>
      </w:pPr>
      <w:r>
        <w:t>20.1 Impact analysis</w:t>
      </w:r>
    </w:p>
    <w:p>
      <w:r>
        <w:t>El sistema deberá construir automáticamente el grafo de impacto desde el elemento modificado hasta proyectos, referencias, informes, ensayos y aprobaciones. Ninguna versión afectada podrá conservar el estado liberado sin una decisión explícita.</w:t>
      </w:r>
    </w:p>
    <w:p>
      <w:pPr>
        <w:pStyle w:val="Heading1"/>
      </w:pPr>
      <w:r>
        <w:t>21. No conformidades, desviaciones y CAPA</w:t>
      </w:r>
    </w:p>
    <w:p>
      <w:pPr>
        <w:pStyle w:val="ListNumber"/>
        <w:spacing w:after="40"/>
      </w:pPr>
      <w:r>
        <w:t>Registro inmediato con severidad y contención.</w:t>
      </w:r>
    </w:p>
    <w:p>
      <w:pPr>
        <w:pStyle w:val="ListNumber"/>
        <w:spacing w:after="40"/>
      </w:pPr>
      <w:r>
        <w:t>Preservación de datos, piezas y evidencia.</w:t>
      </w:r>
    </w:p>
    <w:p>
      <w:pPr>
        <w:pStyle w:val="ListNumber"/>
        <w:spacing w:after="40"/>
      </w:pPr>
      <w:r>
        <w:t>Análisis de causa raíz técnico y de proceso.</w:t>
      </w:r>
    </w:p>
    <w:p>
      <w:pPr>
        <w:pStyle w:val="ListNumber"/>
        <w:spacing w:after="40"/>
      </w:pPr>
      <w:r>
        <w:t>Identificación del alcance: versiones, familias y clientes.</w:t>
      </w:r>
    </w:p>
    <w:p>
      <w:pPr>
        <w:pStyle w:val="ListNumber"/>
        <w:spacing w:after="40"/>
      </w:pPr>
      <w:r>
        <w:t>Acción correctiva y preventiva.</w:t>
      </w:r>
    </w:p>
    <w:p>
      <w:pPr>
        <w:pStyle w:val="ListNumber"/>
        <w:spacing w:after="40"/>
      </w:pPr>
      <w:r>
        <w:t>Repetición de pruebas y evidencia de eficacia.</w:t>
      </w:r>
    </w:p>
    <w:p>
      <w:pPr>
        <w:pStyle w:val="ListNumber"/>
        <w:spacing w:after="40"/>
      </w:pPr>
      <w:r>
        <w:t>Aprobación de cierre y actualización del conocimiento.</w:t>
      </w:r>
    </w:p>
    <w:tbl>
      <w:tblPr>
        <w:tblStyle w:val="TableGrid"/>
        <w:tblW w:type="auto" w:w="0"/>
        <w:jc w:val="center"/>
        <w:tblLook w:firstColumn="1" w:firstRow="1" w:lastColumn="0" w:lastRow="0" w:noHBand="0" w:noVBand="1" w:val="04A0"/>
      </w:tblPr>
      <w:tblGrid>
        <w:gridCol w:w="3362"/>
        <w:gridCol w:w="3362"/>
        <w:gridCol w:w="3362"/>
      </w:tblGrid>
      <w:tr>
        <w:trPr>
          <w:tblHeader/>
          <w:cantSplit/>
        </w:trPr>
        <w:tc>
          <w:tcPr>
            <w:tcW w:type="dxa" w:w="1361"/>
            <w:vAlign w:val="center"/>
            <w:shd w:fill="262626"/>
          </w:tcPr>
          <w:p>
            <w:pPr>
              <w:spacing w:after="0"/>
            </w:pPr>
            <w:r/>
            <w:r>
              <w:rPr>
                <w:rFonts w:ascii="Arial" w:hAnsi="Arial"/>
                <w:b/>
                <w:color w:val="FFFFFF"/>
                <w:sz w:val="16"/>
              </w:rPr>
              <w:t>Severidad</w:t>
            </w:r>
          </w:p>
        </w:tc>
        <w:tc>
          <w:tcPr>
            <w:tcW w:type="dxa" w:w="4422"/>
            <w:vAlign w:val="center"/>
            <w:shd w:fill="262626"/>
          </w:tcPr>
          <w:p>
            <w:pPr>
              <w:spacing w:after="0"/>
            </w:pPr>
            <w:r/>
            <w:r>
              <w:rPr>
                <w:rFonts w:ascii="Arial" w:hAnsi="Arial"/>
                <w:b/>
                <w:color w:val="FFFFFF"/>
                <w:sz w:val="16"/>
              </w:rPr>
              <w:t>Ejemplo</w:t>
            </w:r>
          </w:p>
        </w:tc>
        <w:tc>
          <w:tcPr>
            <w:tcW w:type="dxa" w:w="3855"/>
            <w:vAlign w:val="center"/>
            <w:shd w:fill="262626"/>
          </w:tcPr>
          <w:p>
            <w:pPr>
              <w:spacing w:after="0"/>
            </w:pPr>
            <w:r/>
            <w:r>
              <w:rPr>
                <w:rFonts w:ascii="Arial" w:hAnsi="Arial"/>
                <w:b/>
                <w:color w:val="FFFFFF"/>
                <w:sz w:val="16"/>
              </w:rPr>
              <w:t>Respuesta</w:t>
            </w:r>
          </w:p>
        </w:tc>
      </w:tr>
      <w:tr>
        <w:trPr>
          <w:cantSplit/>
        </w:trPr>
        <w:tc>
          <w:tcPr>
            <w:tcW w:type="dxa" w:w="1361"/>
            <w:vAlign w:val="center"/>
          </w:tcPr>
          <w:p>
            <w:pPr>
              <w:spacing w:after="0"/>
            </w:pPr>
            <w:r/>
            <w:r>
              <w:rPr>
                <w:rFonts w:ascii="Arial" w:hAnsi="Arial"/>
                <w:b w:val="0"/>
                <w:sz w:val="16"/>
              </w:rPr>
              <w:t>S1 menor</w:t>
            </w:r>
          </w:p>
        </w:tc>
        <w:tc>
          <w:tcPr>
            <w:tcW w:type="dxa" w:w="4422"/>
            <w:vAlign w:val="center"/>
          </w:tcPr>
          <w:p>
            <w:pPr>
              <w:spacing w:after="0"/>
            </w:pPr>
            <w:r/>
            <w:r>
              <w:rPr>
                <w:rFonts w:ascii="Arial" w:hAnsi="Arial"/>
                <w:b w:val="0"/>
                <w:sz w:val="16"/>
              </w:rPr>
              <w:t>Defecto documental sin impacto técnico.</w:t>
            </w:r>
          </w:p>
        </w:tc>
        <w:tc>
          <w:tcPr>
            <w:tcW w:type="dxa" w:w="3855"/>
            <w:vAlign w:val="center"/>
          </w:tcPr>
          <w:p>
            <w:pPr>
              <w:spacing w:after="0"/>
            </w:pPr>
            <w:r/>
            <w:r>
              <w:rPr>
                <w:rFonts w:ascii="Arial" w:hAnsi="Arial"/>
                <w:b w:val="0"/>
                <w:sz w:val="16"/>
              </w:rPr>
              <w:t>Corrección controlada.</w:t>
            </w:r>
          </w:p>
        </w:tc>
      </w:tr>
      <w:tr>
        <w:trPr>
          <w:cantSplit/>
        </w:trPr>
        <w:tc>
          <w:tcPr>
            <w:tcW w:type="dxa" w:w="1361"/>
            <w:vAlign w:val="center"/>
            <w:shd w:fill="F2F2F2"/>
          </w:tcPr>
          <w:p>
            <w:pPr>
              <w:spacing w:after="0"/>
            </w:pPr>
            <w:r/>
            <w:r>
              <w:rPr>
                <w:rFonts w:ascii="Arial" w:hAnsi="Arial"/>
                <w:b w:val="0"/>
                <w:sz w:val="16"/>
              </w:rPr>
              <w:t>S2 moderada</w:t>
            </w:r>
          </w:p>
        </w:tc>
        <w:tc>
          <w:tcPr>
            <w:tcW w:type="dxa" w:w="4422"/>
            <w:vAlign w:val="center"/>
            <w:shd w:fill="F2F2F2"/>
          </w:tcPr>
          <w:p>
            <w:pPr>
              <w:spacing w:after="0"/>
            </w:pPr>
            <w:r/>
            <w:r>
              <w:rPr>
                <w:rFonts w:ascii="Arial" w:hAnsi="Arial"/>
                <w:b w:val="0"/>
                <w:sz w:val="16"/>
              </w:rPr>
              <w:t>Error de proceso detectado antes de entrega.</w:t>
            </w:r>
          </w:p>
        </w:tc>
        <w:tc>
          <w:tcPr>
            <w:tcW w:type="dxa" w:w="3855"/>
            <w:vAlign w:val="center"/>
            <w:shd w:fill="F2F2F2"/>
          </w:tcPr>
          <w:p>
            <w:pPr>
              <w:spacing w:after="0"/>
            </w:pPr>
            <w:r/>
            <w:r>
              <w:rPr>
                <w:rFonts w:ascii="Arial" w:hAnsi="Arial"/>
                <w:b w:val="0"/>
                <w:sz w:val="16"/>
              </w:rPr>
              <w:t>Contención y revalidación local.</w:t>
            </w:r>
          </w:p>
        </w:tc>
      </w:tr>
      <w:tr>
        <w:trPr>
          <w:cantSplit/>
        </w:trPr>
        <w:tc>
          <w:tcPr>
            <w:tcW w:type="dxa" w:w="1361"/>
            <w:vAlign w:val="center"/>
          </w:tcPr>
          <w:p>
            <w:pPr>
              <w:spacing w:after="0"/>
            </w:pPr>
            <w:r/>
            <w:r>
              <w:rPr>
                <w:rFonts w:ascii="Arial" w:hAnsi="Arial"/>
                <w:b w:val="0"/>
                <w:sz w:val="16"/>
              </w:rPr>
              <w:t>S3 alta</w:t>
            </w:r>
          </w:p>
        </w:tc>
        <w:tc>
          <w:tcPr>
            <w:tcW w:type="dxa" w:w="4422"/>
            <w:vAlign w:val="center"/>
          </w:tcPr>
          <w:p>
            <w:pPr>
              <w:spacing w:after="0"/>
            </w:pPr>
            <w:r/>
            <w:r>
              <w:rPr>
                <w:rFonts w:ascii="Arial" w:hAnsi="Arial"/>
                <w:b w:val="0"/>
                <w:sz w:val="16"/>
              </w:rPr>
              <w:t>Resultado técnico incorrecto o lote afectado.</w:t>
            </w:r>
          </w:p>
        </w:tc>
        <w:tc>
          <w:tcPr>
            <w:tcW w:type="dxa" w:w="3855"/>
            <w:vAlign w:val="center"/>
          </w:tcPr>
          <w:p>
            <w:pPr>
              <w:spacing w:after="0"/>
            </w:pPr>
            <w:r/>
            <w:r>
              <w:rPr>
                <w:rFonts w:ascii="Arial" w:hAnsi="Arial"/>
                <w:b w:val="0"/>
                <w:sz w:val="16"/>
              </w:rPr>
              <w:t>Bloqueo, análisis y comunicación interna.</w:t>
            </w:r>
          </w:p>
        </w:tc>
      </w:tr>
      <w:tr>
        <w:trPr>
          <w:cantSplit/>
        </w:trPr>
        <w:tc>
          <w:tcPr>
            <w:tcW w:type="dxa" w:w="1361"/>
            <w:vAlign w:val="center"/>
            <w:shd w:fill="F2F2F2"/>
          </w:tcPr>
          <w:p>
            <w:pPr>
              <w:spacing w:after="0"/>
            </w:pPr>
            <w:r/>
            <w:r>
              <w:rPr>
                <w:rFonts w:ascii="Arial" w:hAnsi="Arial"/>
                <w:b w:val="0"/>
                <w:sz w:val="16"/>
              </w:rPr>
              <w:t>S4 crítica</w:t>
            </w:r>
          </w:p>
        </w:tc>
        <w:tc>
          <w:tcPr>
            <w:tcW w:type="dxa" w:w="4422"/>
            <w:vAlign w:val="center"/>
            <w:shd w:fill="F2F2F2"/>
          </w:tcPr>
          <w:p>
            <w:pPr>
              <w:spacing w:after="0"/>
            </w:pPr>
            <w:r/>
            <w:r>
              <w:rPr>
                <w:rFonts w:ascii="Arial" w:hAnsi="Arial"/>
                <w:b w:val="0"/>
                <w:sz w:val="16"/>
              </w:rPr>
              <w:t>Riesgo de seguridad o producto instalado.</w:t>
            </w:r>
          </w:p>
        </w:tc>
        <w:tc>
          <w:tcPr>
            <w:tcW w:type="dxa" w:w="3855"/>
            <w:vAlign w:val="center"/>
            <w:shd w:fill="F2F2F2"/>
          </w:tcPr>
          <w:p>
            <w:pPr>
              <w:spacing w:after="0"/>
            </w:pPr>
            <w:r/>
            <w:r>
              <w:rPr>
                <w:rFonts w:ascii="Arial" w:hAnsi="Arial"/>
                <w:b w:val="0"/>
                <w:sz w:val="16"/>
              </w:rPr>
              <w:t>Crisis, trazabilidad, cliente y acciones de campo.</w:t>
            </w:r>
          </w:p>
        </w:tc>
      </w:tr>
    </w:tbl>
    <w:p>
      <w:pPr>
        <w:spacing w:after="20"/>
      </w:pPr>
    </w:p>
    <w:p>
      <w:r>
        <w:br w:type="page"/>
      </w:r>
    </w:p>
    <w:p>
      <w:pPr>
        <w:pStyle w:val="Heading1"/>
      </w:pPr>
      <w:r>
        <w:t>22. Niveles de madurez y gates de liberación</w:t>
      </w:r>
    </w:p>
    <w:tbl>
      <w:tblPr>
        <w:tblStyle w:val="TableGrid"/>
        <w:tblW w:type="auto" w:w="0"/>
        <w:jc w:val="center"/>
        <w:tblLook w:firstColumn="1" w:firstRow="1" w:lastColumn="0" w:lastRow="0" w:noHBand="0" w:noVBand="1" w:val="04A0"/>
      </w:tblPr>
      <w:tblGrid>
        <w:gridCol w:w="3362"/>
        <w:gridCol w:w="3362"/>
        <w:gridCol w:w="3362"/>
      </w:tblGrid>
      <w:tr>
        <w:trPr>
          <w:tblHeader/>
          <w:cantSplit/>
        </w:trPr>
        <w:tc>
          <w:tcPr>
            <w:tcW w:type="dxa" w:w="1020"/>
            <w:vAlign w:val="center"/>
            <w:shd w:fill="262626"/>
          </w:tcPr>
          <w:p>
            <w:pPr>
              <w:spacing w:after="0"/>
            </w:pPr>
            <w:r/>
            <w:r>
              <w:rPr>
                <w:rFonts w:ascii="Arial" w:hAnsi="Arial"/>
                <w:b/>
                <w:color w:val="FFFFFF"/>
                <w:sz w:val="16"/>
              </w:rPr>
              <w:t>Nivel</w:t>
            </w:r>
          </w:p>
        </w:tc>
        <w:tc>
          <w:tcPr>
            <w:tcW w:type="dxa" w:w="5556"/>
            <w:vAlign w:val="center"/>
            <w:shd w:fill="262626"/>
          </w:tcPr>
          <w:p>
            <w:pPr>
              <w:spacing w:after="0"/>
            </w:pPr>
            <w:r/>
            <w:r>
              <w:rPr>
                <w:rFonts w:ascii="Arial" w:hAnsi="Arial"/>
                <w:b/>
                <w:color w:val="FFFFFF"/>
                <w:sz w:val="16"/>
              </w:rPr>
              <w:t>Descripción</w:t>
            </w:r>
          </w:p>
        </w:tc>
        <w:tc>
          <w:tcPr>
            <w:tcW w:type="dxa" w:w="3061"/>
            <w:vAlign w:val="center"/>
            <w:shd w:fill="262626"/>
          </w:tcPr>
          <w:p>
            <w:pPr>
              <w:spacing w:after="0"/>
            </w:pPr>
            <w:r/>
            <w:r>
              <w:rPr>
                <w:rFonts w:ascii="Arial" w:hAnsi="Arial"/>
                <w:b/>
                <w:color w:val="FFFFFF"/>
                <w:sz w:val="16"/>
              </w:rPr>
              <w:t>Uso</w:t>
            </w:r>
          </w:p>
        </w:tc>
      </w:tr>
      <w:tr>
        <w:trPr>
          <w:cantSplit/>
        </w:trPr>
        <w:tc>
          <w:tcPr>
            <w:tcW w:type="dxa" w:w="1020"/>
            <w:vAlign w:val="center"/>
          </w:tcPr>
          <w:p>
            <w:pPr>
              <w:spacing w:after="0"/>
            </w:pPr>
            <w:r/>
            <w:r>
              <w:rPr>
                <w:rFonts w:ascii="Arial" w:hAnsi="Arial"/>
                <w:b w:val="0"/>
                <w:sz w:val="16"/>
              </w:rPr>
              <w:t>V0</w:t>
            </w:r>
          </w:p>
        </w:tc>
        <w:tc>
          <w:tcPr>
            <w:tcW w:type="dxa" w:w="5556"/>
            <w:vAlign w:val="center"/>
          </w:tcPr>
          <w:p>
            <w:pPr>
              <w:spacing w:after="0"/>
            </w:pPr>
            <w:r/>
            <w:r>
              <w:rPr>
                <w:rFonts w:ascii="Arial" w:hAnsi="Arial"/>
                <w:b w:val="0"/>
                <w:sz w:val="16"/>
              </w:rPr>
              <w:t>Código o método en desarrollo.</w:t>
            </w:r>
          </w:p>
        </w:tc>
        <w:tc>
          <w:tcPr>
            <w:tcW w:type="dxa" w:w="3061"/>
            <w:vAlign w:val="center"/>
          </w:tcPr>
          <w:p>
            <w:pPr>
              <w:spacing w:after="0"/>
            </w:pPr>
            <w:r/>
            <w:r>
              <w:rPr>
                <w:rFonts w:ascii="Arial" w:hAnsi="Arial"/>
                <w:b w:val="0"/>
                <w:sz w:val="16"/>
              </w:rPr>
              <w:t>Sin decisiones de producto.</w:t>
            </w:r>
          </w:p>
        </w:tc>
      </w:tr>
      <w:tr>
        <w:trPr>
          <w:cantSplit/>
        </w:trPr>
        <w:tc>
          <w:tcPr>
            <w:tcW w:type="dxa" w:w="1020"/>
            <w:vAlign w:val="center"/>
            <w:shd w:fill="F2F2F2"/>
          </w:tcPr>
          <w:p>
            <w:pPr>
              <w:spacing w:after="0"/>
            </w:pPr>
            <w:r/>
            <w:r>
              <w:rPr>
                <w:rFonts w:ascii="Arial" w:hAnsi="Arial"/>
                <w:b w:val="0"/>
                <w:sz w:val="16"/>
              </w:rPr>
              <w:t>V1</w:t>
            </w:r>
          </w:p>
        </w:tc>
        <w:tc>
          <w:tcPr>
            <w:tcW w:type="dxa" w:w="5556"/>
            <w:vAlign w:val="center"/>
            <w:shd w:fill="F2F2F2"/>
          </w:tcPr>
          <w:p>
            <w:pPr>
              <w:spacing w:after="0"/>
            </w:pPr>
            <w:r/>
            <w:r>
              <w:rPr>
                <w:rFonts w:ascii="Arial" w:hAnsi="Arial"/>
                <w:b w:val="0"/>
                <w:sz w:val="16"/>
              </w:rPr>
              <w:t>Pruebas unitarias y analíticas aprobadas.</w:t>
            </w:r>
          </w:p>
        </w:tc>
        <w:tc>
          <w:tcPr>
            <w:tcW w:type="dxa" w:w="3061"/>
            <w:vAlign w:val="center"/>
            <w:shd w:fill="F2F2F2"/>
          </w:tcPr>
          <w:p>
            <w:pPr>
              <w:spacing w:after="0"/>
            </w:pPr>
            <w:r/>
            <w:r>
              <w:rPr>
                <w:rFonts w:ascii="Arial" w:hAnsi="Arial"/>
                <w:b w:val="0"/>
                <w:sz w:val="16"/>
              </w:rPr>
              <w:t>Desarrollo supervisado.</w:t>
            </w:r>
          </w:p>
        </w:tc>
      </w:tr>
      <w:tr>
        <w:trPr>
          <w:cantSplit/>
        </w:trPr>
        <w:tc>
          <w:tcPr>
            <w:tcW w:type="dxa" w:w="1020"/>
            <w:vAlign w:val="center"/>
          </w:tcPr>
          <w:p>
            <w:pPr>
              <w:spacing w:after="0"/>
            </w:pPr>
            <w:r/>
            <w:r>
              <w:rPr>
                <w:rFonts w:ascii="Arial" w:hAnsi="Arial"/>
                <w:b w:val="0"/>
                <w:sz w:val="16"/>
              </w:rPr>
              <w:t>V2</w:t>
            </w:r>
          </w:p>
        </w:tc>
        <w:tc>
          <w:tcPr>
            <w:tcW w:type="dxa" w:w="5556"/>
            <w:vAlign w:val="center"/>
          </w:tcPr>
          <w:p>
            <w:pPr>
              <w:spacing w:after="0"/>
            </w:pPr>
            <w:r/>
            <w:r>
              <w:rPr>
                <w:rFonts w:ascii="Arial" w:hAnsi="Arial"/>
                <w:b w:val="0"/>
                <w:sz w:val="16"/>
              </w:rPr>
              <w:t>Comparación independiente y regresión.</w:t>
            </w:r>
          </w:p>
        </w:tc>
        <w:tc>
          <w:tcPr>
            <w:tcW w:type="dxa" w:w="3061"/>
            <w:vAlign w:val="center"/>
          </w:tcPr>
          <w:p>
            <w:pPr>
              <w:spacing w:after="0"/>
            </w:pPr>
            <w:r/>
            <w:r>
              <w:rPr>
                <w:rFonts w:ascii="Arial" w:hAnsi="Arial"/>
                <w:b w:val="0"/>
                <w:sz w:val="16"/>
              </w:rPr>
              <w:t>Cálculo interno limitado.</w:t>
            </w:r>
          </w:p>
        </w:tc>
      </w:tr>
      <w:tr>
        <w:trPr>
          <w:cantSplit/>
        </w:trPr>
        <w:tc>
          <w:tcPr>
            <w:tcW w:type="dxa" w:w="1020"/>
            <w:vAlign w:val="center"/>
            <w:shd w:fill="F2F2F2"/>
          </w:tcPr>
          <w:p>
            <w:pPr>
              <w:spacing w:after="0"/>
            </w:pPr>
            <w:r/>
            <w:r>
              <w:rPr>
                <w:rFonts w:ascii="Arial" w:hAnsi="Arial"/>
                <w:b w:val="0"/>
                <w:sz w:val="16"/>
              </w:rPr>
              <w:t>V3</w:t>
            </w:r>
          </w:p>
        </w:tc>
        <w:tc>
          <w:tcPr>
            <w:tcW w:type="dxa" w:w="5556"/>
            <w:vAlign w:val="center"/>
            <w:shd w:fill="F2F2F2"/>
          </w:tcPr>
          <w:p>
            <w:pPr>
              <w:spacing w:after="0"/>
            </w:pPr>
            <w:r/>
            <w:r>
              <w:rPr>
                <w:rFonts w:ascii="Arial" w:hAnsi="Arial"/>
                <w:b w:val="0"/>
                <w:sz w:val="16"/>
              </w:rPr>
              <w:t>Correlación con ensayos representativos.</w:t>
            </w:r>
          </w:p>
        </w:tc>
        <w:tc>
          <w:tcPr>
            <w:tcW w:type="dxa" w:w="3061"/>
            <w:vAlign w:val="center"/>
            <w:shd w:fill="F2F2F2"/>
          </w:tcPr>
          <w:p>
            <w:pPr>
              <w:spacing w:after="0"/>
            </w:pPr>
            <w:r/>
            <w:r>
              <w:rPr>
                <w:rFonts w:ascii="Arial" w:hAnsi="Arial"/>
                <w:b w:val="0"/>
                <w:sz w:val="16"/>
              </w:rPr>
              <w:t>Ingeniería dentro del dominio.</w:t>
            </w:r>
          </w:p>
        </w:tc>
      </w:tr>
      <w:tr>
        <w:trPr>
          <w:cantSplit/>
        </w:trPr>
        <w:tc>
          <w:tcPr>
            <w:tcW w:type="dxa" w:w="1020"/>
            <w:vAlign w:val="center"/>
          </w:tcPr>
          <w:p>
            <w:pPr>
              <w:spacing w:after="0"/>
            </w:pPr>
            <w:r/>
            <w:r>
              <w:rPr>
                <w:rFonts w:ascii="Arial" w:hAnsi="Arial"/>
                <w:b w:val="0"/>
                <w:sz w:val="16"/>
              </w:rPr>
              <w:t>V4</w:t>
            </w:r>
          </w:p>
        </w:tc>
        <w:tc>
          <w:tcPr>
            <w:tcW w:type="dxa" w:w="5556"/>
            <w:vAlign w:val="center"/>
          </w:tcPr>
          <w:p>
            <w:pPr>
              <w:spacing w:after="0"/>
            </w:pPr>
            <w:r/>
            <w:r>
              <w:rPr>
                <w:rFonts w:ascii="Arial" w:hAnsi="Arial"/>
                <w:b w:val="0"/>
                <w:sz w:val="16"/>
              </w:rPr>
              <w:t>Validación industrial, FPC y familias cualificadas.</w:t>
            </w:r>
          </w:p>
        </w:tc>
        <w:tc>
          <w:tcPr>
            <w:tcW w:type="dxa" w:w="3061"/>
            <w:vAlign w:val="center"/>
          </w:tcPr>
          <w:p>
            <w:pPr>
              <w:spacing w:after="0"/>
            </w:pPr>
            <w:r/>
            <w:r>
              <w:rPr>
                <w:rFonts w:ascii="Arial" w:hAnsi="Arial"/>
                <w:b w:val="0"/>
                <w:sz w:val="16"/>
              </w:rPr>
              <w:t>Liberación de producto.</w:t>
            </w:r>
          </w:p>
        </w:tc>
      </w:tr>
      <w:tr>
        <w:trPr>
          <w:cantSplit/>
        </w:trPr>
        <w:tc>
          <w:tcPr>
            <w:tcW w:type="dxa" w:w="1020"/>
            <w:vAlign w:val="center"/>
            <w:shd w:fill="F2F2F2"/>
          </w:tcPr>
          <w:p>
            <w:pPr>
              <w:spacing w:after="0"/>
            </w:pPr>
            <w:r/>
            <w:r>
              <w:rPr>
                <w:rFonts w:ascii="Arial" w:hAnsi="Arial"/>
                <w:b w:val="0"/>
                <w:sz w:val="16"/>
              </w:rPr>
              <w:t>V5</w:t>
            </w:r>
          </w:p>
        </w:tc>
        <w:tc>
          <w:tcPr>
            <w:tcW w:type="dxa" w:w="5556"/>
            <w:vAlign w:val="center"/>
            <w:shd w:fill="F2F2F2"/>
          </w:tcPr>
          <w:p>
            <w:pPr>
              <w:spacing w:after="0"/>
            </w:pPr>
            <w:r/>
            <w:r>
              <w:rPr>
                <w:rFonts w:ascii="Arial" w:hAnsi="Arial"/>
                <w:b w:val="0"/>
                <w:sz w:val="16"/>
              </w:rPr>
              <w:t>Auditoría/certificación externa cuando proceda.</w:t>
            </w:r>
          </w:p>
        </w:tc>
        <w:tc>
          <w:tcPr>
            <w:tcW w:type="dxa" w:w="3061"/>
            <w:vAlign w:val="center"/>
            <w:shd w:fill="F2F2F2"/>
          </w:tcPr>
          <w:p>
            <w:pPr>
              <w:spacing w:after="0"/>
            </w:pPr>
            <w:r/>
            <w:r>
              <w:rPr>
                <w:rFonts w:ascii="Arial" w:hAnsi="Arial"/>
                <w:b w:val="0"/>
                <w:sz w:val="16"/>
              </w:rPr>
              <w:t>Uso regulatorio y comercial según alcance.</w:t>
            </w:r>
          </w:p>
        </w:tc>
      </w:tr>
    </w:tbl>
    <w:p>
      <w:pPr>
        <w:spacing w:after="20"/>
      </w:pPr>
    </w:p>
    <w:p>
      <w:pPr>
        <w:pStyle w:val="Heading2"/>
      </w:pPr>
      <w:r>
        <w:t>22.1 Gates</w:t>
      </w:r>
    </w:p>
    <w:tbl>
      <w:tblPr>
        <w:tblStyle w:val="TableGrid"/>
        <w:tblW w:type="auto" w:w="0"/>
        <w:jc w:val="center"/>
        <w:tblLook w:firstColumn="1" w:firstRow="1" w:lastColumn="0" w:lastRow="0" w:noHBand="0" w:noVBand="1" w:val="04A0"/>
      </w:tblPr>
      <w:tblGrid>
        <w:gridCol w:w="5043"/>
        <w:gridCol w:w="5043"/>
      </w:tblGrid>
      <w:tr>
        <w:trPr>
          <w:tblHeader/>
          <w:cantSplit/>
        </w:trPr>
        <w:tc>
          <w:tcPr>
            <w:tcW w:type="dxa" w:w="2268"/>
            <w:vAlign w:val="center"/>
            <w:shd w:fill="262626"/>
          </w:tcPr>
          <w:p>
            <w:pPr>
              <w:spacing w:after="0"/>
            </w:pPr>
            <w:r/>
            <w:r>
              <w:rPr>
                <w:rFonts w:ascii="Arial" w:hAnsi="Arial"/>
                <w:b/>
                <w:color w:val="FFFFFF"/>
                <w:sz w:val="16"/>
              </w:rPr>
              <w:t>Gate</w:t>
            </w:r>
          </w:p>
        </w:tc>
        <w:tc>
          <w:tcPr>
            <w:tcW w:type="dxa" w:w="7370"/>
            <w:vAlign w:val="center"/>
            <w:shd w:fill="262626"/>
          </w:tcPr>
          <w:p>
            <w:pPr>
              <w:spacing w:after="0"/>
            </w:pPr>
            <w:r/>
            <w:r>
              <w:rPr>
                <w:rFonts w:ascii="Arial" w:hAnsi="Arial"/>
                <w:b/>
                <w:color w:val="FFFFFF"/>
                <w:sz w:val="16"/>
              </w:rPr>
              <w:t>Criterio de salida</w:t>
            </w:r>
          </w:p>
        </w:tc>
      </w:tr>
      <w:tr>
        <w:trPr>
          <w:cantSplit/>
        </w:trPr>
        <w:tc>
          <w:tcPr>
            <w:tcW w:type="dxa" w:w="2268"/>
            <w:vAlign w:val="center"/>
          </w:tcPr>
          <w:p>
            <w:pPr>
              <w:spacing w:after="0"/>
            </w:pPr>
            <w:r/>
            <w:r>
              <w:rPr>
                <w:rFonts w:ascii="Arial" w:hAnsi="Arial"/>
                <w:b w:val="0"/>
                <w:sz w:val="16"/>
              </w:rPr>
              <w:t>G17.1 Requisitos</w:t>
            </w:r>
          </w:p>
        </w:tc>
        <w:tc>
          <w:tcPr>
            <w:tcW w:type="dxa" w:w="7370"/>
            <w:vAlign w:val="center"/>
          </w:tcPr>
          <w:p>
            <w:pPr>
              <w:spacing w:after="0"/>
            </w:pPr>
            <w:r/>
            <w:r>
              <w:rPr>
                <w:rFonts w:ascii="Arial" w:hAnsi="Arial"/>
                <w:b w:val="0"/>
                <w:sz w:val="16"/>
              </w:rPr>
              <w:t>Matriz normativa, alcance y riesgos aprobados.</w:t>
            </w:r>
          </w:p>
        </w:tc>
      </w:tr>
      <w:tr>
        <w:trPr>
          <w:cantSplit/>
        </w:trPr>
        <w:tc>
          <w:tcPr>
            <w:tcW w:type="dxa" w:w="2268"/>
            <w:vAlign w:val="center"/>
            <w:shd w:fill="F2F2F2"/>
          </w:tcPr>
          <w:p>
            <w:pPr>
              <w:spacing w:after="0"/>
            </w:pPr>
            <w:r/>
            <w:r>
              <w:rPr>
                <w:rFonts w:ascii="Arial" w:hAnsi="Arial"/>
                <w:b w:val="0"/>
                <w:sz w:val="16"/>
              </w:rPr>
              <w:t>G17.2 Verificación</w:t>
            </w:r>
          </w:p>
        </w:tc>
        <w:tc>
          <w:tcPr>
            <w:tcW w:type="dxa" w:w="7370"/>
            <w:vAlign w:val="center"/>
            <w:shd w:fill="F2F2F2"/>
          </w:tcPr>
          <w:p>
            <w:pPr>
              <w:spacing w:after="0"/>
            </w:pPr>
            <w:r/>
            <w:r>
              <w:rPr>
                <w:rFonts w:ascii="Arial" w:hAnsi="Arial"/>
                <w:b w:val="0"/>
                <w:sz w:val="16"/>
              </w:rPr>
              <w:t>Cobertura, analíticos y regresión sin fallos críticos.</w:t>
            </w:r>
          </w:p>
        </w:tc>
      </w:tr>
      <w:tr>
        <w:trPr>
          <w:cantSplit/>
        </w:trPr>
        <w:tc>
          <w:tcPr>
            <w:tcW w:type="dxa" w:w="2268"/>
            <w:vAlign w:val="center"/>
          </w:tcPr>
          <w:p>
            <w:pPr>
              <w:spacing w:after="0"/>
            </w:pPr>
            <w:r/>
            <w:r>
              <w:rPr>
                <w:rFonts w:ascii="Arial" w:hAnsi="Arial"/>
                <w:b w:val="0"/>
                <w:sz w:val="16"/>
              </w:rPr>
              <w:t>G17.3 Comparación</w:t>
            </w:r>
          </w:p>
        </w:tc>
        <w:tc>
          <w:tcPr>
            <w:tcW w:type="dxa" w:w="7370"/>
            <w:vAlign w:val="center"/>
          </w:tcPr>
          <w:p>
            <w:pPr>
              <w:spacing w:after="0"/>
            </w:pPr>
            <w:r/>
            <w:r>
              <w:rPr>
                <w:rFonts w:ascii="Arial" w:hAnsi="Arial"/>
                <w:b w:val="0"/>
                <w:sz w:val="16"/>
              </w:rPr>
              <w:t>Referencias independientes y discrepancias cerradas.</w:t>
            </w:r>
          </w:p>
        </w:tc>
      </w:tr>
      <w:tr>
        <w:trPr>
          <w:cantSplit/>
        </w:trPr>
        <w:tc>
          <w:tcPr>
            <w:tcW w:type="dxa" w:w="2268"/>
            <w:vAlign w:val="center"/>
            <w:shd w:fill="F2F2F2"/>
          </w:tcPr>
          <w:p>
            <w:pPr>
              <w:spacing w:after="0"/>
            </w:pPr>
            <w:r/>
            <w:r>
              <w:rPr>
                <w:rFonts w:ascii="Arial" w:hAnsi="Arial"/>
                <w:b w:val="0"/>
                <w:sz w:val="16"/>
              </w:rPr>
              <w:t>G17.4 Ensayos</w:t>
            </w:r>
          </w:p>
        </w:tc>
        <w:tc>
          <w:tcPr>
            <w:tcW w:type="dxa" w:w="7370"/>
            <w:vAlign w:val="center"/>
            <w:shd w:fill="F2F2F2"/>
          </w:tcPr>
          <w:p>
            <w:pPr>
              <w:spacing w:after="0"/>
            </w:pPr>
            <w:r/>
            <w:r>
              <w:rPr>
                <w:rFonts w:ascii="Arial" w:hAnsi="Arial"/>
                <w:b w:val="0"/>
                <w:sz w:val="16"/>
              </w:rPr>
              <w:t>Campañas ejecutadas, incertidumbre y correlación aprobadas.</w:t>
            </w:r>
          </w:p>
        </w:tc>
      </w:tr>
      <w:tr>
        <w:trPr>
          <w:cantSplit/>
        </w:trPr>
        <w:tc>
          <w:tcPr>
            <w:tcW w:type="dxa" w:w="2268"/>
            <w:vAlign w:val="center"/>
          </w:tcPr>
          <w:p>
            <w:pPr>
              <w:spacing w:after="0"/>
            </w:pPr>
            <w:r/>
            <w:r>
              <w:rPr>
                <w:rFonts w:ascii="Arial" w:hAnsi="Arial"/>
                <w:b w:val="0"/>
                <w:sz w:val="16"/>
              </w:rPr>
              <w:t>G17.5 Industrial</w:t>
            </w:r>
          </w:p>
        </w:tc>
        <w:tc>
          <w:tcPr>
            <w:tcW w:type="dxa" w:w="7370"/>
            <w:vAlign w:val="center"/>
          </w:tcPr>
          <w:p>
            <w:pPr>
              <w:spacing w:after="0"/>
            </w:pPr>
            <w:r/>
            <w:r>
              <w:rPr>
                <w:rFonts w:ascii="Arial" w:hAnsi="Arial"/>
                <w:b w:val="0"/>
                <w:sz w:val="16"/>
              </w:rPr>
              <w:t>FAI, procesos y FPC validados.</w:t>
            </w:r>
          </w:p>
        </w:tc>
      </w:tr>
      <w:tr>
        <w:trPr>
          <w:cantSplit/>
        </w:trPr>
        <w:tc>
          <w:tcPr>
            <w:tcW w:type="dxa" w:w="2268"/>
            <w:vAlign w:val="center"/>
            <w:shd w:fill="F2F2F2"/>
          </w:tcPr>
          <w:p>
            <w:pPr>
              <w:spacing w:after="0"/>
            </w:pPr>
            <w:r/>
            <w:r>
              <w:rPr>
                <w:rFonts w:ascii="Arial" w:hAnsi="Arial"/>
                <w:b w:val="0"/>
                <w:sz w:val="16"/>
              </w:rPr>
              <w:t>G17.6 Documental</w:t>
            </w:r>
          </w:p>
        </w:tc>
        <w:tc>
          <w:tcPr>
            <w:tcW w:type="dxa" w:w="7370"/>
            <w:vAlign w:val="center"/>
            <w:shd w:fill="F2F2F2"/>
          </w:tcPr>
          <w:p>
            <w:pPr>
              <w:spacing w:after="0"/>
            </w:pPr>
            <w:r/>
            <w:r>
              <w:rPr>
                <w:rFonts w:ascii="Arial" w:hAnsi="Arial"/>
                <w:b w:val="0"/>
                <w:sz w:val="16"/>
              </w:rPr>
              <w:t>CAD/BOM/informes coherentes y firmados.</w:t>
            </w:r>
          </w:p>
        </w:tc>
      </w:tr>
      <w:tr>
        <w:trPr>
          <w:cantSplit/>
        </w:trPr>
        <w:tc>
          <w:tcPr>
            <w:tcW w:type="dxa" w:w="2268"/>
            <w:vAlign w:val="center"/>
          </w:tcPr>
          <w:p>
            <w:pPr>
              <w:spacing w:after="0"/>
            </w:pPr>
            <w:r/>
            <w:r>
              <w:rPr>
                <w:rFonts w:ascii="Arial" w:hAnsi="Arial"/>
                <w:b w:val="0"/>
                <w:sz w:val="16"/>
              </w:rPr>
              <w:t>G17.7 Liberación</w:t>
            </w:r>
          </w:p>
        </w:tc>
        <w:tc>
          <w:tcPr>
            <w:tcW w:type="dxa" w:w="7370"/>
            <w:vAlign w:val="center"/>
          </w:tcPr>
          <w:p>
            <w:pPr>
              <w:spacing w:after="0"/>
            </w:pPr>
            <w:r/>
            <w:r>
              <w:rPr>
                <w:rFonts w:ascii="Arial" w:hAnsi="Arial"/>
                <w:b w:val="0"/>
                <w:sz w:val="16"/>
              </w:rPr>
              <w:t>Dominio, límites, riesgos residuales y soporte aprobados.</w:t>
            </w:r>
          </w:p>
        </w:tc>
      </w:tr>
    </w:tbl>
    <w:p>
      <w:pPr>
        <w:spacing w:after="20"/>
      </w:pPr>
    </w:p>
    <w:tbl>
      <w:tblPr>
        <w:tblStyle w:val="TableGrid"/>
        <w:tblW w:type="auto" w:w="0"/>
        <w:jc w:val="center"/>
        <w:tblLook w:firstColumn="1" w:firstRow="1" w:lastColumn="0" w:lastRow="0" w:noHBand="0" w:noVBand="1" w:val="04A0"/>
      </w:tblPr>
      <w:tblGrid>
        <w:gridCol w:w="10086"/>
      </w:tblGrid>
      <w:tr>
        <w:trPr>
          <w:cantSplit/>
        </w:trPr>
        <w:tc>
          <w:tcPr>
            <w:tcW w:type="dxa" w:w="10086"/>
            <w:shd w:fill="F2F2F2"/>
          </w:tcPr>
          <w:p>
            <w:pPr>
              <w:spacing w:after="40"/>
            </w:pPr>
            <w:r/>
            <w:r>
              <w:rPr>
                <w:rFonts w:ascii="Arial" w:hAnsi="Arial"/>
                <w:b/>
                <w:sz w:val="19"/>
              </w:rPr>
              <w:t>No conformidad abierta</w:t>
            </w:r>
          </w:p>
          <w:p>
            <w:pPr>
              <w:spacing w:after="20"/>
            </w:pPr>
            <w:r>
              <w:rPr>
                <w:rFonts w:ascii="Arial" w:hAnsi="Arial"/>
                <w:sz w:val="17"/>
              </w:rPr>
              <w:t>Ningún gate podrá cerrarse con una no conformidad crítica abierta. Las desviaciones menores deberán tener propietario, fecha, contención y aceptación formal del riesgo.</w:t>
            </w:r>
          </w:p>
        </w:tc>
      </w:tr>
    </w:tbl>
    <w:p>
      <w:pPr>
        <w:spacing w:after="20"/>
      </w:pPr>
    </w:p>
    <w:p>
      <w:pPr>
        <w:pStyle w:val="Heading1"/>
      </w:pPr>
      <w:r>
        <w:t>23. Certificación y expediente técnico</w:t>
      </w:r>
    </w:p>
    <w:p>
      <w:r>
        <w:t>La aplicación deberá generar un expediente técnico configurable según material, ruta normativa, país, fecha y sistema de evaluación aplicable. El motor regulatorio estará versionado y no asumirá que una plantilla histórica sigue vigente.</w:t>
      </w:r>
    </w:p>
    <w:p>
      <w:pPr>
        <w:pStyle w:val="ListBullet"/>
        <w:spacing w:after="40"/>
      </w:pPr>
      <w:r>
        <w:t>Descripción del producto y uso previsto.</w:t>
      </w:r>
    </w:p>
    <w:p>
      <w:pPr>
        <w:pStyle w:val="ListBullet"/>
        <w:spacing w:after="40"/>
      </w:pPr>
      <w:r>
        <w:t>Dibujos, especificaciones y variantes cubiertas.</w:t>
      </w:r>
    </w:p>
    <w:p>
      <w:pPr>
        <w:pStyle w:val="ListBullet"/>
        <w:spacing w:after="40"/>
      </w:pPr>
      <w:r>
        <w:t>Matriz de normas y características esenciales.</w:t>
      </w:r>
    </w:p>
    <w:p>
      <w:pPr>
        <w:pStyle w:val="ListBullet"/>
        <w:spacing w:after="40"/>
      </w:pPr>
      <w:r>
        <w:t>Memorias de cálculo y resultados de ensayo.</w:t>
      </w:r>
    </w:p>
    <w:p>
      <w:pPr>
        <w:pStyle w:val="ListBullet"/>
        <w:spacing w:after="40"/>
      </w:pPr>
      <w:r>
        <w:t>Reglas de extensión y dominio de familia.</w:t>
      </w:r>
    </w:p>
    <w:p>
      <w:pPr>
        <w:pStyle w:val="ListBullet"/>
        <w:spacing w:after="40"/>
      </w:pPr>
      <w:r>
        <w:t>Control de producción y procedimientos de calidad.</w:t>
      </w:r>
    </w:p>
    <w:p>
      <w:pPr>
        <w:pStyle w:val="ListBullet"/>
        <w:spacing w:after="40"/>
      </w:pPr>
      <w:r>
        <w:t>Certificados de materiales, procesos y laboratorios.</w:t>
      </w:r>
    </w:p>
    <w:p>
      <w:pPr>
        <w:pStyle w:val="ListBullet"/>
        <w:spacing w:after="40"/>
      </w:pPr>
      <w:r>
        <w:t>Declaraciones, marcado y documentación de instalación/mantenimiento cuando proceda.</w:t>
      </w:r>
    </w:p>
    <w:p>
      <w:pPr>
        <w:pStyle w:val="ListBullet"/>
        <w:spacing w:after="40"/>
      </w:pPr>
      <w:r>
        <w:t>Registro de versiones, cambios y aprobaciones.</w:t>
      </w:r>
    </w:p>
    <w:p>
      <w:pPr>
        <w:pStyle w:val="Heading2"/>
      </w:pPr>
      <w:r>
        <w:t>23.1 Separación de responsabilidades</w:t>
      </w:r>
    </w:p>
    <w:p>
      <w:r>
        <w:t>Salvi Studio preparará datos y documentos, pero no simulará la intervención de un organismo, laboratorio o persona competente. Las firmas, certificados y evaluaciones externas deberán importarse como evidencias auténticas y verificables.</w:t>
      </w:r>
    </w:p>
    <w:p>
      <w:pPr>
        <w:pStyle w:val="Heading1"/>
      </w:pPr>
      <w:r>
        <w:t>24. Arquitectura backend y modelo de datos</w:t>
      </w:r>
    </w:p>
    <w:tbl>
      <w:tblPr>
        <w:tblStyle w:val="TableGrid"/>
        <w:tblW w:type="auto" w:w="0"/>
        <w:jc w:val="center"/>
        <w:tblLook w:firstColumn="1" w:firstRow="1" w:lastColumn="0" w:lastRow="0" w:noHBand="0" w:noVBand="1" w:val="04A0"/>
      </w:tblPr>
      <w:tblGrid>
        <w:gridCol w:w="5043"/>
        <w:gridCol w:w="5043"/>
      </w:tblGrid>
      <w:tr>
        <w:trPr>
          <w:tblHeader/>
          <w:cantSplit/>
        </w:trPr>
        <w:tc>
          <w:tcPr>
            <w:tcW w:type="dxa" w:w="2721"/>
            <w:vAlign w:val="center"/>
            <w:shd w:fill="262626"/>
          </w:tcPr>
          <w:p>
            <w:pPr>
              <w:spacing w:after="0"/>
            </w:pPr>
            <w:r/>
            <w:r>
              <w:rPr>
                <w:rFonts w:ascii="Arial" w:hAnsi="Arial"/>
                <w:b/>
                <w:color w:val="FFFFFF"/>
                <w:sz w:val="15"/>
              </w:rPr>
              <w:t>Entidad</w:t>
            </w:r>
          </w:p>
        </w:tc>
        <w:tc>
          <w:tcPr>
            <w:tcW w:type="dxa" w:w="6917"/>
            <w:vAlign w:val="center"/>
            <w:shd w:fill="262626"/>
          </w:tcPr>
          <w:p>
            <w:pPr>
              <w:spacing w:after="0"/>
            </w:pPr>
            <w:r/>
            <w:r>
              <w:rPr>
                <w:rFonts w:ascii="Arial" w:hAnsi="Arial"/>
                <w:b/>
                <w:color w:val="FFFFFF"/>
                <w:sz w:val="15"/>
              </w:rPr>
              <w:t>Contenido principal</w:t>
            </w:r>
          </w:p>
        </w:tc>
      </w:tr>
      <w:tr>
        <w:trPr>
          <w:cantSplit/>
        </w:trPr>
        <w:tc>
          <w:tcPr>
            <w:tcW w:type="dxa" w:w="2721"/>
            <w:vAlign w:val="center"/>
          </w:tcPr>
          <w:p>
            <w:pPr>
              <w:spacing w:after="0"/>
            </w:pPr>
            <w:r/>
            <w:r>
              <w:rPr>
                <w:rFonts w:ascii="Arial" w:hAnsi="Arial"/>
                <w:b w:val="0"/>
                <w:sz w:val="15"/>
              </w:rPr>
              <w:t>validation_plan</w:t>
            </w:r>
          </w:p>
        </w:tc>
        <w:tc>
          <w:tcPr>
            <w:tcW w:type="dxa" w:w="6917"/>
            <w:vAlign w:val="center"/>
          </w:tcPr>
          <w:p>
            <w:pPr>
              <w:spacing w:after="0"/>
            </w:pPr>
            <w:r/>
            <w:r>
              <w:rPr>
                <w:rFonts w:ascii="Arial" w:hAnsi="Arial"/>
                <w:b w:val="0"/>
                <w:sz w:val="15"/>
              </w:rPr>
              <w:t>Alcance, versión, riesgos, criterios y responsables.</w:t>
            </w:r>
          </w:p>
        </w:tc>
      </w:tr>
      <w:tr>
        <w:trPr>
          <w:cantSplit/>
        </w:trPr>
        <w:tc>
          <w:tcPr>
            <w:tcW w:type="dxa" w:w="2721"/>
            <w:vAlign w:val="center"/>
            <w:shd w:fill="F2F2F2"/>
          </w:tcPr>
          <w:p>
            <w:pPr>
              <w:spacing w:after="0"/>
            </w:pPr>
            <w:r/>
            <w:r>
              <w:rPr>
                <w:rFonts w:ascii="Arial" w:hAnsi="Arial"/>
                <w:b w:val="0"/>
                <w:sz w:val="15"/>
              </w:rPr>
              <w:t>requirement_trace</w:t>
            </w:r>
          </w:p>
        </w:tc>
        <w:tc>
          <w:tcPr>
            <w:tcW w:type="dxa" w:w="6917"/>
            <w:vAlign w:val="center"/>
            <w:shd w:fill="F2F2F2"/>
          </w:tcPr>
          <w:p>
            <w:pPr>
              <w:spacing w:after="0"/>
            </w:pPr>
            <w:r/>
            <w:r>
              <w:rPr>
                <w:rFonts w:ascii="Arial" w:hAnsi="Arial"/>
                <w:b w:val="0"/>
                <w:sz w:val="15"/>
              </w:rPr>
              <w:t>Fuente, requisito, implementación, prueba y evidencia.</w:t>
            </w:r>
          </w:p>
        </w:tc>
      </w:tr>
      <w:tr>
        <w:trPr>
          <w:cantSplit/>
        </w:trPr>
        <w:tc>
          <w:tcPr>
            <w:tcW w:type="dxa" w:w="2721"/>
            <w:vAlign w:val="center"/>
          </w:tcPr>
          <w:p>
            <w:pPr>
              <w:spacing w:after="0"/>
            </w:pPr>
            <w:r/>
            <w:r>
              <w:rPr>
                <w:rFonts w:ascii="Arial" w:hAnsi="Arial"/>
                <w:b w:val="0"/>
                <w:sz w:val="15"/>
              </w:rPr>
              <w:t>test_case</w:t>
            </w:r>
          </w:p>
        </w:tc>
        <w:tc>
          <w:tcPr>
            <w:tcW w:type="dxa" w:w="6917"/>
            <w:vAlign w:val="center"/>
          </w:tcPr>
          <w:p>
            <w:pPr>
              <w:spacing w:after="0"/>
            </w:pPr>
            <w:r/>
            <w:r>
              <w:rPr>
                <w:rFonts w:ascii="Arial" w:hAnsi="Arial"/>
                <w:b w:val="0"/>
                <w:sz w:val="15"/>
              </w:rPr>
              <w:t>Entradas, referencia, tolerancia, criticidad y automatización.</w:t>
            </w:r>
          </w:p>
        </w:tc>
      </w:tr>
      <w:tr>
        <w:trPr>
          <w:cantSplit/>
        </w:trPr>
        <w:tc>
          <w:tcPr>
            <w:tcW w:type="dxa" w:w="2721"/>
            <w:vAlign w:val="center"/>
            <w:shd w:fill="F2F2F2"/>
          </w:tcPr>
          <w:p>
            <w:pPr>
              <w:spacing w:after="0"/>
            </w:pPr>
            <w:r/>
            <w:r>
              <w:rPr>
                <w:rFonts w:ascii="Arial" w:hAnsi="Arial"/>
                <w:b w:val="0"/>
                <w:sz w:val="15"/>
              </w:rPr>
              <w:t>test_run</w:t>
            </w:r>
          </w:p>
        </w:tc>
        <w:tc>
          <w:tcPr>
            <w:tcW w:type="dxa" w:w="6917"/>
            <w:vAlign w:val="center"/>
            <w:shd w:fill="F2F2F2"/>
          </w:tcPr>
          <w:p>
            <w:pPr>
              <w:spacing w:after="0"/>
            </w:pPr>
            <w:r/>
            <w:r>
              <w:rPr>
                <w:rFonts w:ascii="Arial" w:hAnsi="Arial"/>
                <w:b w:val="0"/>
                <w:sz w:val="15"/>
              </w:rPr>
              <w:t>Entorno, commit, dataset, resultado, logs y hash.</w:t>
            </w:r>
          </w:p>
        </w:tc>
      </w:tr>
      <w:tr>
        <w:trPr>
          <w:cantSplit/>
        </w:trPr>
        <w:tc>
          <w:tcPr>
            <w:tcW w:type="dxa" w:w="2721"/>
            <w:vAlign w:val="center"/>
          </w:tcPr>
          <w:p>
            <w:pPr>
              <w:spacing w:after="0"/>
            </w:pPr>
            <w:r/>
            <w:r>
              <w:rPr>
                <w:rFonts w:ascii="Arial" w:hAnsi="Arial"/>
                <w:b w:val="0"/>
                <w:sz w:val="15"/>
              </w:rPr>
              <w:t>physical_test</w:t>
            </w:r>
          </w:p>
        </w:tc>
        <w:tc>
          <w:tcPr>
            <w:tcW w:type="dxa" w:w="6917"/>
            <w:vAlign w:val="center"/>
          </w:tcPr>
          <w:p>
            <w:pPr>
              <w:spacing w:after="0"/>
            </w:pPr>
            <w:r/>
            <w:r>
              <w:rPr>
                <w:rFonts w:ascii="Arial" w:hAnsi="Arial"/>
                <w:b w:val="0"/>
                <w:sz w:val="15"/>
              </w:rPr>
              <w:t>Prototipo, procedimiento, instrumentación y datos brutos.</w:t>
            </w:r>
          </w:p>
        </w:tc>
      </w:tr>
      <w:tr>
        <w:trPr>
          <w:cantSplit/>
        </w:trPr>
        <w:tc>
          <w:tcPr>
            <w:tcW w:type="dxa" w:w="2721"/>
            <w:vAlign w:val="center"/>
            <w:shd w:fill="F2F2F2"/>
          </w:tcPr>
          <w:p>
            <w:pPr>
              <w:spacing w:after="0"/>
            </w:pPr>
            <w:r/>
            <w:r>
              <w:rPr>
                <w:rFonts w:ascii="Arial" w:hAnsi="Arial"/>
                <w:b w:val="0"/>
                <w:sz w:val="15"/>
              </w:rPr>
              <w:t>calibration_record</w:t>
            </w:r>
          </w:p>
        </w:tc>
        <w:tc>
          <w:tcPr>
            <w:tcW w:type="dxa" w:w="6917"/>
            <w:vAlign w:val="center"/>
            <w:shd w:fill="F2F2F2"/>
          </w:tcPr>
          <w:p>
            <w:pPr>
              <w:spacing w:after="0"/>
            </w:pPr>
            <w:r/>
            <w:r>
              <w:rPr>
                <w:rFonts w:ascii="Arial" w:hAnsi="Arial"/>
                <w:b w:val="0"/>
                <w:sz w:val="15"/>
              </w:rPr>
              <w:t>Equipo, certificado, rango, incertidumbre y vigencia.</w:t>
            </w:r>
          </w:p>
        </w:tc>
      </w:tr>
      <w:tr>
        <w:trPr>
          <w:cantSplit/>
        </w:trPr>
        <w:tc>
          <w:tcPr>
            <w:tcW w:type="dxa" w:w="2721"/>
            <w:vAlign w:val="center"/>
          </w:tcPr>
          <w:p>
            <w:pPr>
              <w:spacing w:after="0"/>
            </w:pPr>
            <w:r/>
            <w:r>
              <w:rPr>
                <w:rFonts w:ascii="Arial" w:hAnsi="Arial"/>
                <w:b w:val="0"/>
                <w:sz w:val="15"/>
              </w:rPr>
              <w:t>correlation_result</w:t>
            </w:r>
          </w:p>
        </w:tc>
        <w:tc>
          <w:tcPr>
            <w:tcW w:type="dxa" w:w="6917"/>
            <w:vAlign w:val="center"/>
          </w:tcPr>
          <w:p>
            <w:pPr>
              <w:spacing w:after="0"/>
            </w:pPr>
            <w:r/>
            <w:r>
              <w:rPr>
                <w:rFonts w:ascii="Arial" w:hAnsi="Arial"/>
                <w:b w:val="0"/>
                <w:sz w:val="15"/>
              </w:rPr>
              <w:t>Métricas, gráficos, factor de modelo y decisión.</w:t>
            </w:r>
          </w:p>
        </w:tc>
      </w:tr>
      <w:tr>
        <w:trPr>
          <w:cantSplit/>
        </w:trPr>
        <w:tc>
          <w:tcPr>
            <w:tcW w:type="dxa" w:w="2721"/>
            <w:vAlign w:val="center"/>
            <w:shd w:fill="F2F2F2"/>
          </w:tcPr>
          <w:p>
            <w:pPr>
              <w:spacing w:after="0"/>
            </w:pPr>
            <w:r/>
            <w:r>
              <w:rPr>
                <w:rFonts w:ascii="Arial" w:hAnsi="Arial"/>
                <w:b w:val="0"/>
                <w:sz w:val="15"/>
              </w:rPr>
              <w:t>qualification_domain</w:t>
            </w:r>
          </w:p>
        </w:tc>
        <w:tc>
          <w:tcPr>
            <w:tcW w:type="dxa" w:w="6917"/>
            <w:vAlign w:val="center"/>
            <w:shd w:fill="F2F2F2"/>
          </w:tcPr>
          <w:p>
            <w:pPr>
              <w:spacing w:after="0"/>
            </w:pPr>
            <w:r/>
            <w:r>
              <w:rPr>
                <w:rFonts w:ascii="Arial" w:hAnsi="Arial"/>
                <w:b w:val="0"/>
                <w:sz w:val="15"/>
              </w:rPr>
              <w:t>Límites geométricos, materiales, cargas y procesos.</w:t>
            </w:r>
          </w:p>
        </w:tc>
      </w:tr>
      <w:tr>
        <w:trPr>
          <w:cantSplit/>
        </w:trPr>
        <w:tc>
          <w:tcPr>
            <w:tcW w:type="dxa" w:w="2721"/>
            <w:vAlign w:val="center"/>
          </w:tcPr>
          <w:p>
            <w:pPr>
              <w:spacing w:after="0"/>
            </w:pPr>
            <w:r/>
            <w:r>
              <w:rPr>
                <w:rFonts w:ascii="Arial" w:hAnsi="Arial"/>
                <w:b w:val="0"/>
                <w:sz w:val="15"/>
              </w:rPr>
              <w:t>nonconformity</w:t>
            </w:r>
          </w:p>
        </w:tc>
        <w:tc>
          <w:tcPr>
            <w:tcW w:type="dxa" w:w="6917"/>
            <w:vAlign w:val="center"/>
          </w:tcPr>
          <w:p>
            <w:pPr>
              <w:spacing w:after="0"/>
            </w:pPr>
            <w:r/>
            <w:r>
              <w:rPr>
                <w:rFonts w:ascii="Arial" w:hAnsi="Arial"/>
                <w:b w:val="0"/>
                <w:sz w:val="15"/>
              </w:rPr>
              <w:t>Severidad, causa, contención, CAPA y cierre.</w:t>
            </w:r>
          </w:p>
        </w:tc>
      </w:tr>
      <w:tr>
        <w:trPr>
          <w:cantSplit/>
        </w:trPr>
        <w:tc>
          <w:tcPr>
            <w:tcW w:type="dxa" w:w="2721"/>
            <w:vAlign w:val="center"/>
            <w:shd w:fill="F2F2F2"/>
          </w:tcPr>
          <w:p>
            <w:pPr>
              <w:spacing w:after="0"/>
            </w:pPr>
            <w:r/>
            <w:r>
              <w:rPr>
                <w:rFonts w:ascii="Arial" w:hAnsi="Arial"/>
                <w:b w:val="0"/>
                <w:sz w:val="15"/>
              </w:rPr>
              <w:t>release_gate</w:t>
            </w:r>
          </w:p>
        </w:tc>
        <w:tc>
          <w:tcPr>
            <w:tcW w:type="dxa" w:w="6917"/>
            <w:vAlign w:val="center"/>
            <w:shd w:fill="F2F2F2"/>
          </w:tcPr>
          <w:p>
            <w:pPr>
              <w:spacing w:after="0"/>
            </w:pPr>
            <w:r/>
            <w:r>
              <w:rPr>
                <w:rFonts w:ascii="Arial" w:hAnsi="Arial"/>
                <w:b w:val="0"/>
                <w:sz w:val="15"/>
              </w:rPr>
              <w:t>Estado, evidencias, aprobadores y fecha.</w:t>
            </w:r>
          </w:p>
        </w:tc>
      </w:tr>
      <w:tr>
        <w:trPr>
          <w:cantSplit/>
        </w:trPr>
        <w:tc>
          <w:tcPr>
            <w:tcW w:type="dxa" w:w="2721"/>
            <w:vAlign w:val="center"/>
          </w:tcPr>
          <w:p>
            <w:pPr>
              <w:spacing w:after="0"/>
            </w:pPr>
            <w:r/>
            <w:r>
              <w:rPr>
                <w:rFonts w:ascii="Arial" w:hAnsi="Arial"/>
                <w:b w:val="0"/>
                <w:sz w:val="15"/>
              </w:rPr>
              <w:t>certificate_evidence</w:t>
            </w:r>
          </w:p>
        </w:tc>
        <w:tc>
          <w:tcPr>
            <w:tcW w:type="dxa" w:w="6917"/>
            <w:vAlign w:val="center"/>
          </w:tcPr>
          <w:p>
            <w:pPr>
              <w:spacing w:after="0"/>
            </w:pPr>
            <w:r/>
            <w:r>
              <w:rPr>
                <w:rFonts w:ascii="Arial" w:hAnsi="Arial"/>
                <w:b w:val="0"/>
                <w:sz w:val="15"/>
              </w:rPr>
              <w:t>Documento externo, emisor, alcance y verificación.</w:t>
            </w:r>
          </w:p>
        </w:tc>
      </w:tr>
    </w:tbl>
    <w:p>
      <w:pPr>
        <w:spacing w:after="20"/>
      </w:pPr>
    </w:p>
    <w:p>
      <w:pPr>
        <w:pStyle w:val="Heading2"/>
      </w:pPr>
      <w:r>
        <w:t>24.1 Servicios</w:t>
      </w:r>
    </w:p>
    <w:p>
      <w:pPr>
        <w:pStyle w:val="ListBullet"/>
        <w:spacing w:after="40"/>
      </w:pPr>
      <w:r>
        <w:t>Validation Orchestrator: planifica suites, dependencias y gates.</w:t>
      </w:r>
    </w:p>
    <w:p>
      <w:pPr>
        <w:pStyle w:val="ListBullet"/>
        <w:spacing w:after="40"/>
      </w:pPr>
      <w:r>
        <w:t>Regression Service: ejecuta golden cases y compara resultados.</w:t>
      </w:r>
    </w:p>
    <w:p>
      <w:pPr>
        <w:pStyle w:val="ListBullet"/>
        <w:spacing w:after="40"/>
      </w:pPr>
      <w:r>
        <w:t>Traceability Service: mantiene el grafo requisito-código-prueba-evidencia.</w:t>
      </w:r>
    </w:p>
    <w:p>
      <w:pPr>
        <w:pStyle w:val="ListBullet"/>
        <w:spacing w:after="40"/>
      </w:pPr>
      <w:r>
        <w:t>Lab Data Service: importa, valida y conserva datos brutos.</w:t>
      </w:r>
    </w:p>
    <w:p>
      <w:pPr>
        <w:pStyle w:val="ListBullet"/>
        <w:spacing w:after="40"/>
      </w:pPr>
      <w:r>
        <w:t>Correlation Service: calcula métricas y genera informes.</w:t>
      </w:r>
    </w:p>
    <w:p>
      <w:pPr>
        <w:pStyle w:val="ListBullet"/>
        <w:spacing w:after="40"/>
      </w:pPr>
      <w:r>
        <w:t>Qualification Service: evalúa dominio y reglas de extensión.</w:t>
      </w:r>
    </w:p>
    <w:p>
      <w:pPr>
        <w:pStyle w:val="ListBullet"/>
        <w:spacing w:after="40"/>
      </w:pPr>
      <w:r>
        <w:t>Release Service: controla estados, firmas y bloqueo.</w:t>
      </w:r>
    </w:p>
    <w:p>
      <w:pPr>
        <w:pStyle w:val="ListBullet"/>
        <w:spacing w:after="40"/>
      </w:pPr>
      <w:r>
        <w:t>Impact Service: propaga cambios y obliga a revalidar.</w:t>
      </w:r>
    </w:p>
    <w:p>
      <w:pPr>
        <w:pStyle w:val="Heading2"/>
      </w:pPr>
      <w:r>
        <w:t>24.2 API mínima</w:t>
      </w:r>
    </w:p>
    <w:p>
      <w:pPr>
        <w:pStyle w:val="SalviCode"/>
      </w:pPr>
      <w:r>
        <w:t>POST /api/v1/validation-plans</w:t>
      </w:r>
    </w:p>
    <w:p>
      <w:pPr>
        <w:pStyle w:val="SalviCode"/>
      </w:pPr>
      <w:r>
        <w:t>POST /api/v1/test-runs</w:t>
      </w:r>
    </w:p>
    <w:p>
      <w:pPr>
        <w:pStyle w:val="SalviCode"/>
      </w:pPr>
      <w:r>
        <w:t>POST /api/v1/physical-tests/{id}/datasets</w:t>
      </w:r>
    </w:p>
    <w:p>
      <w:pPr>
        <w:pStyle w:val="SalviCode"/>
      </w:pPr>
      <w:r>
        <w:t>POST /api/v1/correlations</w:t>
      </w:r>
    </w:p>
    <w:p>
      <w:pPr>
        <w:pStyle w:val="SalviCode"/>
      </w:pPr>
      <w:r>
        <w:t>POST /api/v1/qualification-domains/evaluate</w:t>
      </w:r>
    </w:p>
    <w:p>
      <w:pPr>
        <w:pStyle w:val="SalviCode"/>
      </w:pPr>
      <w:r>
        <w:t>POST /api/v1/release-gates/{id}/decision</w:t>
      </w:r>
    </w:p>
    <w:p>
      <w:pPr>
        <w:pStyle w:val="SalviCode"/>
      </w:pPr>
      <w:r>
        <w:t>GET  /api/v1/traceability/requirements/{id}</w:t>
      </w:r>
    </w:p>
    <w:p>
      <w:r>
        <w:br w:type="page"/>
      </w:r>
    </w:p>
    <w:p>
      <w:pPr>
        <w:pStyle w:val="Heading1"/>
      </w:pPr>
      <w:r>
        <w:t>25. Front-end y experiencia de usuario</w:t>
      </w:r>
    </w:p>
    <w:tbl>
      <w:tblPr>
        <w:tblStyle w:val="TableGrid"/>
        <w:tblW w:type="auto" w:w="0"/>
        <w:jc w:val="center"/>
        <w:tblLook w:firstColumn="1" w:firstRow="1" w:lastColumn="0" w:lastRow="0" w:noHBand="0" w:noVBand="1" w:val="04A0"/>
      </w:tblPr>
      <w:tblGrid>
        <w:gridCol w:w="5043"/>
        <w:gridCol w:w="5043"/>
      </w:tblGrid>
      <w:tr>
        <w:trPr>
          <w:tblHeader/>
          <w:cantSplit/>
        </w:trPr>
        <w:tc>
          <w:tcPr>
            <w:tcW w:type="dxa" w:w="2381"/>
            <w:vAlign w:val="center"/>
            <w:shd w:fill="262626"/>
          </w:tcPr>
          <w:p>
            <w:pPr>
              <w:spacing w:after="0"/>
            </w:pPr>
            <w:r/>
            <w:r>
              <w:rPr>
                <w:rFonts w:ascii="Arial" w:hAnsi="Arial"/>
                <w:b/>
                <w:color w:val="FFFFFF"/>
                <w:sz w:val="16"/>
              </w:rPr>
              <w:t>Vista</w:t>
            </w:r>
          </w:p>
        </w:tc>
        <w:tc>
          <w:tcPr>
            <w:tcW w:type="dxa" w:w="7257"/>
            <w:vAlign w:val="center"/>
            <w:shd w:fill="262626"/>
          </w:tcPr>
          <w:p>
            <w:pPr>
              <w:spacing w:after="0"/>
            </w:pPr>
            <w:r/>
            <w:r>
              <w:rPr>
                <w:rFonts w:ascii="Arial" w:hAnsi="Arial"/>
                <w:b/>
                <w:color w:val="FFFFFF"/>
                <w:sz w:val="16"/>
              </w:rPr>
              <w:t>Funciones</w:t>
            </w:r>
          </w:p>
        </w:tc>
      </w:tr>
      <w:tr>
        <w:trPr>
          <w:cantSplit/>
        </w:trPr>
        <w:tc>
          <w:tcPr>
            <w:tcW w:type="dxa" w:w="2381"/>
            <w:vAlign w:val="center"/>
          </w:tcPr>
          <w:p>
            <w:pPr>
              <w:spacing w:after="0"/>
            </w:pPr>
            <w:r/>
            <w:r>
              <w:rPr>
                <w:rFonts w:ascii="Arial" w:hAnsi="Arial"/>
                <w:b w:val="0"/>
                <w:sz w:val="16"/>
              </w:rPr>
              <w:t>Panel de validación</w:t>
            </w:r>
          </w:p>
        </w:tc>
        <w:tc>
          <w:tcPr>
            <w:tcW w:type="dxa" w:w="7257"/>
            <w:vAlign w:val="center"/>
          </w:tcPr>
          <w:p>
            <w:pPr>
              <w:spacing w:after="0"/>
            </w:pPr>
            <w:r/>
            <w:r>
              <w:rPr>
                <w:rFonts w:ascii="Arial" w:hAnsi="Arial"/>
                <w:b w:val="0"/>
                <w:sz w:val="16"/>
              </w:rPr>
              <w:t>Cobertura, fallos, riesgos, gates y madurez.</w:t>
            </w:r>
          </w:p>
        </w:tc>
      </w:tr>
      <w:tr>
        <w:trPr>
          <w:cantSplit/>
        </w:trPr>
        <w:tc>
          <w:tcPr>
            <w:tcW w:type="dxa" w:w="2381"/>
            <w:vAlign w:val="center"/>
            <w:shd w:fill="F2F2F2"/>
          </w:tcPr>
          <w:p>
            <w:pPr>
              <w:spacing w:after="0"/>
            </w:pPr>
            <w:r/>
            <w:r>
              <w:rPr>
                <w:rFonts w:ascii="Arial" w:hAnsi="Arial"/>
                <w:b w:val="0"/>
                <w:sz w:val="16"/>
              </w:rPr>
              <w:t>Matriz de trazabilidad</w:t>
            </w:r>
          </w:p>
        </w:tc>
        <w:tc>
          <w:tcPr>
            <w:tcW w:type="dxa" w:w="7257"/>
            <w:vAlign w:val="center"/>
            <w:shd w:fill="F2F2F2"/>
          </w:tcPr>
          <w:p>
            <w:pPr>
              <w:spacing w:after="0"/>
            </w:pPr>
            <w:r/>
            <w:r>
              <w:rPr>
                <w:rFonts w:ascii="Arial" w:hAnsi="Arial"/>
                <w:b w:val="0"/>
                <w:sz w:val="16"/>
              </w:rPr>
              <w:t>Navegación desde cláusula a evidencia.</w:t>
            </w:r>
          </w:p>
        </w:tc>
      </w:tr>
      <w:tr>
        <w:trPr>
          <w:cantSplit/>
        </w:trPr>
        <w:tc>
          <w:tcPr>
            <w:tcW w:type="dxa" w:w="2381"/>
            <w:vAlign w:val="center"/>
          </w:tcPr>
          <w:p>
            <w:pPr>
              <w:spacing w:after="0"/>
            </w:pPr>
            <w:r/>
            <w:r>
              <w:rPr>
                <w:rFonts w:ascii="Arial" w:hAnsi="Arial"/>
                <w:b w:val="0"/>
                <w:sz w:val="16"/>
              </w:rPr>
              <w:t>Comparador de resultados</w:t>
            </w:r>
          </w:p>
        </w:tc>
        <w:tc>
          <w:tcPr>
            <w:tcW w:type="dxa" w:w="7257"/>
            <w:vAlign w:val="center"/>
          </w:tcPr>
          <w:p>
            <w:pPr>
              <w:spacing w:after="0"/>
            </w:pPr>
            <w:r/>
            <w:r>
              <w:rPr>
                <w:rFonts w:ascii="Arial" w:hAnsi="Arial"/>
                <w:b w:val="0"/>
                <w:sz w:val="16"/>
              </w:rPr>
              <w:t>Curvas, diagramas, errores y diferencias de hipótesis.</w:t>
            </w:r>
          </w:p>
        </w:tc>
      </w:tr>
      <w:tr>
        <w:trPr>
          <w:cantSplit/>
        </w:trPr>
        <w:tc>
          <w:tcPr>
            <w:tcW w:type="dxa" w:w="2381"/>
            <w:vAlign w:val="center"/>
            <w:shd w:fill="F2F2F2"/>
          </w:tcPr>
          <w:p>
            <w:pPr>
              <w:spacing w:after="0"/>
            </w:pPr>
            <w:r/>
            <w:r>
              <w:rPr>
                <w:rFonts w:ascii="Arial" w:hAnsi="Arial"/>
                <w:b w:val="0"/>
                <w:sz w:val="16"/>
              </w:rPr>
              <w:t>Laboratorio</w:t>
            </w:r>
          </w:p>
        </w:tc>
        <w:tc>
          <w:tcPr>
            <w:tcW w:type="dxa" w:w="7257"/>
            <w:vAlign w:val="center"/>
            <w:shd w:fill="F2F2F2"/>
          </w:tcPr>
          <w:p>
            <w:pPr>
              <w:spacing w:after="0"/>
            </w:pPr>
            <w:r/>
            <w:r>
              <w:rPr>
                <w:rFonts w:ascii="Arial" w:hAnsi="Arial"/>
                <w:b w:val="0"/>
                <w:sz w:val="16"/>
              </w:rPr>
              <w:t>Plan, instrumentación, datos en vivo o importados y eventos.</w:t>
            </w:r>
          </w:p>
        </w:tc>
      </w:tr>
      <w:tr>
        <w:trPr>
          <w:cantSplit/>
        </w:trPr>
        <w:tc>
          <w:tcPr>
            <w:tcW w:type="dxa" w:w="2381"/>
            <w:vAlign w:val="center"/>
          </w:tcPr>
          <w:p>
            <w:pPr>
              <w:spacing w:after="0"/>
            </w:pPr>
            <w:r/>
            <w:r>
              <w:rPr>
                <w:rFonts w:ascii="Arial" w:hAnsi="Arial"/>
                <w:b w:val="0"/>
                <w:sz w:val="16"/>
              </w:rPr>
              <w:t>Correlación</w:t>
            </w:r>
          </w:p>
        </w:tc>
        <w:tc>
          <w:tcPr>
            <w:tcW w:type="dxa" w:w="7257"/>
            <w:vAlign w:val="center"/>
          </w:tcPr>
          <w:p>
            <w:pPr>
              <w:spacing w:after="0"/>
            </w:pPr>
            <w:r/>
            <w:r>
              <w:rPr>
                <w:rFonts w:ascii="Arial" w:hAnsi="Arial"/>
                <w:b w:val="0"/>
                <w:sz w:val="16"/>
              </w:rPr>
              <w:t>Predicho vs medido, residuales, incertidumbre y decisión.</w:t>
            </w:r>
          </w:p>
        </w:tc>
      </w:tr>
      <w:tr>
        <w:trPr>
          <w:cantSplit/>
        </w:trPr>
        <w:tc>
          <w:tcPr>
            <w:tcW w:type="dxa" w:w="2381"/>
            <w:vAlign w:val="center"/>
            <w:shd w:fill="F2F2F2"/>
          </w:tcPr>
          <w:p>
            <w:pPr>
              <w:spacing w:after="0"/>
            </w:pPr>
            <w:r/>
            <w:r>
              <w:rPr>
                <w:rFonts w:ascii="Arial" w:hAnsi="Arial"/>
                <w:b w:val="0"/>
                <w:sz w:val="16"/>
              </w:rPr>
              <w:t>Dominio de familia</w:t>
            </w:r>
          </w:p>
        </w:tc>
        <w:tc>
          <w:tcPr>
            <w:tcW w:type="dxa" w:w="7257"/>
            <w:vAlign w:val="center"/>
            <w:shd w:fill="F2F2F2"/>
          </w:tcPr>
          <w:p>
            <w:pPr>
              <w:spacing w:after="0"/>
            </w:pPr>
            <w:r/>
            <w:r>
              <w:rPr>
                <w:rFonts w:ascii="Arial" w:hAnsi="Arial"/>
                <w:b w:val="0"/>
                <w:sz w:val="16"/>
              </w:rPr>
              <w:t>Mapa multidimensional y referencias cubiertas.</w:t>
            </w:r>
          </w:p>
        </w:tc>
      </w:tr>
      <w:tr>
        <w:trPr>
          <w:cantSplit/>
        </w:trPr>
        <w:tc>
          <w:tcPr>
            <w:tcW w:type="dxa" w:w="2381"/>
            <w:vAlign w:val="center"/>
          </w:tcPr>
          <w:p>
            <w:pPr>
              <w:spacing w:after="0"/>
            </w:pPr>
            <w:r/>
            <w:r>
              <w:rPr>
                <w:rFonts w:ascii="Arial" w:hAnsi="Arial"/>
                <w:b w:val="0"/>
                <w:sz w:val="16"/>
              </w:rPr>
              <w:t>Impacto de cambios</w:t>
            </w:r>
          </w:p>
        </w:tc>
        <w:tc>
          <w:tcPr>
            <w:tcW w:type="dxa" w:w="7257"/>
            <w:vAlign w:val="center"/>
          </w:tcPr>
          <w:p>
            <w:pPr>
              <w:spacing w:after="0"/>
            </w:pPr>
            <w:r/>
            <w:r>
              <w:rPr>
                <w:rFonts w:ascii="Arial" w:hAnsi="Arial"/>
                <w:b w:val="0"/>
                <w:sz w:val="16"/>
              </w:rPr>
              <w:t>Proyectos, referencias y documentos afectados.</w:t>
            </w:r>
          </w:p>
        </w:tc>
      </w:tr>
      <w:tr>
        <w:trPr>
          <w:cantSplit/>
        </w:trPr>
        <w:tc>
          <w:tcPr>
            <w:tcW w:type="dxa" w:w="2381"/>
            <w:vAlign w:val="center"/>
            <w:shd w:fill="F2F2F2"/>
          </w:tcPr>
          <w:p>
            <w:pPr>
              <w:spacing w:after="0"/>
            </w:pPr>
            <w:r/>
            <w:r>
              <w:rPr>
                <w:rFonts w:ascii="Arial" w:hAnsi="Arial"/>
                <w:b w:val="0"/>
                <w:sz w:val="16"/>
              </w:rPr>
              <w:t>Liberación</w:t>
            </w:r>
          </w:p>
        </w:tc>
        <w:tc>
          <w:tcPr>
            <w:tcW w:type="dxa" w:w="7257"/>
            <w:vAlign w:val="center"/>
            <w:shd w:fill="F2F2F2"/>
          </w:tcPr>
          <w:p>
            <w:pPr>
              <w:spacing w:after="0"/>
            </w:pPr>
            <w:r/>
            <w:r>
              <w:rPr>
                <w:rFonts w:ascii="Arial" w:hAnsi="Arial"/>
                <w:b w:val="0"/>
                <w:sz w:val="16"/>
              </w:rPr>
              <w:t>Checklist, aprobadores, excepciones y firma.</w:t>
            </w:r>
          </w:p>
        </w:tc>
      </w:tr>
    </w:tbl>
    <w:p>
      <w:pPr>
        <w:spacing w:after="20"/>
      </w:pPr>
    </w:p>
    <w:p>
      <w:pPr>
        <w:pStyle w:val="Heading2"/>
      </w:pPr>
      <w:r>
        <w:t>25.1 Principios UX</w:t>
      </w:r>
    </w:p>
    <w:p>
      <w:pPr>
        <w:pStyle w:val="ListBullet"/>
        <w:spacing w:after="40"/>
      </w:pPr>
      <w:r>
        <w:t>Rojo siempre significa bloqueo técnico, no mera recomendación.</w:t>
      </w:r>
    </w:p>
    <w:p>
      <w:pPr>
        <w:pStyle w:val="ListBullet"/>
        <w:spacing w:after="40"/>
      </w:pPr>
      <w:r>
        <w:t>Cada PASS debe permitir abrir la evidencia que lo justifica.</w:t>
      </w:r>
    </w:p>
    <w:p>
      <w:pPr>
        <w:pStyle w:val="ListBullet"/>
        <w:spacing w:after="40"/>
      </w:pPr>
      <w:r>
        <w:t>Las discrepancias deben mostrar hipótesis distintas antes de valores.</w:t>
      </w:r>
    </w:p>
    <w:p>
      <w:pPr>
        <w:pStyle w:val="ListBullet"/>
        <w:spacing w:after="40"/>
      </w:pPr>
      <w:r>
        <w:t>No se ocultarán fallos antiguos al repetir una prueba.</w:t>
      </w:r>
    </w:p>
    <w:p>
      <w:pPr>
        <w:pStyle w:val="ListBullet"/>
        <w:spacing w:after="40"/>
      </w:pPr>
      <w:r>
        <w:t>El usuario verá claramente si el resultado es de desarrollo, interno, validado o liberado.</w:t>
      </w:r>
    </w:p>
    <w:p>
      <w:pPr>
        <w:pStyle w:val="ListBullet"/>
        <w:spacing w:after="40"/>
      </w:pPr>
      <w:r>
        <w:t>Los dashboards resumirán, pero nunca sustituirán el expediente completo.</w:t>
      </w:r>
    </w:p>
    <w:p>
      <w:pPr>
        <w:pStyle w:val="Heading1"/>
      </w:pPr>
      <w:r>
        <w:t>26. Automatización, CI/CD y entornos</w:t>
      </w:r>
    </w:p>
    <w:p>
      <w:pPr>
        <w:pStyle w:val="ListBullet"/>
        <w:spacing w:after="40"/>
      </w:pPr>
      <w:r>
        <w:t>Cada cambio de código ejecutará pruebas unitarias, estáticas y de contrato.</w:t>
      </w:r>
    </w:p>
    <w:p>
      <w:pPr>
        <w:pStyle w:val="ListBullet"/>
        <w:spacing w:after="40"/>
      </w:pPr>
      <w:r>
        <w:t>Los módulos críticos ejecutarán golden cases antes de fusionar cambios.</w:t>
      </w:r>
    </w:p>
    <w:p>
      <w:pPr>
        <w:pStyle w:val="ListBullet"/>
        <w:spacing w:after="40"/>
      </w:pPr>
      <w:r>
        <w:t>Las versiones candidatas ejecutarán la suite completa en entorno reproducible.</w:t>
      </w:r>
    </w:p>
    <w:p>
      <w:pPr>
        <w:pStyle w:val="ListBullet"/>
        <w:spacing w:after="40"/>
      </w:pPr>
      <w:r>
        <w:t>Los datasets de ensayo estarán separados de los datos de entrenamiento o calibración.</w:t>
      </w:r>
    </w:p>
    <w:p>
      <w:pPr>
        <w:pStyle w:val="ListBullet"/>
        <w:spacing w:after="40"/>
      </w:pPr>
      <w:r>
        <w:t>Las dependencias, compiladores, librerías y sistema operativo quedarán fijados.</w:t>
      </w:r>
    </w:p>
    <w:p>
      <w:pPr>
        <w:pStyle w:val="ListBullet"/>
        <w:spacing w:after="40"/>
      </w:pPr>
      <w:r>
        <w:t>La liberación requerirá firma del artefacto y generación de SBOM de software.</w:t>
      </w:r>
    </w:p>
    <w:p>
      <w:pPr>
        <w:pStyle w:val="ListBullet"/>
        <w:spacing w:after="40"/>
      </w:pPr>
      <w:r>
        <w:t>Los secretos y credenciales no formarán parte de snapshots ni informes.</w:t>
      </w:r>
    </w:p>
    <w:p>
      <w:pPr>
        <w:pStyle w:val="Heading2"/>
      </w:pPr>
      <w:r>
        <w:t>26.1 Reproducibilidad</w:t>
      </w:r>
    </w:p>
    <w:p>
      <w:r>
        <w:t>Cada test_run almacenará commit, imagen de ejecución, versiones de librerías, arquitectura, semilla, configuración y hash de entradas. Cuando la reproducibilidad bit a bit no sea posible, se declarará la tolerancia numérica y la causa.</w:t>
      </w:r>
    </w:p>
    <w:p>
      <w:pPr>
        <w:pStyle w:val="Heading1"/>
      </w:pPr>
      <w:r>
        <w:t>27. Criterios cuantitativos de aceptación</w:t>
      </w:r>
    </w:p>
    <w:p>
      <w:r>
        <w:t>Los siguientes valores son objetivos iniciales Salvi y deberán aprobarse por módulo. No sustituyen tolerancias normativas específicas ni criterios de ensayo.</w:t>
      </w:r>
    </w:p>
    <w:tbl>
      <w:tblPr>
        <w:tblStyle w:val="TableGrid"/>
        <w:tblW w:type="auto" w:w="0"/>
        <w:jc w:val="center"/>
        <w:tblLook w:firstColumn="1" w:firstRow="1" w:lastColumn="0" w:lastRow="0" w:noHBand="0" w:noVBand="1" w:val="04A0"/>
      </w:tblPr>
      <w:tblGrid>
        <w:gridCol w:w="5043"/>
        <w:gridCol w:w="5043"/>
      </w:tblGrid>
      <w:tr>
        <w:trPr>
          <w:tblHeader/>
          <w:cantSplit/>
        </w:trPr>
        <w:tc>
          <w:tcPr>
            <w:tcW w:type="dxa" w:w="3061"/>
            <w:vAlign w:val="center"/>
            <w:shd w:fill="262626"/>
          </w:tcPr>
          <w:p>
            <w:pPr>
              <w:spacing w:after="0"/>
            </w:pPr>
            <w:r/>
            <w:r>
              <w:rPr>
                <w:rFonts w:ascii="Arial" w:hAnsi="Arial"/>
                <w:b/>
                <w:color w:val="FFFFFF"/>
                <w:sz w:val="16"/>
              </w:rPr>
              <w:t>Área</w:t>
            </w:r>
          </w:p>
        </w:tc>
        <w:tc>
          <w:tcPr>
            <w:tcW w:type="dxa" w:w="6576"/>
            <w:vAlign w:val="center"/>
            <w:shd w:fill="262626"/>
          </w:tcPr>
          <w:p>
            <w:pPr>
              <w:spacing w:after="0"/>
            </w:pPr>
            <w:r/>
            <w:r>
              <w:rPr>
                <w:rFonts w:ascii="Arial" w:hAnsi="Arial"/>
                <w:b/>
                <w:color w:val="FFFFFF"/>
                <w:sz w:val="16"/>
              </w:rPr>
              <w:t>Objetivo inicial</w:t>
            </w:r>
          </w:p>
        </w:tc>
      </w:tr>
      <w:tr>
        <w:trPr>
          <w:cantSplit/>
        </w:trPr>
        <w:tc>
          <w:tcPr>
            <w:tcW w:type="dxa" w:w="3061"/>
            <w:vAlign w:val="center"/>
          </w:tcPr>
          <w:p>
            <w:pPr>
              <w:spacing w:after="0"/>
            </w:pPr>
            <w:r/>
            <w:r>
              <w:rPr>
                <w:rFonts w:ascii="Arial" w:hAnsi="Arial"/>
                <w:b w:val="0"/>
                <w:sz w:val="16"/>
              </w:rPr>
              <w:t>Funciones elementales</w:t>
            </w:r>
          </w:p>
        </w:tc>
        <w:tc>
          <w:tcPr>
            <w:tcW w:type="dxa" w:w="6576"/>
            <w:vAlign w:val="center"/>
          </w:tcPr>
          <w:p>
            <w:pPr>
              <w:spacing w:after="0"/>
            </w:pPr>
            <w:r/>
            <w:r>
              <w:rPr>
                <w:rFonts w:ascii="Arial" w:hAnsi="Arial"/>
                <w:b w:val="0"/>
                <w:sz w:val="16"/>
              </w:rPr>
              <w:t>Coincidencia con precisión numérica o tolerancia definida.</w:t>
            </w:r>
          </w:p>
        </w:tc>
      </w:tr>
      <w:tr>
        <w:trPr>
          <w:cantSplit/>
        </w:trPr>
        <w:tc>
          <w:tcPr>
            <w:tcW w:type="dxa" w:w="3061"/>
            <w:vAlign w:val="center"/>
            <w:shd w:fill="F2F2F2"/>
          </w:tcPr>
          <w:p>
            <w:pPr>
              <w:spacing w:after="0"/>
            </w:pPr>
            <w:r/>
            <w:r>
              <w:rPr>
                <w:rFonts w:ascii="Arial" w:hAnsi="Arial"/>
                <w:b w:val="0"/>
                <w:sz w:val="16"/>
              </w:rPr>
              <w:t>Casos lineales globales</w:t>
            </w:r>
          </w:p>
        </w:tc>
        <w:tc>
          <w:tcPr>
            <w:tcW w:type="dxa" w:w="6576"/>
            <w:vAlign w:val="center"/>
            <w:shd w:fill="F2F2F2"/>
          </w:tcPr>
          <w:p>
            <w:pPr>
              <w:spacing w:after="0"/>
            </w:pPr>
            <w:r/>
            <w:r>
              <w:rPr>
                <w:rFonts w:ascii="Arial" w:hAnsi="Arial"/>
                <w:b w:val="0"/>
                <w:sz w:val="16"/>
              </w:rPr>
              <w:t>Esfuerzos y reacciones dentro de ±1 % respecto a referencia adecuada.</w:t>
            </w:r>
          </w:p>
        </w:tc>
      </w:tr>
      <w:tr>
        <w:trPr>
          <w:cantSplit/>
        </w:trPr>
        <w:tc>
          <w:tcPr>
            <w:tcW w:type="dxa" w:w="3061"/>
            <w:vAlign w:val="center"/>
          </w:tcPr>
          <w:p>
            <w:pPr>
              <w:spacing w:after="0"/>
            </w:pPr>
            <w:r/>
            <w:r>
              <w:rPr>
                <w:rFonts w:ascii="Arial" w:hAnsi="Arial"/>
                <w:b w:val="0"/>
                <w:sz w:val="16"/>
              </w:rPr>
              <w:t>Deformaciones</w:t>
            </w:r>
          </w:p>
        </w:tc>
        <w:tc>
          <w:tcPr>
            <w:tcW w:type="dxa" w:w="6576"/>
            <w:vAlign w:val="center"/>
          </w:tcPr>
          <w:p>
            <w:pPr>
              <w:spacing w:after="0"/>
            </w:pPr>
            <w:r/>
            <w:r>
              <w:rPr>
                <w:rFonts w:ascii="Arial" w:hAnsi="Arial"/>
                <w:b w:val="0"/>
                <w:sz w:val="16"/>
              </w:rPr>
              <w:t>Dentro de ±2 % en casos de referencia, salvo justificación.</w:t>
            </w:r>
          </w:p>
        </w:tc>
      </w:tr>
      <w:tr>
        <w:trPr>
          <w:cantSplit/>
        </w:trPr>
        <w:tc>
          <w:tcPr>
            <w:tcW w:type="dxa" w:w="3061"/>
            <w:vAlign w:val="center"/>
            <w:shd w:fill="F2F2F2"/>
          </w:tcPr>
          <w:p>
            <w:pPr>
              <w:spacing w:after="0"/>
            </w:pPr>
            <w:r/>
            <w:r>
              <w:rPr>
                <w:rFonts w:ascii="Arial" w:hAnsi="Arial"/>
                <w:b w:val="0"/>
                <w:sz w:val="16"/>
              </w:rPr>
              <w:t>Frecuencias</w:t>
            </w:r>
          </w:p>
        </w:tc>
        <w:tc>
          <w:tcPr>
            <w:tcW w:type="dxa" w:w="6576"/>
            <w:vAlign w:val="center"/>
            <w:shd w:fill="F2F2F2"/>
          </w:tcPr>
          <w:p>
            <w:pPr>
              <w:spacing w:after="0"/>
            </w:pPr>
            <w:r/>
            <w:r>
              <w:rPr>
                <w:rFonts w:ascii="Arial" w:hAnsi="Arial"/>
                <w:b w:val="0"/>
                <w:sz w:val="16"/>
              </w:rPr>
              <w:t>Dentro de ±3 % en modelos equivalentes.</w:t>
            </w:r>
          </w:p>
        </w:tc>
      </w:tr>
      <w:tr>
        <w:trPr>
          <w:cantSplit/>
        </w:trPr>
        <w:tc>
          <w:tcPr>
            <w:tcW w:type="dxa" w:w="3061"/>
            <w:vAlign w:val="center"/>
          </w:tcPr>
          <w:p>
            <w:pPr>
              <w:spacing w:after="0"/>
            </w:pPr>
            <w:r/>
            <w:r>
              <w:rPr>
                <w:rFonts w:ascii="Arial" w:hAnsi="Arial"/>
                <w:b w:val="0"/>
                <w:sz w:val="16"/>
              </w:rPr>
              <w:t>Masa CAD-BOM</w:t>
            </w:r>
          </w:p>
        </w:tc>
        <w:tc>
          <w:tcPr>
            <w:tcW w:type="dxa" w:w="6576"/>
            <w:vAlign w:val="center"/>
          </w:tcPr>
          <w:p>
            <w:pPr>
              <w:spacing w:after="0"/>
            </w:pPr>
            <w:r/>
            <w:r>
              <w:rPr>
                <w:rFonts w:ascii="Arial" w:hAnsi="Arial"/>
                <w:b w:val="0"/>
                <w:sz w:val="16"/>
              </w:rPr>
              <w:t>Diferencia ≤1 % salvo merma o tolerancia identificada.</w:t>
            </w:r>
          </w:p>
        </w:tc>
      </w:tr>
      <w:tr>
        <w:trPr>
          <w:cantSplit/>
        </w:trPr>
        <w:tc>
          <w:tcPr>
            <w:tcW w:type="dxa" w:w="3061"/>
            <w:vAlign w:val="center"/>
            <w:shd w:fill="F2F2F2"/>
          </w:tcPr>
          <w:p>
            <w:pPr>
              <w:spacing w:after="0"/>
            </w:pPr>
            <w:r/>
            <w:r>
              <w:rPr>
                <w:rFonts w:ascii="Arial" w:hAnsi="Arial"/>
                <w:b w:val="0"/>
                <w:sz w:val="16"/>
              </w:rPr>
              <w:t>Correlación física</w:t>
            </w:r>
          </w:p>
        </w:tc>
        <w:tc>
          <w:tcPr>
            <w:tcW w:type="dxa" w:w="6576"/>
            <w:vAlign w:val="center"/>
            <w:shd w:fill="F2F2F2"/>
          </w:tcPr>
          <w:p>
            <w:pPr>
              <w:spacing w:after="0"/>
            </w:pPr>
            <w:r/>
            <w:r>
              <w:rPr>
                <w:rFonts w:ascii="Arial" w:hAnsi="Arial"/>
                <w:b w:val="0"/>
                <w:sz w:val="16"/>
              </w:rPr>
              <w:t>Bandas por magnitud y modo; nunca un criterio único.</w:t>
            </w:r>
          </w:p>
        </w:tc>
      </w:tr>
      <w:tr>
        <w:trPr>
          <w:cantSplit/>
        </w:trPr>
        <w:tc>
          <w:tcPr>
            <w:tcW w:type="dxa" w:w="3061"/>
            <w:vAlign w:val="center"/>
          </w:tcPr>
          <w:p>
            <w:pPr>
              <w:spacing w:after="0"/>
            </w:pPr>
            <w:r/>
            <w:r>
              <w:rPr>
                <w:rFonts w:ascii="Arial" w:hAnsi="Arial"/>
                <w:b w:val="0"/>
                <w:sz w:val="16"/>
              </w:rPr>
              <w:t>Trazabilidad</w:t>
            </w:r>
          </w:p>
        </w:tc>
        <w:tc>
          <w:tcPr>
            <w:tcW w:type="dxa" w:w="6576"/>
            <w:vAlign w:val="center"/>
          </w:tcPr>
          <w:p>
            <w:pPr>
              <w:spacing w:after="0"/>
            </w:pPr>
            <w:r/>
            <w:r>
              <w:rPr>
                <w:rFonts w:ascii="Arial" w:hAnsi="Arial"/>
                <w:b w:val="0"/>
                <w:sz w:val="16"/>
              </w:rPr>
              <w:t>100 % de resultados liberados con lineage completo.</w:t>
            </w:r>
          </w:p>
        </w:tc>
      </w:tr>
      <w:tr>
        <w:trPr>
          <w:cantSplit/>
        </w:trPr>
        <w:tc>
          <w:tcPr>
            <w:tcW w:type="dxa" w:w="3061"/>
            <w:vAlign w:val="center"/>
            <w:shd w:fill="F2F2F2"/>
          </w:tcPr>
          <w:p>
            <w:pPr>
              <w:spacing w:after="0"/>
            </w:pPr>
            <w:r/>
            <w:r>
              <w:rPr>
                <w:rFonts w:ascii="Arial" w:hAnsi="Arial"/>
                <w:b w:val="0"/>
                <w:sz w:val="16"/>
              </w:rPr>
              <w:t>Regresión</w:t>
            </w:r>
          </w:p>
        </w:tc>
        <w:tc>
          <w:tcPr>
            <w:tcW w:type="dxa" w:w="6576"/>
            <w:vAlign w:val="center"/>
            <w:shd w:fill="F2F2F2"/>
          </w:tcPr>
          <w:p>
            <w:pPr>
              <w:spacing w:after="0"/>
            </w:pPr>
            <w:r/>
            <w:r>
              <w:rPr>
                <w:rFonts w:ascii="Arial" w:hAnsi="Arial"/>
                <w:b w:val="0"/>
                <w:sz w:val="16"/>
              </w:rPr>
              <w:t>0 cambios no explicados en golden cases críticos.</w:t>
            </w:r>
          </w:p>
        </w:tc>
      </w:tr>
      <w:tr>
        <w:trPr>
          <w:cantSplit/>
        </w:trPr>
        <w:tc>
          <w:tcPr>
            <w:tcW w:type="dxa" w:w="3061"/>
            <w:vAlign w:val="center"/>
          </w:tcPr>
          <w:p>
            <w:pPr>
              <w:spacing w:after="0"/>
            </w:pPr>
            <w:r/>
            <w:r>
              <w:rPr>
                <w:rFonts w:ascii="Arial" w:hAnsi="Arial"/>
                <w:b w:val="0"/>
                <w:sz w:val="16"/>
              </w:rPr>
              <w:t>Cobertura requisitos C4-C5</w:t>
            </w:r>
          </w:p>
        </w:tc>
        <w:tc>
          <w:tcPr>
            <w:tcW w:type="dxa" w:w="6576"/>
            <w:vAlign w:val="center"/>
          </w:tcPr>
          <w:p>
            <w:pPr>
              <w:spacing w:after="0"/>
            </w:pPr>
            <w:r/>
            <w:r>
              <w:rPr>
                <w:rFonts w:ascii="Arial" w:hAnsi="Arial"/>
                <w:b w:val="0"/>
                <w:sz w:val="16"/>
              </w:rPr>
              <w:t>100 % con prueba y evidencia aprobadas.</w:t>
            </w:r>
          </w:p>
        </w:tc>
      </w:tr>
      <w:tr>
        <w:trPr>
          <w:cantSplit/>
        </w:trPr>
        <w:tc>
          <w:tcPr>
            <w:tcW w:type="dxa" w:w="3061"/>
            <w:vAlign w:val="center"/>
            <w:shd w:fill="F2F2F2"/>
          </w:tcPr>
          <w:p>
            <w:pPr>
              <w:spacing w:after="0"/>
            </w:pPr>
            <w:r/>
            <w:r>
              <w:rPr>
                <w:rFonts w:ascii="Arial" w:hAnsi="Arial"/>
                <w:b w:val="0"/>
                <w:sz w:val="16"/>
              </w:rPr>
              <w:t>Fallo seguro</w:t>
            </w:r>
          </w:p>
        </w:tc>
        <w:tc>
          <w:tcPr>
            <w:tcW w:type="dxa" w:w="6576"/>
            <w:vAlign w:val="center"/>
            <w:shd w:fill="F2F2F2"/>
          </w:tcPr>
          <w:p>
            <w:pPr>
              <w:spacing w:after="0"/>
            </w:pPr>
            <w:r/>
            <w:r>
              <w:rPr>
                <w:rFonts w:ascii="Arial" w:hAnsi="Arial"/>
                <w:b w:val="0"/>
                <w:sz w:val="16"/>
              </w:rPr>
              <w:t>100 % de entradas críticas ausentes bloquean liberación.</w:t>
            </w:r>
          </w:p>
        </w:tc>
      </w:tr>
    </w:tbl>
    <w:p>
      <w:pPr>
        <w:spacing w:after="20"/>
      </w:pPr>
    </w:p>
    <w:p>
      <w:pPr>
        <w:pStyle w:val="Heading2"/>
      </w:pPr>
      <w:r>
        <w:t>27.1 Criterio de margen</w:t>
      </w:r>
    </w:p>
    <w:p>
      <w:r>
        <w:t>Cuando la incertidumbre de modelo y ensayo sea relevante, la decisión deberá considerar una banda de seguridad. El valor nominal no será suficiente si el límite queda dentro de la incertidumbre combinada. La metodología exacta se definirá por familia y modo de fallo.</w:t>
      </w:r>
    </w:p>
    <w:p>
      <w:pPr>
        <w:pStyle w:val="Heading1"/>
      </w:pPr>
      <w:r>
        <w:t>28. Catálogo de casos de aceptación</w:t>
      </w:r>
    </w:p>
    <w:p>
      <w:r>
        <w:t>La versión 1.0 deberá incluir al menos 300 casos automatizados o documentados, distribuidos por criticidad y material. La numeración propuesta es AC17-001 a AC17-300.</w:t>
      </w:r>
    </w:p>
    <w:tbl>
      <w:tblPr>
        <w:tblStyle w:val="TableGrid"/>
        <w:tblW w:type="auto" w:w="0"/>
        <w:jc w:val="center"/>
        <w:tblLook w:firstColumn="1" w:firstRow="1" w:lastColumn="0" w:lastRow="0" w:noHBand="0" w:noVBand="1" w:val="04A0"/>
      </w:tblPr>
      <w:tblGrid>
        <w:gridCol w:w="5043"/>
        <w:gridCol w:w="5043"/>
      </w:tblGrid>
      <w:tr>
        <w:trPr>
          <w:tblHeader/>
          <w:cantSplit/>
        </w:trPr>
        <w:tc>
          <w:tcPr>
            <w:tcW w:type="dxa" w:w="1587"/>
            <w:vAlign w:val="center"/>
            <w:shd w:fill="262626"/>
          </w:tcPr>
          <w:p>
            <w:pPr>
              <w:spacing w:after="0"/>
            </w:pPr>
            <w:r/>
            <w:r>
              <w:rPr>
                <w:rFonts w:ascii="Arial" w:hAnsi="Arial"/>
                <w:b/>
                <w:color w:val="FFFFFF"/>
                <w:sz w:val="16"/>
              </w:rPr>
              <w:t>Rango</w:t>
            </w:r>
          </w:p>
        </w:tc>
        <w:tc>
          <w:tcPr>
            <w:tcW w:type="dxa" w:w="8050"/>
            <w:vAlign w:val="center"/>
            <w:shd w:fill="262626"/>
          </w:tcPr>
          <w:p>
            <w:pPr>
              <w:spacing w:after="0"/>
            </w:pPr>
            <w:r/>
            <w:r>
              <w:rPr>
                <w:rFonts w:ascii="Arial" w:hAnsi="Arial"/>
                <w:b/>
                <w:color w:val="FFFFFF"/>
                <w:sz w:val="16"/>
              </w:rPr>
              <w:t>Contenido</w:t>
            </w:r>
          </w:p>
        </w:tc>
      </w:tr>
      <w:tr>
        <w:trPr>
          <w:cantSplit/>
        </w:trPr>
        <w:tc>
          <w:tcPr>
            <w:tcW w:type="dxa" w:w="1587"/>
            <w:vAlign w:val="center"/>
          </w:tcPr>
          <w:p>
            <w:pPr>
              <w:spacing w:after="0"/>
            </w:pPr>
            <w:r/>
            <w:r>
              <w:rPr>
                <w:rFonts w:ascii="Arial" w:hAnsi="Arial"/>
                <w:b w:val="0"/>
                <w:sz w:val="16"/>
              </w:rPr>
              <w:t>001-030</w:t>
            </w:r>
          </w:p>
        </w:tc>
        <w:tc>
          <w:tcPr>
            <w:tcW w:type="dxa" w:w="8050"/>
            <w:vAlign w:val="center"/>
          </w:tcPr>
          <w:p>
            <w:pPr>
              <w:spacing w:after="0"/>
            </w:pPr>
            <w:r/>
            <w:r>
              <w:rPr>
                <w:rFonts w:ascii="Arial" w:hAnsi="Arial"/>
                <w:b w:val="0"/>
                <w:sz w:val="16"/>
              </w:rPr>
              <w:t>Datos, unidades, versiones y trazabilidad.</w:t>
            </w:r>
          </w:p>
        </w:tc>
      </w:tr>
      <w:tr>
        <w:trPr>
          <w:cantSplit/>
        </w:trPr>
        <w:tc>
          <w:tcPr>
            <w:tcW w:type="dxa" w:w="1587"/>
            <w:vAlign w:val="center"/>
            <w:shd w:fill="F2F2F2"/>
          </w:tcPr>
          <w:p>
            <w:pPr>
              <w:spacing w:after="0"/>
            </w:pPr>
            <w:r/>
            <w:r>
              <w:rPr>
                <w:rFonts w:ascii="Arial" w:hAnsi="Arial"/>
                <w:b w:val="0"/>
                <w:sz w:val="16"/>
              </w:rPr>
              <w:t>031-070</w:t>
            </w:r>
          </w:p>
        </w:tc>
        <w:tc>
          <w:tcPr>
            <w:tcW w:type="dxa" w:w="8050"/>
            <w:vAlign w:val="center"/>
            <w:shd w:fill="F2F2F2"/>
          </w:tcPr>
          <w:p>
            <w:pPr>
              <w:spacing w:after="0"/>
            </w:pPr>
            <w:r/>
            <w:r>
              <w:rPr>
                <w:rFonts w:ascii="Arial" w:hAnsi="Arial"/>
                <w:b w:val="0"/>
                <w:sz w:val="16"/>
              </w:rPr>
              <w:t>Geometría, propiedades y transformaciones.</w:t>
            </w:r>
          </w:p>
        </w:tc>
      </w:tr>
      <w:tr>
        <w:trPr>
          <w:cantSplit/>
        </w:trPr>
        <w:tc>
          <w:tcPr>
            <w:tcW w:type="dxa" w:w="1587"/>
            <w:vAlign w:val="center"/>
          </w:tcPr>
          <w:p>
            <w:pPr>
              <w:spacing w:after="0"/>
            </w:pPr>
            <w:r/>
            <w:r>
              <w:rPr>
                <w:rFonts w:ascii="Arial" w:hAnsi="Arial"/>
                <w:b w:val="0"/>
                <w:sz w:val="16"/>
              </w:rPr>
              <w:t>071-120</w:t>
            </w:r>
          </w:p>
        </w:tc>
        <w:tc>
          <w:tcPr>
            <w:tcW w:type="dxa" w:w="8050"/>
            <w:vAlign w:val="center"/>
          </w:tcPr>
          <w:p>
            <w:pPr>
              <w:spacing w:after="0"/>
            </w:pPr>
            <w:r/>
            <w:r>
              <w:rPr>
                <w:rFonts w:ascii="Arial" w:hAnsi="Arial"/>
                <w:b w:val="0"/>
                <w:sz w:val="16"/>
              </w:rPr>
              <w:t>Acciones, combinaciones y solver global.</w:t>
            </w:r>
          </w:p>
        </w:tc>
      </w:tr>
      <w:tr>
        <w:trPr>
          <w:cantSplit/>
        </w:trPr>
        <w:tc>
          <w:tcPr>
            <w:tcW w:type="dxa" w:w="1587"/>
            <w:vAlign w:val="center"/>
            <w:shd w:fill="F2F2F2"/>
          </w:tcPr>
          <w:p>
            <w:pPr>
              <w:spacing w:after="0"/>
            </w:pPr>
            <w:r/>
            <w:r>
              <w:rPr>
                <w:rFonts w:ascii="Arial" w:hAnsi="Arial"/>
                <w:b w:val="0"/>
                <w:sz w:val="16"/>
              </w:rPr>
              <w:t>121-160</w:t>
            </w:r>
          </w:p>
        </w:tc>
        <w:tc>
          <w:tcPr>
            <w:tcW w:type="dxa" w:w="8050"/>
            <w:vAlign w:val="center"/>
            <w:shd w:fill="F2F2F2"/>
          </w:tcPr>
          <w:p>
            <w:pPr>
              <w:spacing w:after="0"/>
            </w:pPr>
            <w:r/>
            <w:r>
              <w:rPr>
                <w:rFonts w:ascii="Arial" w:hAnsi="Arial"/>
                <w:b w:val="0"/>
                <w:sz w:val="16"/>
              </w:rPr>
              <w:t>Acero, aluminio y hormigón.</w:t>
            </w:r>
          </w:p>
        </w:tc>
      </w:tr>
      <w:tr>
        <w:trPr>
          <w:cantSplit/>
        </w:trPr>
        <w:tc>
          <w:tcPr>
            <w:tcW w:type="dxa" w:w="1587"/>
            <w:vAlign w:val="center"/>
          </w:tcPr>
          <w:p>
            <w:pPr>
              <w:spacing w:after="0"/>
            </w:pPr>
            <w:r/>
            <w:r>
              <w:rPr>
                <w:rFonts w:ascii="Arial" w:hAnsi="Arial"/>
                <w:b w:val="0"/>
                <w:sz w:val="16"/>
              </w:rPr>
              <w:t>161-195</w:t>
            </w:r>
          </w:p>
        </w:tc>
        <w:tc>
          <w:tcPr>
            <w:tcW w:type="dxa" w:w="8050"/>
            <w:vAlign w:val="center"/>
          </w:tcPr>
          <w:p>
            <w:pPr>
              <w:spacing w:after="0"/>
            </w:pPr>
            <w:r/>
            <w:r>
              <w:rPr>
                <w:rFonts w:ascii="Arial" w:hAnsi="Arial"/>
                <w:b w:val="0"/>
                <w:sz w:val="16"/>
              </w:rPr>
              <w:t>Puertas, uniones, base y cimentación.</w:t>
            </w:r>
          </w:p>
        </w:tc>
      </w:tr>
      <w:tr>
        <w:trPr>
          <w:cantSplit/>
        </w:trPr>
        <w:tc>
          <w:tcPr>
            <w:tcW w:type="dxa" w:w="1587"/>
            <w:vAlign w:val="center"/>
            <w:shd w:fill="F2F2F2"/>
          </w:tcPr>
          <w:p>
            <w:pPr>
              <w:spacing w:after="0"/>
            </w:pPr>
            <w:r/>
            <w:r>
              <w:rPr>
                <w:rFonts w:ascii="Arial" w:hAnsi="Arial"/>
                <w:b w:val="0"/>
                <w:sz w:val="16"/>
              </w:rPr>
              <w:t>196-225</w:t>
            </w:r>
          </w:p>
        </w:tc>
        <w:tc>
          <w:tcPr>
            <w:tcW w:type="dxa" w:w="8050"/>
            <w:vAlign w:val="center"/>
            <w:shd w:fill="F2F2F2"/>
          </w:tcPr>
          <w:p>
            <w:pPr>
              <w:spacing w:after="0"/>
            </w:pPr>
            <w:r/>
            <w:r>
              <w:rPr>
                <w:rFonts w:ascii="Arial" w:hAnsi="Arial"/>
                <w:b w:val="0"/>
                <w:sz w:val="16"/>
              </w:rPr>
              <w:t>Catálogo, optimización, CAD/BOM e informes.</w:t>
            </w:r>
          </w:p>
        </w:tc>
      </w:tr>
      <w:tr>
        <w:trPr>
          <w:cantSplit/>
        </w:trPr>
        <w:tc>
          <w:tcPr>
            <w:tcW w:type="dxa" w:w="1587"/>
            <w:vAlign w:val="center"/>
          </w:tcPr>
          <w:p>
            <w:pPr>
              <w:spacing w:after="0"/>
            </w:pPr>
            <w:r/>
            <w:r>
              <w:rPr>
                <w:rFonts w:ascii="Arial" w:hAnsi="Arial"/>
                <w:b w:val="0"/>
                <w:sz w:val="16"/>
              </w:rPr>
              <w:t>226-255</w:t>
            </w:r>
          </w:p>
        </w:tc>
        <w:tc>
          <w:tcPr>
            <w:tcW w:type="dxa" w:w="8050"/>
            <w:vAlign w:val="center"/>
          </w:tcPr>
          <w:p>
            <w:pPr>
              <w:spacing w:after="0"/>
            </w:pPr>
            <w:r/>
            <w:r>
              <w:rPr>
                <w:rFonts w:ascii="Arial" w:hAnsi="Arial"/>
                <w:b w:val="0"/>
                <w:sz w:val="16"/>
              </w:rPr>
              <w:t>Catenarias, DXF/mapa, tensiones y resultantes.</w:t>
            </w:r>
          </w:p>
        </w:tc>
      </w:tr>
      <w:tr>
        <w:trPr>
          <w:cantSplit/>
        </w:trPr>
        <w:tc>
          <w:tcPr>
            <w:tcW w:type="dxa" w:w="1587"/>
            <w:vAlign w:val="center"/>
            <w:shd w:fill="F2F2F2"/>
          </w:tcPr>
          <w:p>
            <w:pPr>
              <w:spacing w:after="0"/>
            </w:pPr>
            <w:r/>
            <w:r>
              <w:rPr>
                <w:rFonts w:ascii="Arial" w:hAnsi="Arial"/>
                <w:b w:val="0"/>
                <w:sz w:val="16"/>
              </w:rPr>
              <w:t>256-280</w:t>
            </w:r>
          </w:p>
        </w:tc>
        <w:tc>
          <w:tcPr>
            <w:tcW w:type="dxa" w:w="8050"/>
            <w:vAlign w:val="center"/>
            <w:shd w:fill="F2F2F2"/>
          </w:tcPr>
          <w:p>
            <w:pPr>
              <w:spacing w:after="0"/>
            </w:pPr>
            <w:r/>
            <w:r>
              <w:rPr>
                <w:rFonts w:ascii="Arial" w:hAnsi="Arial"/>
                <w:b w:val="0"/>
                <w:sz w:val="16"/>
              </w:rPr>
              <w:t>Ensayos, correlación, incertidumbre y FPC.</w:t>
            </w:r>
          </w:p>
        </w:tc>
      </w:tr>
      <w:tr>
        <w:trPr>
          <w:cantSplit/>
        </w:trPr>
        <w:tc>
          <w:tcPr>
            <w:tcW w:type="dxa" w:w="1587"/>
            <w:vAlign w:val="center"/>
          </w:tcPr>
          <w:p>
            <w:pPr>
              <w:spacing w:after="0"/>
            </w:pPr>
            <w:r/>
            <w:r>
              <w:rPr>
                <w:rFonts w:ascii="Arial" w:hAnsi="Arial"/>
                <w:b w:val="0"/>
                <w:sz w:val="16"/>
              </w:rPr>
              <w:t>281-300</w:t>
            </w:r>
          </w:p>
        </w:tc>
        <w:tc>
          <w:tcPr>
            <w:tcW w:type="dxa" w:w="8050"/>
            <w:vAlign w:val="center"/>
          </w:tcPr>
          <w:p>
            <w:pPr>
              <w:spacing w:after="0"/>
            </w:pPr>
            <w:r/>
            <w:r>
              <w:rPr>
                <w:rFonts w:ascii="Arial" w:hAnsi="Arial"/>
                <w:b w:val="0"/>
                <w:sz w:val="16"/>
              </w:rPr>
              <w:t>Cambios, regresión, gates, seguridad y recuperación.</w:t>
            </w:r>
          </w:p>
        </w:tc>
      </w:tr>
    </w:tbl>
    <w:p>
      <w:pPr>
        <w:spacing w:after="20"/>
      </w:pPr>
    </w:p>
    <w:p>
      <w:pPr>
        <w:pStyle w:val="Heading2"/>
      </w:pPr>
      <w:r>
        <w:t>28.1 Casos físicos mínimos</w:t>
      </w:r>
    </w:p>
    <w:p>
      <w:pPr>
        <w:pStyle w:val="ListBullet"/>
        <w:spacing w:after="40"/>
      </w:pPr>
      <w:r>
        <w:t>Columna de acero con puerta y placa base.</w:t>
      </w:r>
    </w:p>
    <w:p>
      <w:pPr>
        <w:pStyle w:val="ListBullet"/>
        <w:spacing w:after="40"/>
      </w:pPr>
      <w:r>
        <w:t>Columna de acero segmentada con unión telescópica o embridada.</w:t>
      </w:r>
    </w:p>
    <w:p>
      <w:pPr>
        <w:pStyle w:val="ListBullet"/>
        <w:spacing w:after="40"/>
      </w:pPr>
      <w:r>
        <w:t>Columna de aluminio extrusionado con soldaduras representativas.</w:t>
      </w:r>
    </w:p>
    <w:p>
      <w:pPr>
        <w:pStyle w:val="ListBullet"/>
        <w:spacing w:after="40"/>
      </w:pPr>
      <w:r>
        <w:t>Columna de aluminio 5083 plegada con HAZ y refuerzo de puerta.</w:t>
      </w:r>
    </w:p>
    <w:p>
      <w:pPr>
        <w:pStyle w:val="ListBullet"/>
        <w:spacing w:after="40"/>
      </w:pPr>
      <w:r>
        <w:t>Columna de hormigón pretensado centrifugado con varias etapas.</w:t>
      </w:r>
    </w:p>
    <w:p>
      <w:pPr>
        <w:pStyle w:val="ListBullet"/>
        <w:spacing w:after="40"/>
      </w:pPr>
      <w:r>
        <w:t>Base y anclajes con combinación biaxial y torsión.</w:t>
      </w:r>
    </w:p>
    <w:p>
      <w:pPr>
        <w:pStyle w:val="ListBullet"/>
        <w:spacing w:after="40"/>
      </w:pPr>
      <w:r>
        <w:t>Conjunto catenaria con varios cables y luminarias.</w:t>
      </w:r>
    </w:p>
    <w:p>
      <w:pPr>
        <w:pStyle w:val="ListBullet"/>
        <w:spacing w:after="40"/>
      </w:pPr>
      <w:r>
        <w:t>Caso de fatiga o dinámica representativo.</w:t>
      </w:r>
    </w:p>
    <w:p>
      <w:pPr>
        <w:pStyle w:val="ListBullet"/>
        <w:spacing w:after="40"/>
      </w:pPr>
      <w:r>
        <w:t>Prototipo de fabricación con FAI completo.</w:t>
      </w:r>
    </w:p>
    <w:p>
      <w:pPr>
        <w:pStyle w:val="ListBullet"/>
        <w:spacing w:after="40"/>
      </w:pPr>
      <w:r>
        <w:t>Caso as-built que cierre cálculo, CAD, BOM y medición.</w:t>
      </w:r>
    </w:p>
    <w:p>
      <w:r>
        <w:br w:type="page"/>
      </w:r>
    </w:p>
    <w:p>
      <w:pPr>
        <w:pStyle w:val="Heading1"/>
      </w:pPr>
      <w:r>
        <w:t>29. Roadmap de implementación</w:t>
      </w:r>
    </w:p>
    <w:tbl>
      <w:tblPr>
        <w:tblStyle w:val="TableGrid"/>
        <w:tblW w:type="auto" w:w="0"/>
        <w:jc w:val="center"/>
        <w:tblLook w:firstColumn="1" w:firstRow="1" w:lastColumn="0" w:lastRow="0" w:noHBand="0" w:noVBand="1" w:val="04A0"/>
      </w:tblPr>
      <w:tblGrid>
        <w:gridCol w:w="5043"/>
        <w:gridCol w:w="5043"/>
      </w:tblGrid>
      <w:tr>
        <w:trPr>
          <w:tblHeader/>
          <w:cantSplit/>
        </w:trPr>
        <w:tc>
          <w:tcPr>
            <w:tcW w:type="dxa" w:w="1361"/>
            <w:vAlign w:val="center"/>
            <w:shd w:fill="262626"/>
          </w:tcPr>
          <w:p>
            <w:pPr>
              <w:spacing w:after="0"/>
            </w:pPr>
            <w:r/>
            <w:r>
              <w:rPr>
                <w:rFonts w:ascii="Arial" w:hAnsi="Arial"/>
                <w:b/>
                <w:color w:val="FFFFFF"/>
                <w:sz w:val="16"/>
              </w:rPr>
              <w:t>Iteración</w:t>
            </w:r>
          </w:p>
        </w:tc>
        <w:tc>
          <w:tcPr>
            <w:tcW w:type="dxa" w:w="8277"/>
            <w:vAlign w:val="center"/>
            <w:shd w:fill="262626"/>
          </w:tcPr>
          <w:p>
            <w:pPr>
              <w:spacing w:after="0"/>
            </w:pPr>
            <w:r/>
            <w:r>
              <w:rPr>
                <w:rFonts w:ascii="Arial" w:hAnsi="Arial"/>
                <w:b/>
                <w:color w:val="FFFFFF"/>
                <w:sz w:val="16"/>
              </w:rPr>
              <w:t>Resultado</w:t>
            </w:r>
          </w:p>
        </w:tc>
      </w:tr>
      <w:tr>
        <w:trPr>
          <w:cantSplit/>
        </w:trPr>
        <w:tc>
          <w:tcPr>
            <w:tcW w:type="dxa" w:w="1361"/>
            <w:vAlign w:val="center"/>
          </w:tcPr>
          <w:p>
            <w:pPr>
              <w:spacing w:after="0"/>
            </w:pPr>
            <w:r/>
            <w:r>
              <w:rPr>
                <w:rFonts w:ascii="Arial" w:hAnsi="Arial"/>
                <w:b w:val="0"/>
                <w:sz w:val="16"/>
              </w:rPr>
              <w:t>17.1</w:t>
            </w:r>
          </w:p>
        </w:tc>
        <w:tc>
          <w:tcPr>
            <w:tcW w:type="dxa" w:w="8277"/>
            <w:vAlign w:val="center"/>
          </w:tcPr>
          <w:p>
            <w:pPr>
              <w:spacing w:after="0"/>
            </w:pPr>
            <w:r/>
            <w:r>
              <w:rPr>
                <w:rFonts w:ascii="Arial" w:hAnsi="Arial"/>
                <w:b w:val="0"/>
                <w:sz w:val="16"/>
              </w:rPr>
              <w:t>Gobierno, VMP, FMEA y matriz de trazabilidad.</w:t>
            </w:r>
          </w:p>
        </w:tc>
      </w:tr>
      <w:tr>
        <w:trPr>
          <w:cantSplit/>
        </w:trPr>
        <w:tc>
          <w:tcPr>
            <w:tcW w:type="dxa" w:w="1361"/>
            <w:vAlign w:val="center"/>
            <w:shd w:fill="F2F2F2"/>
          </w:tcPr>
          <w:p>
            <w:pPr>
              <w:spacing w:after="0"/>
            </w:pPr>
            <w:r/>
            <w:r>
              <w:rPr>
                <w:rFonts w:ascii="Arial" w:hAnsi="Arial"/>
                <w:b w:val="0"/>
                <w:sz w:val="16"/>
              </w:rPr>
              <w:t>17.2</w:t>
            </w:r>
          </w:p>
        </w:tc>
        <w:tc>
          <w:tcPr>
            <w:tcW w:type="dxa" w:w="8277"/>
            <w:vAlign w:val="center"/>
            <w:shd w:fill="F2F2F2"/>
          </w:tcPr>
          <w:p>
            <w:pPr>
              <w:spacing w:after="0"/>
            </w:pPr>
            <w:r/>
            <w:r>
              <w:rPr>
                <w:rFonts w:ascii="Arial" w:hAnsi="Arial"/>
                <w:b w:val="0"/>
                <w:sz w:val="16"/>
              </w:rPr>
              <w:t>Framework de pruebas unitarias, analíticas y regresión.</w:t>
            </w:r>
          </w:p>
        </w:tc>
      </w:tr>
      <w:tr>
        <w:trPr>
          <w:cantSplit/>
        </w:trPr>
        <w:tc>
          <w:tcPr>
            <w:tcW w:type="dxa" w:w="1361"/>
            <w:vAlign w:val="center"/>
          </w:tcPr>
          <w:p>
            <w:pPr>
              <w:spacing w:after="0"/>
            </w:pPr>
            <w:r/>
            <w:r>
              <w:rPr>
                <w:rFonts w:ascii="Arial" w:hAnsi="Arial"/>
                <w:b w:val="0"/>
                <w:sz w:val="16"/>
              </w:rPr>
              <w:t>17.3</w:t>
            </w:r>
          </w:p>
        </w:tc>
        <w:tc>
          <w:tcPr>
            <w:tcW w:type="dxa" w:w="8277"/>
            <w:vAlign w:val="center"/>
          </w:tcPr>
          <w:p>
            <w:pPr>
              <w:spacing w:after="0"/>
            </w:pPr>
            <w:r/>
            <w:r>
              <w:rPr>
                <w:rFonts w:ascii="Arial" w:hAnsi="Arial"/>
                <w:b w:val="0"/>
                <w:sz w:val="16"/>
              </w:rPr>
              <w:t>Comparadores externos y golden cases históricos.</w:t>
            </w:r>
          </w:p>
        </w:tc>
      </w:tr>
      <w:tr>
        <w:trPr>
          <w:cantSplit/>
        </w:trPr>
        <w:tc>
          <w:tcPr>
            <w:tcW w:type="dxa" w:w="1361"/>
            <w:vAlign w:val="center"/>
            <w:shd w:fill="F2F2F2"/>
          </w:tcPr>
          <w:p>
            <w:pPr>
              <w:spacing w:after="0"/>
            </w:pPr>
            <w:r/>
            <w:r>
              <w:rPr>
                <w:rFonts w:ascii="Arial" w:hAnsi="Arial"/>
                <w:b w:val="0"/>
                <w:sz w:val="16"/>
              </w:rPr>
              <w:t>17.4</w:t>
            </w:r>
          </w:p>
        </w:tc>
        <w:tc>
          <w:tcPr>
            <w:tcW w:type="dxa" w:w="8277"/>
            <w:vAlign w:val="center"/>
            <w:shd w:fill="F2F2F2"/>
          </w:tcPr>
          <w:p>
            <w:pPr>
              <w:spacing w:after="0"/>
            </w:pPr>
            <w:r/>
            <w:r>
              <w:rPr>
                <w:rFonts w:ascii="Arial" w:hAnsi="Arial"/>
                <w:b w:val="0"/>
                <w:sz w:val="16"/>
              </w:rPr>
              <w:t>Gestión de laboratorio, instrumentación y datos brutos.</w:t>
            </w:r>
          </w:p>
        </w:tc>
      </w:tr>
      <w:tr>
        <w:trPr>
          <w:cantSplit/>
        </w:trPr>
        <w:tc>
          <w:tcPr>
            <w:tcW w:type="dxa" w:w="1361"/>
            <w:vAlign w:val="center"/>
          </w:tcPr>
          <w:p>
            <w:pPr>
              <w:spacing w:after="0"/>
            </w:pPr>
            <w:r/>
            <w:r>
              <w:rPr>
                <w:rFonts w:ascii="Arial" w:hAnsi="Arial"/>
                <w:b w:val="0"/>
                <w:sz w:val="16"/>
              </w:rPr>
              <w:t>17.5</w:t>
            </w:r>
          </w:p>
        </w:tc>
        <w:tc>
          <w:tcPr>
            <w:tcW w:type="dxa" w:w="8277"/>
            <w:vAlign w:val="center"/>
          </w:tcPr>
          <w:p>
            <w:pPr>
              <w:spacing w:after="0"/>
            </w:pPr>
            <w:r/>
            <w:r>
              <w:rPr>
                <w:rFonts w:ascii="Arial" w:hAnsi="Arial"/>
                <w:b w:val="0"/>
                <w:sz w:val="16"/>
              </w:rPr>
              <w:t>Motor de correlación e incertidumbre.</w:t>
            </w:r>
          </w:p>
        </w:tc>
      </w:tr>
      <w:tr>
        <w:trPr>
          <w:cantSplit/>
        </w:trPr>
        <w:tc>
          <w:tcPr>
            <w:tcW w:type="dxa" w:w="1361"/>
            <w:vAlign w:val="center"/>
            <w:shd w:fill="F2F2F2"/>
          </w:tcPr>
          <w:p>
            <w:pPr>
              <w:spacing w:after="0"/>
            </w:pPr>
            <w:r/>
            <w:r>
              <w:rPr>
                <w:rFonts w:ascii="Arial" w:hAnsi="Arial"/>
                <w:b w:val="0"/>
                <w:sz w:val="16"/>
              </w:rPr>
              <w:t>17.6</w:t>
            </w:r>
          </w:p>
        </w:tc>
        <w:tc>
          <w:tcPr>
            <w:tcW w:type="dxa" w:w="8277"/>
            <w:vAlign w:val="center"/>
            <w:shd w:fill="F2F2F2"/>
          </w:tcPr>
          <w:p>
            <w:pPr>
              <w:spacing w:after="0"/>
            </w:pPr>
            <w:r/>
            <w:r>
              <w:rPr>
                <w:rFonts w:ascii="Arial" w:hAnsi="Arial"/>
                <w:b w:val="0"/>
                <w:sz w:val="16"/>
              </w:rPr>
              <w:t>Cualificación de familias y reglas de extensión.</w:t>
            </w:r>
          </w:p>
        </w:tc>
      </w:tr>
      <w:tr>
        <w:trPr>
          <w:cantSplit/>
        </w:trPr>
        <w:tc>
          <w:tcPr>
            <w:tcW w:type="dxa" w:w="1361"/>
            <w:vAlign w:val="center"/>
          </w:tcPr>
          <w:p>
            <w:pPr>
              <w:spacing w:after="0"/>
            </w:pPr>
            <w:r/>
            <w:r>
              <w:rPr>
                <w:rFonts w:ascii="Arial" w:hAnsi="Arial"/>
                <w:b w:val="0"/>
                <w:sz w:val="16"/>
              </w:rPr>
              <w:t>17.7</w:t>
            </w:r>
          </w:p>
        </w:tc>
        <w:tc>
          <w:tcPr>
            <w:tcW w:type="dxa" w:w="8277"/>
            <w:vAlign w:val="center"/>
          </w:tcPr>
          <w:p>
            <w:pPr>
              <w:spacing w:after="0"/>
            </w:pPr>
            <w:r/>
            <w:r>
              <w:rPr>
                <w:rFonts w:ascii="Arial" w:hAnsi="Arial"/>
                <w:b w:val="0"/>
                <w:sz w:val="16"/>
              </w:rPr>
              <w:t>FAI, FPC y validación de subcontratistas.</w:t>
            </w:r>
          </w:p>
        </w:tc>
      </w:tr>
      <w:tr>
        <w:trPr>
          <w:cantSplit/>
        </w:trPr>
        <w:tc>
          <w:tcPr>
            <w:tcW w:type="dxa" w:w="1361"/>
            <w:vAlign w:val="center"/>
            <w:shd w:fill="F2F2F2"/>
          </w:tcPr>
          <w:p>
            <w:pPr>
              <w:spacing w:after="0"/>
            </w:pPr>
            <w:r/>
            <w:r>
              <w:rPr>
                <w:rFonts w:ascii="Arial" w:hAnsi="Arial"/>
                <w:b w:val="0"/>
                <w:sz w:val="16"/>
              </w:rPr>
              <w:t>17.8</w:t>
            </w:r>
          </w:p>
        </w:tc>
        <w:tc>
          <w:tcPr>
            <w:tcW w:type="dxa" w:w="8277"/>
            <w:vAlign w:val="center"/>
            <w:shd w:fill="F2F2F2"/>
          </w:tcPr>
          <w:p>
            <w:pPr>
              <w:spacing w:after="0"/>
            </w:pPr>
            <w:r/>
            <w:r>
              <w:rPr>
                <w:rFonts w:ascii="Arial" w:hAnsi="Arial"/>
                <w:b w:val="0"/>
                <w:sz w:val="16"/>
              </w:rPr>
              <w:t>Validación CAD-BOM-informes y expediente técnico.</w:t>
            </w:r>
          </w:p>
        </w:tc>
      </w:tr>
      <w:tr>
        <w:trPr>
          <w:cantSplit/>
        </w:trPr>
        <w:tc>
          <w:tcPr>
            <w:tcW w:type="dxa" w:w="1361"/>
            <w:vAlign w:val="center"/>
          </w:tcPr>
          <w:p>
            <w:pPr>
              <w:spacing w:after="0"/>
            </w:pPr>
            <w:r/>
            <w:r>
              <w:rPr>
                <w:rFonts w:ascii="Arial" w:hAnsi="Arial"/>
                <w:b w:val="0"/>
                <w:sz w:val="16"/>
              </w:rPr>
              <w:t>17.9</w:t>
            </w:r>
          </w:p>
        </w:tc>
        <w:tc>
          <w:tcPr>
            <w:tcW w:type="dxa" w:w="8277"/>
            <w:vAlign w:val="center"/>
          </w:tcPr>
          <w:p>
            <w:pPr>
              <w:spacing w:after="0"/>
            </w:pPr>
            <w:r/>
            <w:r>
              <w:rPr>
                <w:rFonts w:ascii="Arial" w:hAnsi="Arial"/>
                <w:b w:val="0"/>
                <w:sz w:val="16"/>
              </w:rPr>
              <w:t>Gates, firmas, impacto de cambios y CAPA.</w:t>
            </w:r>
          </w:p>
        </w:tc>
      </w:tr>
      <w:tr>
        <w:trPr>
          <w:cantSplit/>
        </w:trPr>
        <w:tc>
          <w:tcPr>
            <w:tcW w:type="dxa" w:w="1361"/>
            <w:vAlign w:val="center"/>
            <w:shd w:fill="F2F2F2"/>
          </w:tcPr>
          <w:p>
            <w:pPr>
              <w:spacing w:after="0"/>
            </w:pPr>
            <w:r/>
            <w:r>
              <w:rPr>
                <w:rFonts w:ascii="Arial" w:hAnsi="Arial"/>
                <w:b w:val="0"/>
                <w:sz w:val="16"/>
              </w:rPr>
              <w:t>17.10</w:t>
            </w:r>
          </w:p>
        </w:tc>
        <w:tc>
          <w:tcPr>
            <w:tcW w:type="dxa" w:w="8277"/>
            <w:vAlign w:val="center"/>
            <w:shd w:fill="F2F2F2"/>
          </w:tcPr>
          <w:p>
            <w:pPr>
              <w:spacing w:after="0"/>
            </w:pPr>
            <w:r/>
            <w:r>
              <w:rPr>
                <w:rFonts w:ascii="Arial" w:hAnsi="Arial"/>
                <w:b w:val="0"/>
                <w:sz w:val="16"/>
              </w:rPr>
              <w:t>Campaña piloto completa y liberación V4.</w:t>
            </w:r>
          </w:p>
        </w:tc>
      </w:tr>
    </w:tbl>
    <w:p>
      <w:pPr>
        <w:spacing w:after="20"/>
      </w:pPr>
    </w:p>
    <w:p>
      <w:pPr>
        <w:pStyle w:val="Heading2"/>
      </w:pPr>
      <w:r>
        <w:t>29.1 Orden obligatorio</w:t>
      </w:r>
    </w:p>
    <w:p>
      <w:r>
        <w:t>No se comenzará la campaña física de escala real sin cerrar previamente entradas, casos analíticos, instrumentación, seguridad y criterios de aceptación. Tampoco se liberará una familia por disponer de un ensayo favorable si faltan FPC, dominio y trazabilidad.</w:t>
      </w:r>
    </w:p>
    <w:p>
      <w:pPr>
        <w:pStyle w:val="Heading1"/>
      </w:pPr>
      <w:r>
        <w:t>30. Entregables</w:t>
      </w:r>
    </w:p>
    <w:p>
      <w:pPr>
        <w:pStyle w:val="ListBullet"/>
        <w:spacing w:after="40"/>
      </w:pPr>
      <w:r>
        <w:t>Validation Master Plan aprobado.</w:t>
      </w:r>
    </w:p>
    <w:p>
      <w:pPr>
        <w:pStyle w:val="ListBullet"/>
        <w:spacing w:after="40"/>
      </w:pPr>
      <w:r>
        <w:t>Matriz normativa y de trazabilidad completa.</w:t>
      </w:r>
    </w:p>
    <w:p>
      <w:pPr>
        <w:pStyle w:val="ListBullet"/>
        <w:spacing w:after="40"/>
      </w:pPr>
      <w:r>
        <w:t>Suite automatizada de pruebas y golden cases.</w:t>
      </w:r>
    </w:p>
    <w:p>
      <w:pPr>
        <w:pStyle w:val="ListBullet"/>
        <w:spacing w:after="40"/>
      </w:pPr>
      <w:r>
        <w:t>Repositorio controlado de datasets de ensayo.</w:t>
      </w:r>
    </w:p>
    <w:p>
      <w:pPr>
        <w:pStyle w:val="ListBullet"/>
        <w:spacing w:after="40"/>
      </w:pPr>
      <w:r>
        <w:t>Informes de comparación y correlación.</w:t>
      </w:r>
    </w:p>
    <w:p>
      <w:pPr>
        <w:pStyle w:val="ListBullet"/>
        <w:spacing w:after="40"/>
      </w:pPr>
      <w:r>
        <w:t>Presupuestos de incertidumbre y certificados de calibración.</w:t>
      </w:r>
    </w:p>
    <w:p>
      <w:pPr>
        <w:pStyle w:val="ListBullet"/>
        <w:spacing w:after="40"/>
      </w:pPr>
      <w:r>
        <w:t>Expedientes de cualificación por módulo y familia.</w:t>
      </w:r>
    </w:p>
    <w:p>
      <w:pPr>
        <w:pStyle w:val="ListBullet"/>
        <w:spacing w:after="40"/>
      </w:pPr>
      <w:r>
        <w:t>Procedimientos FAI, FPC y auditoría de proveedor.</w:t>
      </w:r>
    </w:p>
    <w:p>
      <w:pPr>
        <w:pStyle w:val="ListBullet"/>
        <w:spacing w:after="40"/>
      </w:pPr>
      <w:r>
        <w:t>Panel de madurez y gates de liberación.</w:t>
      </w:r>
    </w:p>
    <w:p>
      <w:pPr>
        <w:pStyle w:val="ListBullet"/>
        <w:spacing w:after="40"/>
      </w:pPr>
      <w:r>
        <w:t>Expediente técnico y registro de certificaciones.</w:t>
      </w:r>
    </w:p>
    <w:p>
      <w:pPr>
        <w:pStyle w:val="ListBullet"/>
        <w:spacing w:after="40"/>
      </w:pPr>
      <w:r>
        <w:t>Informe de riesgos residuales y límites de uso.</w:t>
      </w:r>
    </w:p>
    <w:p>
      <w:pPr>
        <w:pStyle w:val="ListBullet"/>
        <w:spacing w:after="40"/>
      </w:pPr>
      <w:r>
        <w:t>Plan de mantenimiento, revalidación y vigilancia de campo.</w:t>
      </w:r>
    </w:p>
    <w:p>
      <w:pPr>
        <w:pStyle w:val="Heading1"/>
      </w:pPr>
      <w:r>
        <w:t>31. Criterios de cierre de la Fase 17</w:t>
      </w:r>
    </w:p>
    <w:tbl>
      <w:tblPr>
        <w:tblStyle w:val="TableGrid"/>
        <w:tblW w:type="auto" w:w="0"/>
        <w:jc w:val="center"/>
        <w:tblLook w:firstColumn="1" w:firstRow="1" w:lastColumn="0" w:lastRow="0" w:noHBand="0" w:noVBand="1" w:val="04A0"/>
      </w:tblPr>
      <w:tblGrid>
        <w:gridCol w:w="5043"/>
        <w:gridCol w:w="5043"/>
      </w:tblGrid>
      <w:tr>
        <w:trPr>
          <w:tblHeader/>
          <w:cantSplit/>
        </w:trPr>
        <w:tc>
          <w:tcPr>
            <w:tcW w:type="dxa" w:w="2268"/>
            <w:vAlign w:val="center"/>
            <w:shd w:fill="262626"/>
          </w:tcPr>
          <w:p>
            <w:pPr>
              <w:spacing w:after="0"/>
            </w:pPr>
            <w:r/>
            <w:r>
              <w:rPr>
                <w:rFonts w:ascii="Arial" w:hAnsi="Arial"/>
                <w:b/>
                <w:color w:val="FFFFFF"/>
                <w:sz w:val="16"/>
              </w:rPr>
              <w:t>Criterio</w:t>
            </w:r>
          </w:p>
        </w:tc>
        <w:tc>
          <w:tcPr>
            <w:tcW w:type="dxa" w:w="7370"/>
            <w:vAlign w:val="center"/>
            <w:shd w:fill="262626"/>
          </w:tcPr>
          <w:p>
            <w:pPr>
              <w:spacing w:after="0"/>
            </w:pPr>
            <w:r/>
            <w:r>
              <w:rPr>
                <w:rFonts w:ascii="Arial" w:hAnsi="Arial"/>
                <w:b/>
                <w:color w:val="FFFFFF"/>
                <w:sz w:val="16"/>
              </w:rPr>
              <w:t>Condición de cierre</w:t>
            </w:r>
          </w:p>
        </w:tc>
      </w:tr>
      <w:tr>
        <w:trPr>
          <w:cantSplit/>
        </w:trPr>
        <w:tc>
          <w:tcPr>
            <w:tcW w:type="dxa" w:w="2268"/>
            <w:vAlign w:val="center"/>
          </w:tcPr>
          <w:p>
            <w:pPr>
              <w:spacing w:after="0"/>
            </w:pPr>
            <w:r/>
            <w:r>
              <w:rPr>
                <w:rFonts w:ascii="Arial" w:hAnsi="Arial"/>
                <w:b w:val="0"/>
                <w:sz w:val="16"/>
              </w:rPr>
              <w:t>Requisitos</w:t>
            </w:r>
          </w:p>
        </w:tc>
        <w:tc>
          <w:tcPr>
            <w:tcW w:type="dxa" w:w="7370"/>
            <w:vAlign w:val="center"/>
          </w:tcPr>
          <w:p>
            <w:pPr>
              <w:spacing w:after="0"/>
            </w:pPr>
            <w:r/>
            <w:r>
              <w:rPr>
                <w:rFonts w:ascii="Arial" w:hAnsi="Arial"/>
                <w:b w:val="0"/>
                <w:sz w:val="16"/>
              </w:rPr>
              <w:t>100 % de C4-C5 trazados y aprobados.</w:t>
            </w:r>
          </w:p>
        </w:tc>
      </w:tr>
      <w:tr>
        <w:trPr>
          <w:cantSplit/>
        </w:trPr>
        <w:tc>
          <w:tcPr>
            <w:tcW w:type="dxa" w:w="2268"/>
            <w:vAlign w:val="center"/>
            <w:shd w:fill="F2F2F2"/>
          </w:tcPr>
          <w:p>
            <w:pPr>
              <w:spacing w:after="0"/>
            </w:pPr>
            <w:r/>
            <w:r>
              <w:rPr>
                <w:rFonts w:ascii="Arial" w:hAnsi="Arial"/>
                <w:b w:val="0"/>
                <w:sz w:val="16"/>
              </w:rPr>
              <w:t>Software</w:t>
            </w:r>
          </w:p>
        </w:tc>
        <w:tc>
          <w:tcPr>
            <w:tcW w:type="dxa" w:w="7370"/>
            <w:vAlign w:val="center"/>
            <w:shd w:fill="F2F2F2"/>
          </w:tcPr>
          <w:p>
            <w:pPr>
              <w:spacing w:after="0"/>
            </w:pPr>
            <w:r/>
            <w:r>
              <w:rPr>
                <w:rFonts w:ascii="Arial" w:hAnsi="Arial"/>
                <w:b w:val="0"/>
                <w:sz w:val="16"/>
              </w:rPr>
              <w:t>Suites críticas aprobadas y regresión estable.</w:t>
            </w:r>
          </w:p>
        </w:tc>
      </w:tr>
      <w:tr>
        <w:trPr>
          <w:cantSplit/>
        </w:trPr>
        <w:tc>
          <w:tcPr>
            <w:tcW w:type="dxa" w:w="2268"/>
            <w:vAlign w:val="center"/>
          </w:tcPr>
          <w:p>
            <w:pPr>
              <w:spacing w:after="0"/>
            </w:pPr>
            <w:r/>
            <w:r>
              <w:rPr>
                <w:rFonts w:ascii="Arial" w:hAnsi="Arial"/>
                <w:b w:val="0"/>
                <w:sz w:val="16"/>
              </w:rPr>
              <w:t>Independencia</w:t>
            </w:r>
          </w:p>
        </w:tc>
        <w:tc>
          <w:tcPr>
            <w:tcW w:type="dxa" w:w="7370"/>
            <w:vAlign w:val="center"/>
          </w:tcPr>
          <w:p>
            <w:pPr>
              <w:spacing w:after="0"/>
            </w:pPr>
            <w:r/>
            <w:r>
              <w:rPr>
                <w:rFonts w:ascii="Arial" w:hAnsi="Arial"/>
                <w:b w:val="0"/>
                <w:sz w:val="16"/>
              </w:rPr>
              <w:t>Comparaciones externas cerradas.</w:t>
            </w:r>
          </w:p>
        </w:tc>
      </w:tr>
      <w:tr>
        <w:trPr>
          <w:cantSplit/>
        </w:trPr>
        <w:tc>
          <w:tcPr>
            <w:tcW w:type="dxa" w:w="2268"/>
            <w:vAlign w:val="center"/>
            <w:shd w:fill="F2F2F2"/>
          </w:tcPr>
          <w:p>
            <w:pPr>
              <w:spacing w:after="0"/>
            </w:pPr>
            <w:r/>
            <w:r>
              <w:rPr>
                <w:rFonts w:ascii="Arial" w:hAnsi="Arial"/>
                <w:b w:val="0"/>
                <w:sz w:val="16"/>
              </w:rPr>
              <w:t>Ensayos</w:t>
            </w:r>
          </w:p>
        </w:tc>
        <w:tc>
          <w:tcPr>
            <w:tcW w:type="dxa" w:w="7370"/>
            <w:vAlign w:val="center"/>
            <w:shd w:fill="F2F2F2"/>
          </w:tcPr>
          <w:p>
            <w:pPr>
              <w:spacing w:after="0"/>
            </w:pPr>
            <w:r/>
            <w:r>
              <w:rPr>
                <w:rFonts w:ascii="Arial" w:hAnsi="Arial"/>
                <w:b w:val="0"/>
                <w:sz w:val="16"/>
              </w:rPr>
              <w:t>Campañas representativas completadas o plan aprobado por dominio.</w:t>
            </w:r>
          </w:p>
        </w:tc>
      </w:tr>
      <w:tr>
        <w:trPr>
          <w:cantSplit/>
        </w:trPr>
        <w:tc>
          <w:tcPr>
            <w:tcW w:type="dxa" w:w="2268"/>
            <w:vAlign w:val="center"/>
          </w:tcPr>
          <w:p>
            <w:pPr>
              <w:spacing w:after="0"/>
            </w:pPr>
            <w:r/>
            <w:r>
              <w:rPr>
                <w:rFonts w:ascii="Arial" w:hAnsi="Arial"/>
                <w:b w:val="0"/>
                <w:sz w:val="16"/>
              </w:rPr>
              <w:t>Correlación</w:t>
            </w:r>
          </w:p>
        </w:tc>
        <w:tc>
          <w:tcPr>
            <w:tcW w:type="dxa" w:w="7370"/>
            <w:vAlign w:val="center"/>
          </w:tcPr>
          <w:p>
            <w:pPr>
              <w:spacing w:after="0"/>
            </w:pPr>
            <w:r/>
            <w:r>
              <w:rPr>
                <w:rFonts w:ascii="Arial" w:hAnsi="Arial"/>
                <w:b w:val="0"/>
                <w:sz w:val="16"/>
              </w:rPr>
              <w:t>Discrepancias explicadas y factores de modelo aprobados.</w:t>
            </w:r>
          </w:p>
        </w:tc>
      </w:tr>
      <w:tr>
        <w:trPr>
          <w:cantSplit/>
        </w:trPr>
        <w:tc>
          <w:tcPr>
            <w:tcW w:type="dxa" w:w="2268"/>
            <w:vAlign w:val="center"/>
            <w:shd w:fill="F2F2F2"/>
          </w:tcPr>
          <w:p>
            <w:pPr>
              <w:spacing w:after="0"/>
            </w:pPr>
            <w:r/>
            <w:r>
              <w:rPr>
                <w:rFonts w:ascii="Arial" w:hAnsi="Arial"/>
                <w:b w:val="0"/>
                <w:sz w:val="16"/>
              </w:rPr>
              <w:t>Industrial</w:t>
            </w:r>
          </w:p>
        </w:tc>
        <w:tc>
          <w:tcPr>
            <w:tcW w:type="dxa" w:w="7370"/>
            <w:vAlign w:val="center"/>
            <w:shd w:fill="F2F2F2"/>
          </w:tcPr>
          <w:p>
            <w:pPr>
              <w:spacing w:after="0"/>
            </w:pPr>
            <w:r/>
            <w:r>
              <w:rPr>
                <w:rFonts w:ascii="Arial" w:hAnsi="Arial"/>
                <w:b w:val="0"/>
                <w:sz w:val="16"/>
              </w:rPr>
              <w:t>FAI y FPC operativos para familias liberadas.</w:t>
            </w:r>
          </w:p>
        </w:tc>
      </w:tr>
      <w:tr>
        <w:trPr>
          <w:cantSplit/>
        </w:trPr>
        <w:tc>
          <w:tcPr>
            <w:tcW w:type="dxa" w:w="2268"/>
            <w:vAlign w:val="center"/>
          </w:tcPr>
          <w:p>
            <w:pPr>
              <w:spacing w:after="0"/>
            </w:pPr>
            <w:r/>
            <w:r>
              <w:rPr>
                <w:rFonts w:ascii="Arial" w:hAnsi="Arial"/>
                <w:b w:val="0"/>
                <w:sz w:val="16"/>
              </w:rPr>
              <w:t>Documentación</w:t>
            </w:r>
          </w:p>
        </w:tc>
        <w:tc>
          <w:tcPr>
            <w:tcW w:type="dxa" w:w="7370"/>
            <w:vAlign w:val="center"/>
          </w:tcPr>
          <w:p>
            <w:pPr>
              <w:spacing w:after="0"/>
            </w:pPr>
            <w:r/>
            <w:r>
              <w:rPr>
                <w:rFonts w:ascii="Arial" w:hAnsi="Arial"/>
                <w:b w:val="0"/>
                <w:sz w:val="16"/>
              </w:rPr>
              <w:t>Paquetes coherentes, firmados y reproducibles.</w:t>
            </w:r>
          </w:p>
        </w:tc>
      </w:tr>
      <w:tr>
        <w:trPr>
          <w:cantSplit/>
        </w:trPr>
        <w:tc>
          <w:tcPr>
            <w:tcW w:type="dxa" w:w="2268"/>
            <w:vAlign w:val="center"/>
            <w:shd w:fill="F2F2F2"/>
          </w:tcPr>
          <w:p>
            <w:pPr>
              <w:spacing w:after="0"/>
            </w:pPr>
            <w:r/>
            <w:r>
              <w:rPr>
                <w:rFonts w:ascii="Arial" w:hAnsi="Arial"/>
                <w:b w:val="0"/>
                <w:sz w:val="16"/>
              </w:rPr>
              <w:t>Riesgo</w:t>
            </w:r>
          </w:p>
        </w:tc>
        <w:tc>
          <w:tcPr>
            <w:tcW w:type="dxa" w:w="7370"/>
            <w:vAlign w:val="center"/>
            <w:shd w:fill="F2F2F2"/>
          </w:tcPr>
          <w:p>
            <w:pPr>
              <w:spacing w:after="0"/>
            </w:pPr>
            <w:r/>
            <w:r>
              <w:rPr>
                <w:rFonts w:ascii="Arial" w:hAnsi="Arial"/>
                <w:b w:val="0"/>
                <w:sz w:val="16"/>
              </w:rPr>
              <w:t>Sin no conformidades críticas abiertas.</w:t>
            </w:r>
          </w:p>
        </w:tc>
      </w:tr>
      <w:tr>
        <w:trPr>
          <w:cantSplit/>
        </w:trPr>
        <w:tc>
          <w:tcPr>
            <w:tcW w:type="dxa" w:w="2268"/>
            <w:vAlign w:val="center"/>
          </w:tcPr>
          <w:p>
            <w:pPr>
              <w:spacing w:after="0"/>
            </w:pPr>
            <w:r/>
            <w:r>
              <w:rPr>
                <w:rFonts w:ascii="Arial" w:hAnsi="Arial"/>
                <w:b w:val="0"/>
                <w:sz w:val="16"/>
              </w:rPr>
              <w:t>Operación</w:t>
            </w:r>
          </w:p>
        </w:tc>
        <w:tc>
          <w:tcPr>
            <w:tcW w:type="dxa" w:w="7370"/>
            <w:vAlign w:val="center"/>
          </w:tcPr>
          <w:p>
            <w:pPr>
              <w:spacing w:after="0"/>
            </w:pPr>
            <w:r/>
            <w:r>
              <w:rPr>
                <w:rFonts w:ascii="Arial" w:hAnsi="Arial"/>
                <w:b w:val="0"/>
                <w:sz w:val="16"/>
              </w:rPr>
              <w:t>Soporte, revalidación y rollback disponibles.</w:t>
            </w:r>
          </w:p>
        </w:tc>
      </w:tr>
      <w:tr>
        <w:trPr>
          <w:cantSplit/>
        </w:trPr>
        <w:tc>
          <w:tcPr>
            <w:tcW w:type="dxa" w:w="2268"/>
            <w:vAlign w:val="center"/>
            <w:shd w:fill="F2F2F2"/>
          </w:tcPr>
          <w:p>
            <w:pPr>
              <w:spacing w:after="0"/>
            </w:pPr>
            <w:r/>
            <w:r>
              <w:rPr>
                <w:rFonts w:ascii="Arial" w:hAnsi="Arial"/>
                <w:b w:val="0"/>
                <w:sz w:val="16"/>
              </w:rPr>
              <w:t>Aprobación</w:t>
            </w:r>
          </w:p>
        </w:tc>
        <w:tc>
          <w:tcPr>
            <w:tcW w:type="dxa" w:w="7370"/>
            <w:vAlign w:val="center"/>
            <w:shd w:fill="F2F2F2"/>
          </w:tcPr>
          <w:p>
            <w:pPr>
              <w:spacing w:after="0"/>
            </w:pPr>
            <w:r/>
            <w:r>
              <w:rPr>
                <w:rFonts w:ascii="Arial" w:hAnsi="Arial"/>
                <w:b w:val="0"/>
                <w:sz w:val="16"/>
              </w:rPr>
              <w:t>Firma de Oficina Técnica, Calidad e IT.</w:t>
            </w:r>
          </w:p>
        </w:tc>
      </w:tr>
    </w:tbl>
    <w:p>
      <w:pPr>
        <w:spacing w:after="20"/>
      </w:pPr>
    </w:p>
    <w:p>
      <w:pPr>
        <w:pStyle w:val="Heading1"/>
      </w:pPr>
      <w:r>
        <w:t>32. Decisiones pendientes para v1.0</w:t>
      </w:r>
    </w:p>
    <w:p>
      <w:pPr>
        <w:pStyle w:val="ListBullet"/>
        <w:spacing w:after="40"/>
      </w:pPr>
      <w:r>
        <w:t>Lista definitiva de software externo de referencia y licencias.</w:t>
      </w:r>
    </w:p>
    <w:p>
      <w:pPr>
        <w:pStyle w:val="ListBullet"/>
        <w:spacing w:after="40"/>
      </w:pPr>
      <w:r>
        <w:t>Laboratorios internos/externos y alcance acreditado requerido.</w:t>
      </w:r>
    </w:p>
    <w:p>
      <w:pPr>
        <w:pStyle w:val="ListBullet"/>
        <w:spacing w:after="40"/>
      </w:pPr>
      <w:r>
        <w:t>Tolerancias cuantitativas por módulo y magnitud.</w:t>
      </w:r>
    </w:p>
    <w:p>
      <w:pPr>
        <w:pStyle w:val="ListBullet"/>
        <w:spacing w:after="40"/>
      </w:pPr>
      <w:r>
        <w:t>Familias y prototipos prioritarios para campañas físicas.</w:t>
      </w:r>
    </w:p>
    <w:p>
      <w:pPr>
        <w:pStyle w:val="ListBullet"/>
        <w:spacing w:after="40"/>
      </w:pPr>
      <w:r>
        <w:t>Periodo de retención de datos brutos, piezas y muestras.</w:t>
      </w:r>
    </w:p>
    <w:p>
      <w:pPr>
        <w:pStyle w:val="ListBullet"/>
        <w:spacing w:after="40"/>
      </w:pPr>
      <w:r>
        <w:t>Reglas de firma y aprobación de gates.</w:t>
      </w:r>
    </w:p>
    <w:p>
      <w:pPr>
        <w:pStyle w:val="ListBullet"/>
        <w:spacing w:after="40"/>
      </w:pPr>
      <w:r>
        <w:t>Sistema de gestión de calidad e integración QMS.</w:t>
      </w:r>
    </w:p>
    <w:p>
      <w:pPr>
        <w:pStyle w:val="ListBullet"/>
        <w:spacing w:after="40"/>
      </w:pPr>
      <w:r>
        <w:t>Plantillas regulatorias por mercado inicial.</w:t>
      </w:r>
    </w:p>
    <w:p>
      <w:pPr>
        <w:pStyle w:val="ListBullet"/>
        <w:spacing w:after="40"/>
      </w:pPr>
      <w:r>
        <w:t>Frecuencia de revalidación por cambios, tiempo o desempeño.</w:t>
      </w:r>
    </w:p>
    <w:p>
      <w:pPr>
        <w:pStyle w:val="ListBullet"/>
        <w:spacing w:after="40"/>
      </w:pPr>
      <w:r>
        <w:t>Estrategia de monitorización de columnas instaladas.</w:t>
      </w:r>
    </w:p>
    <w:p>
      <w:pPr>
        <w:pStyle w:val="Heading1"/>
      </w:pPr>
      <w:r>
        <w:t>Anexo A. Checklist de liberación de un módulo crítico</w:t>
      </w:r>
    </w:p>
    <w:tbl>
      <w:tblPr>
        <w:tblStyle w:val="TableGrid"/>
        <w:tblW w:type="auto" w:w="0"/>
        <w:jc w:val="center"/>
        <w:tblLook w:firstColumn="1" w:firstRow="1" w:lastColumn="0" w:lastRow="0" w:noHBand="0" w:noVBand="1" w:val="04A0"/>
      </w:tblPr>
      <w:tblGrid>
        <w:gridCol w:w="3362"/>
        <w:gridCol w:w="3362"/>
        <w:gridCol w:w="3362"/>
      </w:tblGrid>
      <w:tr>
        <w:trPr>
          <w:tblHeader/>
          <w:cantSplit/>
        </w:trPr>
        <w:tc>
          <w:tcPr>
            <w:tcW w:type="dxa" w:w="567"/>
            <w:vAlign w:val="center"/>
            <w:shd w:fill="262626"/>
          </w:tcPr>
          <w:p>
            <w:pPr>
              <w:spacing w:after="0"/>
            </w:pPr>
            <w:r/>
            <w:r>
              <w:rPr>
                <w:rFonts w:ascii="Arial" w:hAnsi="Arial"/>
                <w:b/>
                <w:color w:val="FFFFFF"/>
                <w:sz w:val="16"/>
              </w:rPr>
              <w:t>#</w:t>
            </w:r>
          </w:p>
        </w:tc>
        <w:tc>
          <w:tcPr>
            <w:tcW w:type="dxa" w:w="7937"/>
            <w:vAlign w:val="center"/>
            <w:shd w:fill="262626"/>
          </w:tcPr>
          <w:p>
            <w:pPr>
              <w:spacing w:after="0"/>
            </w:pPr>
            <w:r/>
            <w:r>
              <w:rPr>
                <w:rFonts w:ascii="Arial" w:hAnsi="Arial"/>
                <w:b/>
                <w:color w:val="FFFFFF"/>
                <w:sz w:val="16"/>
              </w:rPr>
              <w:t>Comprobación</w:t>
            </w:r>
          </w:p>
        </w:tc>
        <w:tc>
          <w:tcPr>
            <w:tcW w:type="dxa" w:w="1134"/>
            <w:vAlign w:val="center"/>
            <w:shd w:fill="262626"/>
          </w:tcPr>
          <w:p>
            <w:pPr>
              <w:spacing w:after="0"/>
            </w:pPr>
            <w:r/>
            <w:r>
              <w:rPr>
                <w:rFonts w:ascii="Arial" w:hAnsi="Arial"/>
                <w:b/>
                <w:color w:val="FFFFFF"/>
                <w:sz w:val="16"/>
              </w:rPr>
              <w:t>Estado</w:t>
            </w:r>
          </w:p>
        </w:tc>
      </w:tr>
      <w:tr>
        <w:trPr>
          <w:cantSplit/>
        </w:trPr>
        <w:tc>
          <w:tcPr>
            <w:tcW w:type="dxa" w:w="567"/>
            <w:vAlign w:val="center"/>
          </w:tcPr>
          <w:p>
            <w:pPr>
              <w:spacing w:after="0"/>
            </w:pPr>
            <w:r/>
            <w:r>
              <w:rPr>
                <w:rFonts w:ascii="Arial" w:hAnsi="Arial"/>
                <w:b w:val="0"/>
                <w:sz w:val="16"/>
              </w:rPr>
              <w:t>1</w:t>
            </w:r>
          </w:p>
        </w:tc>
        <w:tc>
          <w:tcPr>
            <w:tcW w:type="dxa" w:w="7937"/>
            <w:vAlign w:val="center"/>
          </w:tcPr>
          <w:p>
            <w:pPr>
              <w:spacing w:after="0"/>
            </w:pPr>
            <w:r/>
            <w:r>
              <w:rPr>
                <w:rFonts w:ascii="Arial" w:hAnsi="Arial"/>
                <w:b w:val="0"/>
                <w:sz w:val="16"/>
              </w:rPr>
              <w:t>Especificación y dominio aprobados.</w:t>
            </w:r>
          </w:p>
        </w:tc>
        <w:tc>
          <w:tcPr>
            <w:tcW w:type="dxa" w:w="1134"/>
            <w:vAlign w:val="center"/>
          </w:tcPr>
          <w:p>
            <w:pPr>
              <w:spacing w:after="0"/>
            </w:pPr>
            <w:r/>
            <w:r>
              <w:rPr>
                <w:rFonts w:ascii="Arial" w:hAnsi="Arial"/>
                <w:b w:val="0"/>
                <w:sz w:val="16"/>
              </w:rPr>
              <w:t>□</w:t>
            </w:r>
          </w:p>
        </w:tc>
      </w:tr>
      <w:tr>
        <w:trPr>
          <w:cantSplit/>
        </w:trPr>
        <w:tc>
          <w:tcPr>
            <w:tcW w:type="dxa" w:w="567"/>
            <w:vAlign w:val="center"/>
            <w:shd w:fill="F2F2F2"/>
          </w:tcPr>
          <w:p>
            <w:pPr>
              <w:spacing w:after="0"/>
            </w:pPr>
            <w:r/>
            <w:r>
              <w:rPr>
                <w:rFonts w:ascii="Arial" w:hAnsi="Arial"/>
                <w:b w:val="0"/>
                <w:sz w:val="16"/>
              </w:rPr>
              <w:t>2</w:t>
            </w:r>
          </w:p>
        </w:tc>
        <w:tc>
          <w:tcPr>
            <w:tcW w:type="dxa" w:w="7937"/>
            <w:vAlign w:val="center"/>
            <w:shd w:fill="F2F2F2"/>
          </w:tcPr>
          <w:p>
            <w:pPr>
              <w:spacing w:after="0"/>
            </w:pPr>
            <w:r/>
            <w:r>
              <w:rPr>
                <w:rFonts w:ascii="Arial" w:hAnsi="Arial"/>
                <w:b w:val="0"/>
                <w:sz w:val="16"/>
              </w:rPr>
              <w:t>Matriz cláusula-regla-prueba completa.</w:t>
            </w:r>
          </w:p>
        </w:tc>
        <w:tc>
          <w:tcPr>
            <w:tcW w:type="dxa" w:w="1134"/>
            <w:vAlign w:val="center"/>
            <w:shd w:fill="F2F2F2"/>
          </w:tcPr>
          <w:p>
            <w:pPr>
              <w:spacing w:after="0"/>
            </w:pPr>
            <w:r/>
            <w:r>
              <w:rPr>
                <w:rFonts w:ascii="Arial" w:hAnsi="Arial"/>
                <w:b w:val="0"/>
                <w:sz w:val="16"/>
              </w:rPr>
              <w:t>□</w:t>
            </w:r>
          </w:p>
        </w:tc>
      </w:tr>
      <w:tr>
        <w:trPr>
          <w:cantSplit/>
        </w:trPr>
        <w:tc>
          <w:tcPr>
            <w:tcW w:type="dxa" w:w="567"/>
            <w:vAlign w:val="center"/>
          </w:tcPr>
          <w:p>
            <w:pPr>
              <w:spacing w:after="0"/>
            </w:pPr>
            <w:r/>
            <w:r>
              <w:rPr>
                <w:rFonts w:ascii="Arial" w:hAnsi="Arial"/>
                <w:b w:val="0"/>
                <w:sz w:val="16"/>
              </w:rPr>
              <w:t>3</w:t>
            </w:r>
          </w:p>
        </w:tc>
        <w:tc>
          <w:tcPr>
            <w:tcW w:type="dxa" w:w="7937"/>
            <w:vAlign w:val="center"/>
          </w:tcPr>
          <w:p>
            <w:pPr>
              <w:spacing w:after="0"/>
            </w:pPr>
            <w:r/>
            <w:r>
              <w:rPr>
                <w:rFonts w:ascii="Arial" w:hAnsi="Arial"/>
                <w:b w:val="0"/>
                <w:sz w:val="16"/>
              </w:rPr>
              <w:t>Pruebas unitarias y analíticas aprobadas.</w:t>
            </w:r>
          </w:p>
        </w:tc>
        <w:tc>
          <w:tcPr>
            <w:tcW w:type="dxa" w:w="1134"/>
            <w:vAlign w:val="center"/>
          </w:tcPr>
          <w:p>
            <w:pPr>
              <w:spacing w:after="0"/>
            </w:pPr>
            <w:r/>
            <w:r>
              <w:rPr>
                <w:rFonts w:ascii="Arial" w:hAnsi="Arial"/>
                <w:b w:val="0"/>
                <w:sz w:val="16"/>
              </w:rPr>
              <w:t>□</w:t>
            </w:r>
          </w:p>
        </w:tc>
      </w:tr>
      <w:tr>
        <w:trPr>
          <w:cantSplit/>
        </w:trPr>
        <w:tc>
          <w:tcPr>
            <w:tcW w:type="dxa" w:w="567"/>
            <w:vAlign w:val="center"/>
            <w:shd w:fill="F2F2F2"/>
          </w:tcPr>
          <w:p>
            <w:pPr>
              <w:spacing w:after="0"/>
            </w:pPr>
            <w:r/>
            <w:r>
              <w:rPr>
                <w:rFonts w:ascii="Arial" w:hAnsi="Arial"/>
                <w:b w:val="0"/>
                <w:sz w:val="16"/>
              </w:rPr>
              <w:t>4</w:t>
            </w:r>
          </w:p>
        </w:tc>
        <w:tc>
          <w:tcPr>
            <w:tcW w:type="dxa" w:w="7937"/>
            <w:vAlign w:val="center"/>
            <w:shd w:fill="F2F2F2"/>
          </w:tcPr>
          <w:p>
            <w:pPr>
              <w:spacing w:after="0"/>
            </w:pPr>
            <w:r/>
            <w:r>
              <w:rPr>
                <w:rFonts w:ascii="Arial" w:hAnsi="Arial"/>
                <w:b w:val="0"/>
                <w:sz w:val="16"/>
              </w:rPr>
              <w:t>Comparación independiente aprobada.</w:t>
            </w:r>
          </w:p>
        </w:tc>
        <w:tc>
          <w:tcPr>
            <w:tcW w:type="dxa" w:w="1134"/>
            <w:vAlign w:val="center"/>
            <w:shd w:fill="F2F2F2"/>
          </w:tcPr>
          <w:p>
            <w:pPr>
              <w:spacing w:after="0"/>
            </w:pPr>
            <w:r/>
            <w:r>
              <w:rPr>
                <w:rFonts w:ascii="Arial" w:hAnsi="Arial"/>
                <w:b w:val="0"/>
                <w:sz w:val="16"/>
              </w:rPr>
              <w:t>□</w:t>
            </w:r>
          </w:p>
        </w:tc>
      </w:tr>
      <w:tr>
        <w:trPr>
          <w:cantSplit/>
        </w:trPr>
        <w:tc>
          <w:tcPr>
            <w:tcW w:type="dxa" w:w="567"/>
            <w:vAlign w:val="center"/>
          </w:tcPr>
          <w:p>
            <w:pPr>
              <w:spacing w:after="0"/>
            </w:pPr>
            <w:r/>
            <w:r>
              <w:rPr>
                <w:rFonts w:ascii="Arial" w:hAnsi="Arial"/>
                <w:b w:val="0"/>
                <w:sz w:val="16"/>
              </w:rPr>
              <w:t>5</w:t>
            </w:r>
          </w:p>
        </w:tc>
        <w:tc>
          <w:tcPr>
            <w:tcW w:type="dxa" w:w="7937"/>
            <w:vAlign w:val="center"/>
          </w:tcPr>
          <w:p>
            <w:pPr>
              <w:spacing w:after="0"/>
            </w:pPr>
            <w:r/>
            <w:r>
              <w:rPr>
                <w:rFonts w:ascii="Arial" w:hAnsi="Arial"/>
                <w:b w:val="0"/>
                <w:sz w:val="16"/>
              </w:rPr>
              <w:t>Convergencia y sensibilidad documentadas.</w:t>
            </w:r>
          </w:p>
        </w:tc>
        <w:tc>
          <w:tcPr>
            <w:tcW w:type="dxa" w:w="1134"/>
            <w:vAlign w:val="center"/>
          </w:tcPr>
          <w:p>
            <w:pPr>
              <w:spacing w:after="0"/>
            </w:pPr>
            <w:r/>
            <w:r>
              <w:rPr>
                <w:rFonts w:ascii="Arial" w:hAnsi="Arial"/>
                <w:b w:val="0"/>
                <w:sz w:val="16"/>
              </w:rPr>
              <w:t>□</w:t>
            </w:r>
          </w:p>
        </w:tc>
      </w:tr>
      <w:tr>
        <w:trPr>
          <w:cantSplit/>
        </w:trPr>
        <w:tc>
          <w:tcPr>
            <w:tcW w:type="dxa" w:w="567"/>
            <w:vAlign w:val="center"/>
            <w:shd w:fill="F2F2F2"/>
          </w:tcPr>
          <w:p>
            <w:pPr>
              <w:spacing w:after="0"/>
            </w:pPr>
            <w:r/>
            <w:r>
              <w:rPr>
                <w:rFonts w:ascii="Arial" w:hAnsi="Arial"/>
                <w:b w:val="0"/>
                <w:sz w:val="16"/>
              </w:rPr>
              <w:t>6</w:t>
            </w:r>
          </w:p>
        </w:tc>
        <w:tc>
          <w:tcPr>
            <w:tcW w:type="dxa" w:w="7937"/>
            <w:vAlign w:val="center"/>
            <w:shd w:fill="F2F2F2"/>
          </w:tcPr>
          <w:p>
            <w:pPr>
              <w:spacing w:after="0"/>
            </w:pPr>
            <w:r/>
            <w:r>
              <w:rPr>
                <w:rFonts w:ascii="Arial" w:hAnsi="Arial"/>
                <w:b w:val="0"/>
                <w:sz w:val="16"/>
              </w:rPr>
              <w:t>Casos negativos y fallo seguro aprobados.</w:t>
            </w:r>
          </w:p>
        </w:tc>
        <w:tc>
          <w:tcPr>
            <w:tcW w:type="dxa" w:w="1134"/>
            <w:vAlign w:val="center"/>
            <w:shd w:fill="F2F2F2"/>
          </w:tcPr>
          <w:p>
            <w:pPr>
              <w:spacing w:after="0"/>
            </w:pPr>
            <w:r/>
            <w:r>
              <w:rPr>
                <w:rFonts w:ascii="Arial" w:hAnsi="Arial"/>
                <w:b w:val="0"/>
                <w:sz w:val="16"/>
              </w:rPr>
              <w:t>□</w:t>
            </w:r>
          </w:p>
        </w:tc>
      </w:tr>
      <w:tr>
        <w:trPr>
          <w:cantSplit/>
        </w:trPr>
        <w:tc>
          <w:tcPr>
            <w:tcW w:type="dxa" w:w="567"/>
            <w:vAlign w:val="center"/>
          </w:tcPr>
          <w:p>
            <w:pPr>
              <w:spacing w:after="0"/>
            </w:pPr>
            <w:r/>
            <w:r>
              <w:rPr>
                <w:rFonts w:ascii="Arial" w:hAnsi="Arial"/>
                <w:b w:val="0"/>
                <w:sz w:val="16"/>
              </w:rPr>
              <w:t>7</w:t>
            </w:r>
          </w:p>
        </w:tc>
        <w:tc>
          <w:tcPr>
            <w:tcW w:type="dxa" w:w="7937"/>
            <w:vAlign w:val="center"/>
          </w:tcPr>
          <w:p>
            <w:pPr>
              <w:spacing w:after="0"/>
            </w:pPr>
            <w:r/>
            <w:r>
              <w:rPr>
                <w:rFonts w:ascii="Arial" w:hAnsi="Arial"/>
                <w:b w:val="0"/>
                <w:sz w:val="16"/>
              </w:rPr>
              <w:t>Ensayos/correlación suficientes para el dominio.</w:t>
            </w:r>
          </w:p>
        </w:tc>
        <w:tc>
          <w:tcPr>
            <w:tcW w:type="dxa" w:w="1134"/>
            <w:vAlign w:val="center"/>
          </w:tcPr>
          <w:p>
            <w:pPr>
              <w:spacing w:after="0"/>
            </w:pPr>
            <w:r/>
            <w:r>
              <w:rPr>
                <w:rFonts w:ascii="Arial" w:hAnsi="Arial"/>
                <w:b w:val="0"/>
                <w:sz w:val="16"/>
              </w:rPr>
              <w:t>□</w:t>
            </w:r>
          </w:p>
        </w:tc>
      </w:tr>
      <w:tr>
        <w:trPr>
          <w:cantSplit/>
        </w:trPr>
        <w:tc>
          <w:tcPr>
            <w:tcW w:type="dxa" w:w="567"/>
            <w:vAlign w:val="center"/>
            <w:shd w:fill="F2F2F2"/>
          </w:tcPr>
          <w:p>
            <w:pPr>
              <w:spacing w:after="0"/>
            </w:pPr>
            <w:r/>
            <w:r>
              <w:rPr>
                <w:rFonts w:ascii="Arial" w:hAnsi="Arial"/>
                <w:b w:val="0"/>
                <w:sz w:val="16"/>
              </w:rPr>
              <w:t>8</w:t>
            </w:r>
          </w:p>
        </w:tc>
        <w:tc>
          <w:tcPr>
            <w:tcW w:type="dxa" w:w="7937"/>
            <w:vAlign w:val="center"/>
            <w:shd w:fill="F2F2F2"/>
          </w:tcPr>
          <w:p>
            <w:pPr>
              <w:spacing w:after="0"/>
            </w:pPr>
            <w:r/>
            <w:r>
              <w:rPr>
                <w:rFonts w:ascii="Arial" w:hAnsi="Arial"/>
                <w:b w:val="0"/>
                <w:sz w:val="16"/>
              </w:rPr>
              <w:t>Regresión sin cambios no explicados.</w:t>
            </w:r>
          </w:p>
        </w:tc>
        <w:tc>
          <w:tcPr>
            <w:tcW w:type="dxa" w:w="1134"/>
            <w:vAlign w:val="center"/>
            <w:shd w:fill="F2F2F2"/>
          </w:tcPr>
          <w:p>
            <w:pPr>
              <w:spacing w:after="0"/>
            </w:pPr>
            <w:r/>
            <w:r>
              <w:rPr>
                <w:rFonts w:ascii="Arial" w:hAnsi="Arial"/>
                <w:b w:val="0"/>
                <w:sz w:val="16"/>
              </w:rPr>
              <w:t>□</w:t>
            </w:r>
          </w:p>
        </w:tc>
      </w:tr>
      <w:tr>
        <w:trPr>
          <w:cantSplit/>
        </w:trPr>
        <w:tc>
          <w:tcPr>
            <w:tcW w:type="dxa" w:w="567"/>
            <w:vAlign w:val="center"/>
          </w:tcPr>
          <w:p>
            <w:pPr>
              <w:spacing w:after="0"/>
            </w:pPr>
            <w:r/>
            <w:r>
              <w:rPr>
                <w:rFonts w:ascii="Arial" w:hAnsi="Arial"/>
                <w:b w:val="0"/>
                <w:sz w:val="16"/>
              </w:rPr>
              <w:t>9</w:t>
            </w:r>
          </w:p>
        </w:tc>
        <w:tc>
          <w:tcPr>
            <w:tcW w:type="dxa" w:w="7937"/>
            <w:vAlign w:val="center"/>
          </w:tcPr>
          <w:p>
            <w:pPr>
              <w:spacing w:after="0"/>
            </w:pPr>
            <w:r/>
            <w:r>
              <w:rPr>
                <w:rFonts w:ascii="Arial" w:hAnsi="Arial"/>
                <w:b w:val="0"/>
                <w:sz w:val="16"/>
              </w:rPr>
              <w:t>Documentación y ayuda actualizadas.</w:t>
            </w:r>
          </w:p>
        </w:tc>
        <w:tc>
          <w:tcPr>
            <w:tcW w:type="dxa" w:w="1134"/>
            <w:vAlign w:val="center"/>
          </w:tcPr>
          <w:p>
            <w:pPr>
              <w:spacing w:after="0"/>
            </w:pPr>
            <w:r/>
            <w:r>
              <w:rPr>
                <w:rFonts w:ascii="Arial" w:hAnsi="Arial"/>
                <w:b w:val="0"/>
                <w:sz w:val="16"/>
              </w:rPr>
              <w:t>□</w:t>
            </w:r>
          </w:p>
        </w:tc>
      </w:tr>
      <w:tr>
        <w:trPr>
          <w:cantSplit/>
        </w:trPr>
        <w:tc>
          <w:tcPr>
            <w:tcW w:type="dxa" w:w="567"/>
            <w:vAlign w:val="center"/>
            <w:shd w:fill="F2F2F2"/>
          </w:tcPr>
          <w:p>
            <w:pPr>
              <w:spacing w:after="0"/>
            </w:pPr>
            <w:r/>
            <w:r>
              <w:rPr>
                <w:rFonts w:ascii="Arial" w:hAnsi="Arial"/>
                <w:b w:val="0"/>
                <w:sz w:val="16"/>
              </w:rPr>
              <w:t>10</w:t>
            </w:r>
          </w:p>
        </w:tc>
        <w:tc>
          <w:tcPr>
            <w:tcW w:type="dxa" w:w="7937"/>
            <w:vAlign w:val="center"/>
            <w:shd w:fill="F2F2F2"/>
          </w:tcPr>
          <w:p>
            <w:pPr>
              <w:spacing w:after="0"/>
            </w:pPr>
            <w:r/>
            <w:r>
              <w:rPr>
                <w:rFonts w:ascii="Arial" w:hAnsi="Arial"/>
                <w:b w:val="0"/>
                <w:sz w:val="16"/>
              </w:rPr>
              <w:t>Riesgos residuales aceptados.</w:t>
            </w:r>
          </w:p>
        </w:tc>
        <w:tc>
          <w:tcPr>
            <w:tcW w:type="dxa" w:w="1134"/>
            <w:vAlign w:val="center"/>
            <w:shd w:fill="F2F2F2"/>
          </w:tcPr>
          <w:p>
            <w:pPr>
              <w:spacing w:after="0"/>
            </w:pPr>
            <w:r/>
            <w:r>
              <w:rPr>
                <w:rFonts w:ascii="Arial" w:hAnsi="Arial"/>
                <w:b w:val="0"/>
                <w:sz w:val="16"/>
              </w:rPr>
              <w:t>□</w:t>
            </w:r>
          </w:p>
        </w:tc>
      </w:tr>
      <w:tr>
        <w:trPr>
          <w:cantSplit/>
        </w:trPr>
        <w:tc>
          <w:tcPr>
            <w:tcW w:type="dxa" w:w="567"/>
            <w:vAlign w:val="center"/>
          </w:tcPr>
          <w:p>
            <w:pPr>
              <w:spacing w:after="0"/>
            </w:pPr>
            <w:r/>
            <w:r>
              <w:rPr>
                <w:rFonts w:ascii="Arial" w:hAnsi="Arial"/>
                <w:b w:val="0"/>
                <w:sz w:val="16"/>
              </w:rPr>
              <w:t>11</w:t>
            </w:r>
          </w:p>
        </w:tc>
        <w:tc>
          <w:tcPr>
            <w:tcW w:type="dxa" w:w="7937"/>
            <w:vAlign w:val="center"/>
          </w:tcPr>
          <w:p>
            <w:pPr>
              <w:spacing w:after="0"/>
            </w:pPr>
            <w:r/>
            <w:r>
              <w:rPr>
                <w:rFonts w:ascii="Arial" w:hAnsi="Arial"/>
                <w:b w:val="0"/>
                <w:sz w:val="16"/>
              </w:rPr>
              <w:t>Rollback y soporte preparados.</w:t>
            </w:r>
          </w:p>
        </w:tc>
        <w:tc>
          <w:tcPr>
            <w:tcW w:type="dxa" w:w="1134"/>
            <w:vAlign w:val="center"/>
          </w:tcPr>
          <w:p>
            <w:pPr>
              <w:spacing w:after="0"/>
            </w:pPr>
            <w:r/>
            <w:r>
              <w:rPr>
                <w:rFonts w:ascii="Arial" w:hAnsi="Arial"/>
                <w:b w:val="0"/>
                <w:sz w:val="16"/>
              </w:rPr>
              <w:t>□</w:t>
            </w:r>
          </w:p>
        </w:tc>
      </w:tr>
      <w:tr>
        <w:trPr>
          <w:cantSplit/>
        </w:trPr>
        <w:tc>
          <w:tcPr>
            <w:tcW w:type="dxa" w:w="567"/>
            <w:vAlign w:val="center"/>
            <w:shd w:fill="F2F2F2"/>
          </w:tcPr>
          <w:p>
            <w:pPr>
              <w:spacing w:after="0"/>
            </w:pPr>
            <w:r/>
            <w:r>
              <w:rPr>
                <w:rFonts w:ascii="Arial" w:hAnsi="Arial"/>
                <w:b w:val="0"/>
                <w:sz w:val="16"/>
              </w:rPr>
              <w:t>12</w:t>
            </w:r>
          </w:p>
        </w:tc>
        <w:tc>
          <w:tcPr>
            <w:tcW w:type="dxa" w:w="7937"/>
            <w:vAlign w:val="center"/>
            <w:shd w:fill="F2F2F2"/>
          </w:tcPr>
          <w:p>
            <w:pPr>
              <w:spacing w:after="0"/>
            </w:pPr>
            <w:r/>
            <w:r>
              <w:rPr>
                <w:rFonts w:ascii="Arial" w:hAnsi="Arial"/>
                <w:b w:val="0"/>
                <w:sz w:val="16"/>
              </w:rPr>
              <w:t>Gate firmado por responsables.</w:t>
            </w:r>
          </w:p>
        </w:tc>
        <w:tc>
          <w:tcPr>
            <w:tcW w:type="dxa" w:w="1134"/>
            <w:vAlign w:val="center"/>
            <w:shd w:fill="F2F2F2"/>
          </w:tcPr>
          <w:p>
            <w:pPr>
              <w:spacing w:after="0"/>
            </w:pPr>
            <w:r/>
            <w:r>
              <w:rPr>
                <w:rFonts w:ascii="Arial" w:hAnsi="Arial"/>
                <w:b w:val="0"/>
                <w:sz w:val="16"/>
              </w:rPr>
              <w:t>□</w:t>
            </w:r>
          </w:p>
        </w:tc>
      </w:tr>
    </w:tbl>
    <w:p>
      <w:pPr>
        <w:spacing w:after="20"/>
      </w:pPr>
    </w:p>
    <w:p>
      <w:pPr>
        <w:pStyle w:val="Heading1"/>
      </w:pPr>
      <w:r>
        <w:t>Anexo B. Estructura del informe de correlación</w:t>
      </w:r>
    </w:p>
    <w:p>
      <w:pPr>
        <w:pStyle w:val="ListNumber"/>
        <w:spacing w:after="40"/>
      </w:pPr>
      <w:r>
        <w:t>Objeto, versión y dominio.</w:t>
      </w:r>
    </w:p>
    <w:p>
      <w:pPr>
        <w:pStyle w:val="ListNumber"/>
        <w:spacing w:after="40"/>
      </w:pPr>
      <w:r>
        <w:t>Descripción de prototipo y modelo.</w:t>
      </w:r>
    </w:p>
    <w:p>
      <w:pPr>
        <w:pStyle w:val="ListNumber"/>
        <w:spacing w:after="40"/>
      </w:pPr>
      <w:r>
        <w:t>Procedimiento e instrumentación.</w:t>
      </w:r>
    </w:p>
    <w:p>
      <w:pPr>
        <w:pStyle w:val="ListNumber"/>
        <w:spacing w:after="40"/>
      </w:pPr>
      <w:r>
        <w:t>Datos brutos y procesamiento.</w:t>
      </w:r>
    </w:p>
    <w:p>
      <w:pPr>
        <w:pStyle w:val="ListNumber"/>
        <w:spacing w:after="40"/>
      </w:pPr>
      <w:r>
        <w:t>Incertidumbre.</w:t>
      </w:r>
    </w:p>
    <w:p>
      <w:pPr>
        <w:pStyle w:val="ListNumber"/>
        <w:spacing w:after="40"/>
      </w:pPr>
      <w:r>
        <w:t>Resultados predichos y medidos.</w:t>
      </w:r>
    </w:p>
    <w:p>
      <w:pPr>
        <w:pStyle w:val="ListNumber"/>
        <w:spacing w:after="40"/>
      </w:pPr>
      <w:r>
        <w:t>Métricas y gráficos de residuales.</w:t>
      </w:r>
    </w:p>
    <w:p>
      <w:pPr>
        <w:pStyle w:val="ListNumber"/>
        <w:spacing w:after="40"/>
      </w:pPr>
      <w:r>
        <w:t>Diferencias de hipótesis.</w:t>
      </w:r>
    </w:p>
    <w:p>
      <w:pPr>
        <w:pStyle w:val="ListNumber"/>
        <w:spacing w:after="40"/>
      </w:pPr>
      <w:r>
        <w:t>Calibración, si existe.</w:t>
      </w:r>
    </w:p>
    <w:p>
      <w:pPr>
        <w:pStyle w:val="ListNumber"/>
        <w:spacing w:after="40"/>
      </w:pPr>
      <w:r>
        <w:t>Validación independiente.</w:t>
      </w:r>
    </w:p>
    <w:p>
      <w:pPr>
        <w:pStyle w:val="ListNumber"/>
        <w:spacing w:after="40"/>
      </w:pPr>
      <w:r>
        <w:t>Conclusión, límites y decisión.</w:t>
      </w:r>
    </w:p>
    <w:p>
      <w:pPr>
        <w:pStyle w:val="ListNumber"/>
        <w:spacing w:after="40"/>
      </w:pPr>
      <w:r>
        <w:t>Firmas y evidencias enlazadas.</w:t>
      </w:r>
    </w:p>
    <w:p>
      <w:pPr>
        <w:pStyle w:val="Heading1"/>
      </w:pPr>
      <w:r>
        <w:t>Anexo C. Estado final esperado</w:t>
      </w:r>
    </w:p>
    <w:tbl>
      <w:tblPr>
        <w:tblStyle w:val="TableGrid"/>
        <w:tblW w:type="auto" w:w="0"/>
        <w:jc w:val="center"/>
        <w:tblLook w:firstColumn="1" w:firstRow="1" w:lastColumn="0" w:lastRow="0" w:noHBand="0" w:noVBand="1" w:val="04A0"/>
      </w:tblPr>
      <w:tblGrid>
        <w:gridCol w:w="10086"/>
      </w:tblGrid>
      <w:tr>
        <w:trPr>
          <w:cantSplit/>
        </w:trPr>
        <w:tc>
          <w:tcPr>
            <w:tcW w:type="dxa" w:w="10086"/>
            <w:shd w:fill="F2F2F2"/>
          </w:tcPr>
          <w:p>
            <w:pPr>
              <w:spacing w:after="40"/>
            </w:pPr>
            <w:r/>
            <w:r>
              <w:rPr>
                <w:rFonts w:ascii="Arial" w:hAnsi="Arial"/>
                <w:b/>
                <w:sz w:val="19"/>
              </w:rPr>
              <w:t>Resultado de la fase</w:t>
            </w:r>
          </w:p>
          <w:p>
            <w:pPr>
              <w:spacing w:after="20"/>
            </w:pPr>
            <w:r>
              <w:rPr>
                <w:rFonts w:ascii="Arial" w:hAnsi="Arial"/>
                <w:sz w:val="17"/>
              </w:rPr>
              <w:t>Al finalizar la Fase 17, Salvi dispondrá de un sistema auditable para demostrar qué partes de Salvi Studio · Columns están validadas, para qué productos y condiciones, con qué evidencia y bajo qué límites. La aplicación podrá distinguir claramente entre una funcionalidad experimental, un cálculo interno, una familia cualificada y un producto liberado para fabricación y entrega.</w:t>
            </w:r>
          </w:p>
        </w:tc>
      </w:tr>
    </w:tbl>
    <w:p>
      <w:pPr>
        <w:spacing w:after="20"/>
      </w:pPr>
    </w:p>
    <w:sectPr w:rsidR="00FC693F" w:rsidRPr="0006063C" w:rsidSect="00034616">
      <w:headerReference w:type="default" r:id="rId9"/>
      <w:footerReference w:type="default" r:id="rId10"/>
      <w:pgSz w:w="12240" w:h="15840"/>
      <w:pgMar w:top="1020" w:right="1020"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color w:val="5A5A5A"/>
        <w:sz w:val="14"/>
      </w:rPr>
      <w:t xml:space="preserve">Documento interno Salvi Lighting · v0.1 · Julio 2026  |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b/>
        <w:color w:val="5A5A5A"/>
        <w:sz w:val="15"/>
      </w:rPr>
      <w:t>SALVI STUDIO · COLUMNS  |  FASE 17 · VALIDACIÓN INDUSTRIAL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color w:val="141414"/>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141414"/>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4141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4141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sz w:val="18"/>
    </w:rPr>
  </w:style>
  <w:style w:type="paragraph" w:styleId="ListBullet2">
    <w:name w:val="List Bullet 2"/>
    <w:basedOn w:val="Normal"/>
    <w:uiPriority w:val="99"/>
    <w:unhideWhenUsed/>
    <w:rsid w:val="00326F90"/>
    <w:pPr>
      <w:numPr>
        <w:numId w:val="2"/>
      </w:numPr>
      <w:spacing w:after="40"/>
      <w:contextualSpacing/>
    </w:pPr>
    <w:rPr>
      <w:rFonts w:ascii="Arial" w:hAnsi="Arial"/>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rial" w:hAnsi="Arial"/>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alviSubtitle">
    <w:name w:val="Salvi Subtitle"/>
    <w:pPr>
      <w:spacing w:after="160"/>
    </w:pPr>
    <w:rPr>
      <w:rFonts w:ascii="Arial" w:hAnsi="Arial"/>
      <w:color w:val="5A5A5A"/>
      <w:sz w:val="26"/>
    </w:rPr>
  </w:style>
  <w:style w:type="paragraph" w:customStyle="1" w:styleId="SalviNote">
    <w:name w:val="Salvi Note"/>
    <w:pPr>
      <w:spacing w:after="100"/>
      <w:ind w:left="227"/>
    </w:pPr>
    <w:rPr>
      <w:rFonts w:ascii="Arial" w:hAnsi="Arial"/>
      <w:i/>
      <w:color w:val="5A5A5A"/>
      <w:sz w:val="17"/>
    </w:rPr>
  </w:style>
  <w:style w:type="paragraph" w:customStyle="1" w:styleId="SalviCode">
    <w:name w:val="Salvi Code"/>
    <w:pPr>
      <w:spacing w:before="40" w:after="80"/>
      <w:ind w:left="283" w:right="170"/>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Salvi Studio · Columns · Fase 17 · Validación industrial, ensayos, correlación y certificación v0.1</dc:title>
  <dc:subject>Especificación funcional y técnica</dc:subject>
  <dc:creator>Salvi Lighting</dc:creator>
  <cp:keywords>Salvi Studio, Columns, EN 40, validación, ensayos, certificación, V&amp;V, FPC</cp:keywords>
  <dc:description>Documento interno de trabajo.</dc:description>
  <cp:lastModifiedBy/>
  <cp:revision>1</cp:revision>
  <dcterms:created xsi:type="dcterms:W3CDTF">2013-12-23T23:15:00Z</dcterms:created>
  <dcterms:modified xsi:type="dcterms:W3CDTF">2013-12-23T23:15:00Z</dcterms:modified>
  <cp:category/>
</cp:coreProperties>
</file>