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jc w:val="center"/>
      </w:pPr>
      <w:r>
        <w:t>SALVI STUDIO</w:t>
      </w:r>
    </w:p>
    <w:p>
      <w:pPr>
        <w:pStyle w:val="Title"/>
        <w:spacing w:after="80"/>
        <w:jc w:val="center"/>
      </w:pPr>
      <w:r>
        <w:t>COLUMNS</w:t>
      </w:r>
    </w:p>
    <w:p>
      <w:pPr>
        <w:pStyle w:val="Subtitle"/>
        <w:spacing w:after="80"/>
        <w:jc w:val="center"/>
      </w:pPr>
      <w:r>
        <w:t>FASE 3</w:t>
      </w:r>
    </w:p>
    <w:p>
      <w:pPr>
        <w:pStyle w:val="Subtitle"/>
        <w:spacing w:after="80"/>
        <w:jc w:val="center"/>
      </w:pPr>
      <w:r>
        <w:t>ACCIONES, UBICACIÓN Y COMBINACIONES DE CARGA</w:t>
      </w:r>
    </w:p>
    <w:p>
      <w:pPr>
        <w:pStyle w:val="Subtitle"/>
        <w:spacing w:after="80"/>
        <w:jc w:val="center"/>
      </w:pPr>
      <w:r>
        <w:t>Especificación funcional, normativa, técnica y de datos para resolver condiciones geográficas, acciones permanentes y ambientales, direcciones críticas y combinaciones de cálculo</w:t>
      </w:r>
    </w:p>
    <w:p>
      <w:pPr>
        <w:pStyle w:val="Smallnote"/>
        <w:spacing w:after="80"/>
        <w:jc w:val="center"/>
      </w:pPr>
      <w:r>
        <w:t>Versión 0.2 · Documento para revisión interna</w:t>
      </w:r>
    </w:p>
    <w:p>
      <w:pPr>
        <w:pStyle w:val="Smallnote"/>
        <w:spacing w:after="80"/>
        <w:jc w:val="center"/>
      </w:pPr>
      <w:r>
        <w:t>CM SALVI, S.L. · Técnico comercial · Ingeniería de producto · Oficina técnica</w:t>
      </w:r>
    </w:p>
    <w:p>
      <w:pPr>
        <w:spacing w:after="80"/>
      </w:pPr>
      <w:r/>
    </w:p>
    <w:p>
      <w:pPr>
        <w:spacing w:after="80"/>
      </w:pPr>
      <w:r/>
    </w:p>
    <w:p>
      <w:pPr>
        <w:spacing w:after="80"/>
      </w:pPr>
      <w:r/>
    </w:p>
    <w:p>
      <w:pPr>
        <w:spacing w:after="80"/>
      </w:pPr>
      <w:r/>
    </w:p>
    <w:p>
      <w:pPr>
        <w:spacing w:after="80"/>
      </w:pPr>
      <w:r/>
    </w:p>
    <w:tbl>
      <w:tblPr>
        <w:tblStyle w:val="TableGrid"/>
        <w:tblW w:type="auto" w:w="0"/>
        <w:jc w:val="center"/>
        <w:tblLook w:firstColumn="1" w:firstRow="1" w:lastColumn="0" w:lastRow="0" w:noHBand="0" w:noVBand="1" w:val="04A0"/>
      </w:tblPr>
      <w:tblGrid>
        <w:gridCol w:w="5156"/>
        <w:gridCol w:w="5156"/>
      </w:tblGrid>
      <w:tr>
        <w:tc>
          <w:tcPr>
            <w:tcW w:type="dxa" w:w="5156"/>
            <w:vAlign w:val="center"/>
            <w:shd w:fill="111111"/>
          </w:tcPr>
          <w:p>
            <w:pPr>
              <w:spacing w:after="0"/>
            </w:pPr>
            <w:r/>
            <w:r>
              <w:rPr>
                <w:rFonts w:ascii="Aptos" w:hAnsi="Aptos"/>
                <w:b/>
                <w:color w:val="FFFFFF"/>
                <w:sz w:val="17"/>
              </w:rPr>
              <w:t>Documento</w:t>
            </w:r>
          </w:p>
        </w:tc>
        <w:tc>
          <w:tcPr>
            <w:tcW w:type="dxa" w:w="5156"/>
            <w:vAlign w:val="center"/>
          </w:tcPr>
          <w:p>
            <w:pPr>
              <w:spacing w:after="0"/>
            </w:pPr>
            <w:r/>
            <w:r>
              <w:rPr>
                <w:rFonts w:ascii="Aptos" w:hAnsi="Aptos"/>
                <w:b w:val="0"/>
                <w:sz w:val="17"/>
              </w:rPr>
              <w:t>Salvi Studio · Columns · Fase 3</w:t>
            </w:r>
          </w:p>
        </w:tc>
      </w:tr>
      <w:tr>
        <w:tc>
          <w:tcPr>
            <w:tcW w:type="dxa" w:w="5156"/>
            <w:vAlign w:val="center"/>
            <w:shd w:fill="111111"/>
          </w:tcPr>
          <w:p>
            <w:pPr>
              <w:spacing w:after="0"/>
            </w:pPr>
            <w:r/>
            <w:r>
              <w:rPr>
                <w:rFonts w:ascii="Aptos" w:hAnsi="Aptos"/>
                <w:b/>
                <w:color w:val="FFFFFF"/>
                <w:sz w:val="17"/>
              </w:rPr>
              <w:t>Versión</w:t>
            </w:r>
          </w:p>
        </w:tc>
        <w:tc>
          <w:tcPr>
            <w:tcW w:type="dxa" w:w="5156"/>
            <w:vAlign w:val="center"/>
          </w:tcPr>
          <w:p>
            <w:r>
              <w:t>0.2</w:t>
            </w:r>
          </w:p>
        </w:tc>
      </w:tr>
      <w:tr>
        <w:tc>
          <w:tcPr>
            <w:tcW w:type="dxa" w:w="5156"/>
            <w:vAlign w:val="center"/>
            <w:shd w:fill="111111"/>
          </w:tcPr>
          <w:p>
            <w:pPr>
              <w:spacing w:after="0"/>
            </w:pPr>
            <w:r/>
            <w:r>
              <w:rPr>
                <w:rFonts w:ascii="Aptos" w:hAnsi="Aptos"/>
                <w:b/>
                <w:color w:val="FFFFFF"/>
                <w:sz w:val="17"/>
              </w:rPr>
              <w:t>Estado</w:t>
            </w:r>
          </w:p>
        </w:tc>
        <w:tc>
          <w:tcPr>
            <w:tcW w:type="dxa" w:w="5156"/>
            <w:vAlign w:val="center"/>
          </w:tcPr>
          <w:p>
            <w:r>
              <w:t>Borrador ampliado y consolidado para revisión</w:t>
            </w:r>
          </w:p>
        </w:tc>
      </w:tr>
      <w:tr>
        <w:tc>
          <w:tcPr>
            <w:tcW w:type="dxa" w:w="5156"/>
            <w:vAlign w:val="center"/>
            <w:shd w:fill="111111"/>
          </w:tcPr>
          <w:p>
            <w:pPr>
              <w:spacing w:after="0"/>
            </w:pPr>
            <w:r/>
            <w:r>
              <w:rPr>
                <w:rFonts w:ascii="Aptos" w:hAnsi="Aptos"/>
                <w:b/>
                <w:color w:val="FFFFFF"/>
                <w:sz w:val="17"/>
              </w:rPr>
              <w:t>Dependencias</w:t>
            </w:r>
          </w:p>
        </w:tc>
        <w:tc>
          <w:tcPr>
            <w:tcW w:type="dxa" w:w="5156"/>
            <w:vAlign w:val="center"/>
          </w:tcPr>
          <w:p>
            <w:pPr>
              <w:spacing w:after="0"/>
            </w:pPr>
            <w:r/>
            <w:r>
              <w:rPr>
                <w:rFonts w:ascii="Aptos" w:hAnsi="Aptos"/>
                <w:b w:val="0"/>
                <w:sz w:val="17"/>
              </w:rPr>
              <w:t>Contexto General v0.2 · Fase 1 v0.2 · Fase 2 v0.2</w:t>
            </w:r>
          </w:p>
        </w:tc>
      </w:tr>
      <w:tr>
        <w:tc>
          <w:tcPr>
            <w:tcW w:type="dxa" w:w="5156"/>
            <w:vAlign w:val="center"/>
            <w:shd w:fill="111111"/>
          </w:tcPr>
          <w:p>
            <w:pPr>
              <w:spacing w:after="0"/>
            </w:pPr>
            <w:r/>
            <w:r>
              <w:rPr>
                <w:rFonts w:ascii="Aptos" w:hAnsi="Aptos"/>
                <w:b/>
                <w:color w:val="FFFFFF"/>
                <w:sz w:val="17"/>
              </w:rPr>
              <w:t>Clasificación</w:t>
            </w:r>
          </w:p>
        </w:tc>
        <w:tc>
          <w:tcPr>
            <w:tcW w:type="dxa" w:w="5156"/>
            <w:vAlign w:val="center"/>
          </w:tcPr>
          <w:p>
            <w:pPr>
              <w:spacing w:after="0"/>
            </w:pPr>
            <w:r/>
            <w:r>
              <w:rPr>
                <w:rFonts w:ascii="Aptos" w:hAnsi="Aptos"/>
                <w:b w:val="0"/>
                <w:sz w:val="17"/>
              </w:rPr>
              <w:t>Uso interno Salvi</w:t>
            </w:r>
          </w:p>
        </w:tc>
      </w:tr>
    </w:tbl>
    <w:p>
      <w:r>
        <w:br w:type="page"/>
      </w:r>
    </w:p>
    <w:p>
      <w:pPr>
        <w:pStyle w:val="Heading1"/>
        <w:spacing w:after="80"/>
      </w:pPr>
      <w:r>
        <w:t>Control del documento</w:t>
      </w:r>
    </w:p>
    <w:tbl>
      <w:tblPr>
        <w:tblStyle w:val="TableGrid"/>
        <w:tblW w:type="auto" w:w="0"/>
        <w:jc w:val="center"/>
        <w:tblLook w:firstColumn="1" w:firstRow="1" w:lastColumn="0" w:lastRow="0" w:noHBand="0" w:noVBand="1" w:val="04A0"/>
      </w:tblPr>
      <w:tblGrid>
        <w:gridCol w:w="5156"/>
        <w:gridCol w:w="5156"/>
      </w:tblGrid>
      <w:tr>
        <w:tc>
          <w:tcPr>
            <w:tcW w:type="dxa" w:w="2381"/>
            <w:vAlign w:val="center"/>
            <w:shd w:fill="111111"/>
          </w:tcPr>
          <w:p>
            <w:pPr>
              <w:spacing w:after="0"/>
            </w:pPr>
            <w:r/>
            <w:r>
              <w:rPr>
                <w:rFonts w:ascii="Aptos" w:hAnsi="Aptos"/>
                <w:b/>
                <w:color w:val="FFFFFF"/>
                <w:sz w:val="15"/>
              </w:rPr>
              <w:t>Campo</w:t>
            </w:r>
          </w:p>
        </w:tc>
        <w:tc>
          <w:tcPr>
            <w:tcW w:type="dxa" w:w="6803"/>
            <w:vAlign w:val="center"/>
            <w:shd w:fill="111111"/>
          </w:tcPr>
          <w:p>
            <w:pPr>
              <w:spacing w:after="0"/>
            </w:pPr>
            <w:r/>
            <w:r>
              <w:rPr>
                <w:rFonts w:ascii="Aptos" w:hAnsi="Aptos"/>
                <w:b/>
                <w:color w:val="FFFFFF"/>
                <w:sz w:val="15"/>
              </w:rPr>
              <w:t>Contenido</w:t>
            </w:r>
          </w:p>
        </w:tc>
      </w:tr>
      <w:tr>
        <w:tc>
          <w:tcPr>
            <w:tcW w:type="dxa" w:w="2381"/>
            <w:vAlign w:val="center"/>
          </w:tcPr>
          <w:p>
            <w:pPr>
              <w:spacing w:after="0"/>
            </w:pPr>
            <w:r/>
            <w:r>
              <w:rPr>
                <w:rFonts w:ascii="Aptos" w:hAnsi="Aptos"/>
                <w:b w:val="0"/>
                <w:sz w:val="15"/>
              </w:rPr>
              <w:t>Objeto</w:t>
            </w:r>
          </w:p>
        </w:tc>
        <w:tc>
          <w:tcPr>
            <w:tcW w:type="dxa" w:w="6803"/>
            <w:vAlign w:val="center"/>
          </w:tcPr>
          <w:p>
            <w:pPr>
              <w:spacing w:after="0"/>
            </w:pPr>
            <w:r/>
            <w:r>
              <w:rPr>
                <w:rFonts w:ascii="Aptos" w:hAnsi="Aptos"/>
                <w:b w:val="0"/>
                <w:sz w:val="15"/>
              </w:rPr>
              <w:t>Definir el motor de ubicación, datos ambientales, acciones y combinaciones que alimentará el motor estructural.</w:t>
            </w:r>
          </w:p>
        </w:tc>
      </w:tr>
      <w:tr>
        <w:tc>
          <w:tcPr>
            <w:tcW w:type="dxa" w:w="2381"/>
            <w:vAlign w:val="center"/>
            <w:shd w:fill="F2F2F2"/>
          </w:tcPr>
          <w:p>
            <w:pPr>
              <w:spacing w:after="0"/>
            </w:pPr>
            <w:r/>
            <w:r>
              <w:rPr>
                <w:rFonts w:ascii="Aptos" w:hAnsi="Aptos"/>
                <w:b w:val="0"/>
                <w:sz w:val="15"/>
              </w:rPr>
              <w:t>Responsable funcional</w:t>
            </w:r>
          </w:p>
        </w:tc>
        <w:tc>
          <w:tcPr>
            <w:tcW w:type="dxa" w:w="6803"/>
            <w:vAlign w:val="center"/>
            <w:shd w:fill="F2F2F2"/>
          </w:tcPr>
          <w:p>
            <w:pPr>
              <w:spacing w:after="0"/>
            </w:pPr>
            <w:r/>
            <w:r>
              <w:rPr>
                <w:rFonts w:ascii="Aptos" w:hAnsi="Aptos"/>
                <w:b w:val="0"/>
                <w:sz w:val="15"/>
              </w:rPr>
              <w:t>Ingeniería de producto / Oficina Técnica Salvi</w:t>
            </w:r>
          </w:p>
        </w:tc>
      </w:tr>
      <w:tr>
        <w:tc>
          <w:tcPr>
            <w:tcW w:type="dxa" w:w="2381"/>
            <w:vAlign w:val="center"/>
          </w:tcPr>
          <w:p>
            <w:pPr>
              <w:spacing w:after="0"/>
            </w:pPr>
            <w:r/>
            <w:r>
              <w:rPr>
                <w:rFonts w:ascii="Aptos" w:hAnsi="Aptos"/>
                <w:b w:val="0"/>
                <w:sz w:val="15"/>
              </w:rPr>
              <w:t>Usuarios</w:t>
            </w:r>
          </w:p>
        </w:tc>
        <w:tc>
          <w:tcPr>
            <w:tcW w:type="dxa" w:w="6803"/>
            <w:vAlign w:val="center"/>
          </w:tcPr>
          <w:p>
            <w:pPr>
              <w:spacing w:after="0"/>
            </w:pPr>
            <w:r/>
            <w:r>
              <w:rPr>
                <w:rFonts w:ascii="Aptos" w:hAnsi="Aptos"/>
                <w:b w:val="0"/>
                <w:sz w:val="15"/>
              </w:rPr>
              <w:t>Técnico comercial, ingeniería de producto, Oficina Técnica, administradores de bibliotecas</w:t>
            </w:r>
          </w:p>
        </w:tc>
      </w:tr>
      <w:tr>
        <w:tc>
          <w:tcPr>
            <w:tcW w:type="dxa" w:w="2381"/>
            <w:vAlign w:val="center"/>
            <w:shd w:fill="F2F2F2"/>
          </w:tcPr>
          <w:p>
            <w:pPr>
              <w:spacing w:after="0"/>
            </w:pPr>
            <w:r/>
            <w:r>
              <w:rPr>
                <w:rFonts w:ascii="Aptos" w:hAnsi="Aptos"/>
                <w:b w:val="0"/>
                <w:sz w:val="15"/>
              </w:rPr>
              <w:t>Entradas principales</w:t>
            </w:r>
          </w:p>
        </w:tc>
        <w:tc>
          <w:tcPr>
            <w:tcW w:type="dxa" w:w="6803"/>
            <w:vAlign w:val="center"/>
            <w:shd w:fill="F2F2F2"/>
          </w:tcPr>
          <w:p>
            <w:pPr>
              <w:spacing w:after="0"/>
            </w:pPr>
            <w:r/>
            <w:r>
              <w:rPr>
                <w:rFonts w:ascii="Aptos" w:hAnsi="Aptos"/>
                <w:b w:val="0"/>
                <w:sz w:val="15"/>
              </w:rPr>
              <w:t>Ubicación, geometría Fase 2, accesorios, materiales, tensiones de cables, normativa y parámetros de proyecto</w:t>
            </w:r>
          </w:p>
        </w:tc>
      </w:tr>
      <w:tr>
        <w:tc>
          <w:tcPr>
            <w:tcW w:type="dxa" w:w="2381"/>
            <w:vAlign w:val="center"/>
          </w:tcPr>
          <w:p>
            <w:pPr>
              <w:spacing w:after="0"/>
            </w:pPr>
            <w:r/>
            <w:r>
              <w:rPr>
                <w:rFonts w:ascii="Aptos" w:hAnsi="Aptos"/>
                <w:b w:val="0"/>
                <w:sz w:val="15"/>
              </w:rPr>
              <w:t>Salidas principales</w:t>
            </w:r>
          </w:p>
        </w:tc>
        <w:tc>
          <w:tcPr>
            <w:tcW w:type="dxa" w:w="6803"/>
            <w:vAlign w:val="center"/>
          </w:tcPr>
          <w:p>
            <w:pPr>
              <w:spacing w:after="0"/>
            </w:pPr>
            <w:r/>
            <w:r>
              <w:rPr>
                <w:rFonts w:ascii="Aptos" w:hAnsi="Aptos"/>
                <w:b w:val="0"/>
                <w:sz w:val="15"/>
              </w:rPr>
              <w:t>Casos de carga, combinaciones, acciones nodales/distribuidas, envolventes direccionales, advertencias y trazabilidad</w:t>
            </w:r>
          </w:p>
        </w:tc>
      </w:tr>
      <w:tr>
        <w:tc>
          <w:tcPr>
            <w:tcW w:type="dxa" w:w="2381"/>
            <w:vAlign w:val="center"/>
            <w:shd w:fill="F2F2F2"/>
          </w:tcPr>
          <w:p>
            <w:pPr>
              <w:spacing w:after="0"/>
            </w:pPr>
            <w:r/>
            <w:r>
              <w:rPr>
                <w:rFonts w:ascii="Aptos" w:hAnsi="Aptos"/>
                <w:b w:val="0"/>
                <w:sz w:val="15"/>
              </w:rPr>
              <w:t>No constituye</w:t>
            </w:r>
          </w:p>
        </w:tc>
        <w:tc>
          <w:tcPr>
            <w:tcW w:type="dxa" w:w="6803"/>
            <w:vAlign w:val="center"/>
            <w:shd w:fill="F2F2F2"/>
          </w:tcPr>
          <w:p>
            <w:pPr>
              <w:spacing w:after="0"/>
            </w:pPr>
            <w:r/>
            <w:r>
              <w:rPr>
                <w:rFonts w:ascii="Aptos" w:hAnsi="Aptos"/>
                <w:b w:val="0"/>
                <w:sz w:val="15"/>
              </w:rPr>
              <w:t>Una memoria final ni una verificación resistente; ambas pertenecen a fases posteriores.</w:t>
            </w:r>
          </w:p>
        </w:tc>
      </w:tr>
    </w:tbl>
    <w:p>
      <w:pPr>
        <w:spacing w:after="0"/>
      </w:pPr>
    </w:p>
    <w:p>
      <w:pPr>
        <w:pStyle w:val="Heading1"/>
        <w:spacing w:after="80"/>
      </w:pPr>
      <w:r>
        <w:t>Contenido</w:t>
      </w:r>
    </w:p>
    <w:p>
      <w:pPr>
        <w:pStyle w:val="Smallnote"/>
        <w:spacing w:after="80"/>
      </w:pPr>
      <w:r>
        <w:t>1. Resumen ejecutivo</w:t>
      </w:r>
    </w:p>
    <w:p>
      <w:pPr>
        <w:pStyle w:val="Smallnote"/>
        <w:spacing w:after="80"/>
      </w:pPr>
      <w:r>
        <w:t>2. Objetivos y principios</w:t>
      </w:r>
    </w:p>
    <w:p>
      <w:pPr>
        <w:pStyle w:val="Smallnote"/>
        <w:spacing w:after="80"/>
      </w:pPr>
      <w:r>
        <w:t>3. Alcance y exclusiones</w:t>
      </w:r>
    </w:p>
    <w:p>
      <w:pPr>
        <w:pStyle w:val="Smallnote"/>
        <w:spacing w:after="80"/>
      </w:pPr>
      <w:r>
        <w:t>4. Dependencias y contratos con otras fases</w:t>
      </w:r>
    </w:p>
    <w:p>
      <w:pPr>
        <w:pStyle w:val="Smallnote"/>
        <w:spacing w:after="80"/>
      </w:pPr>
      <w:r>
        <w:t>5. Modelo conceptual de acciones</w:t>
      </w:r>
    </w:p>
    <w:p>
      <w:pPr>
        <w:pStyle w:val="Smallnote"/>
        <w:spacing w:after="80"/>
      </w:pPr>
      <w:r>
        <w:t>6. Ubicación y resolución geográfica</w:t>
      </w:r>
    </w:p>
    <w:p>
      <w:pPr>
        <w:pStyle w:val="Smallnote"/>
        <w:spacing w:after="80"/>
      </w:pPr>
      <w:r>
        <w:t>7. Jerarquía normativa y fuentes</w:t>
      </w:r>
    </w:p>
    <w:p>
      <w:pPr>
        <w:pStyle w:val="Smallnote"/>
        <w:spacing w:after="80"/>
      </w:pPr>
      <w:r>
        <w:t>8. Datos de viento</w:t>
      </w:r>
    </w:p>
    <w:p>
      <w:pPr>
        <w:pStyle w:val="Smallnote"/>
        <w:spacing w:after="80"/>
      </w:pPr>
      <w:r>
        <w:t>9. Modelo de viento EN 40</w:t>
      </w:r>
    </w:p>
    <w:p>
      <w:pPr>
        <w:pStyle w:val="Smallnote"/>
        <w:spacing w:after="80"/>
      </w:pPr>
      <w:r>
        <w:t>10. Áreas, coeficientes y exposición de componentes</w:t>
      </w:r>
    </w:p>
    <w:p>
      <w:pPr>
        <w:pStyle w:val="Smallnote"/>
        <w:spacing w:after="80"/>
      </w:pPr>
      <w:r>
        <w:t>11. Barrido direccional y búsqueda de máximos</w:t>
      </w:r>
    </w:p>
    <w:p>
      <w:pPr>
        <w:pStyle w:val="Smallnote"/>
        <w:spacing w:after="80"/>
      </w:pPr>
      <w:r>
        <w:t>12. Acciones permanentes y funcionales</w:t>
      </w:r>
    </w:p>
    <w:p>
      <w:pPr>
        <w:pStyle w:val="Smallnote"/>
        <w:spacing w:after="80"/>
      </w:pPr>
      <w:r>
        <w:t>13. Cables de catenaria</w:t>
      </w:r>
    </w:p>
    <w:p>
      <w:pPr>
        <w:pStyle w:val="Smallnote"/>
        <w:spacing w:after="80"/>
      </w:pPr>
      <w:r>
        <w:t>14. Nieve, hielo y acumulaciones</w:t>
      </w:r>
    </w:p>
    <w:p>
      <w:pPr>
        <w:pStyle w:val="Smallnote"/>
        <w:spacing w:after="80"/>
      </w:pPr>
      <w:r>
        <w:t>15. Acciones sísmicas</w:t>
      </w:r>
    </w:p>
    <w:p>
      <w:pPr>
        <w:pStyle w:val="Smallnote"/>
        <w:spacing w:after="80"/>
      </w:pPr>
      <w:r>
        <w:t>16. Temperatura y efectos impuestos</w:t>
      </w:r>
    </w:p>
    <w:p>
      <w:pPr>
        <w:pStyle w:val="Smallnote"/>
        <w:spacing w:after="80"/>
      </w:pPr>
      <w:r>
        <w:t>17. Acciones de mantenimiento y montaje</w:t>
      </w:r>
    </w:p>
    <w:p>
      <w:pPr>
        <w:pStyle w:val="Smallnote"/>
        <w:spacing w:after="80"/>
      </w:pPr>
      <w:r>
        <w:t>18. Acciones accidentales y configuraciones especiales</w:t>
      </w:r>
    </w:p>
    <w:p>
      <w:pPr>
        <w:pStyle w:val="Smallnote"/>
        <w:spacing w:after="80"/>
      </w:pPr>
      <w:r>
        <w:t>19. Casos y combinaciones ELU, ELS y fatiga</w:t>
      </w:r>
    </w:p>
    <w:p>
      <w:pPr>
        <w:pStyle w:val="Smallnote"/>
        <w:spacing w:after="80"/>
      </w:pPr>
      <w:r>
        <w:t>20. Aplicación espacial de cargas</w:t>
      </w:r>
    </w:p>
    <w:p>
      <w:pPr>
        <w:pStyle w:val="Smallnote"/>
        <w:spacing w:after="80"/>
      </w:pPr>
      <w:r>
        <w:t>21. Validaciones, advertencias e incertidumbre</w:t>
      </w:r>
    </w:p>
    <w:p>
      <w:pPr>
        <w:pStyle w:val="Smallnote"/>
        <w:spacing w:after="80"/>
      </w:pPr>
      <w:r>
        <w:t>22. Resultados y contratos de salida</w:t>
      </w:r>
    </w:p>
    <w:p>
      <w:pPr>
        <w:pStyle w:val="Smallnote"/>
        <w:spacing w:after="80"/>
      </w:pPr>
      <w:r>
        <w:t>23. Modelo de datos</w:t>
      </w:r>
    </w:p>
    <w:p>
      <w:pPr>
        <w:pStyle w:val="Smallnote"/>
        <w:spacing w:after="80"/>
      </w:pPr>
      <w:r>
        <w:t>24. Backend y servicios</w:t>
      </w:r>
    </w:p>
    <w:p>
      <w:pPr>
        <w:pStyle w:val="Smallnote"/>
        <w:spacing w:after="80"/>
      </w:pPr>
      <w:r>
        <w:t>25. API</w:t>
      </w:r>
    </w:p>
    <w:p>
      <w:pPr>
        <w:pStyle w:val="Smallnote"/>
        <w:spacing w:after="80"/>
      </w:pPr>
      <w:r>
        <w:t>26. Front-end y experiencia de usuario</w:t>
      </w:r>
    </w:p>
    <w:p>
      <w:pPr>
        <w:pStyle w:val="Smallnote"/>
        <w:spacing w:after="80"/>
      </w:pPr>
      <w:r>
        <w:t>27. Dependencias, hashes e invalidación</w:t>
      </w:r>
    </w:p>
    <w:p>
      <w:pPr>
        <w:pStyle w:val="Smallnote"/>
        <w:spacing w:after="80"/>
      </w:pPr>
      <w:r>
        <w:t>28. Rendimiento, observabilidad y seguridad</w:t>
      </w:r>
    </w:p>
    <w:p>
      <w:pPr>
        <w:pStyle w:val="Smallnote"/>
        <w:spacing w:after="80"/>
      </w:pPr>
      <w:r>
        <w:t>29. Estrategia de pruebas</w:t>
      </w:r>
    </w:p>
    <w:p>
      <w:pPr>
        <w:pStyle w:val="Smallnote"/>
        <w:spacing w:after="80"/>
      </w:pPr>
      <w:r>
        <w:t>30. Casos de aceptación</w:t>
      </w:r>
    </w:p>
    <w:p>
      <w:pPr>
        <w:pStyle w:val="Smallnote"/>
        <w:spacing w:after="80"/>
      </w:pPr>
      <w:r>
        <w:t>31. Entregables y criterio de cierre</w:t>
      </w:r>
    </w:p>
    <w:p>
      <w:pPr>
        <w:pStyle w:val="Smallnote"/>
        <w:spacing w:after="80"/>
      </w:pPr>
      <w:r>
        <w:t>32. Riesgos, decisiones y ampliaciones futuras</w:t>
      </w:r>
    </w:p>
    <w:p>
      <w:pPr>
        <w:pStyle w:val="Smallnote"/>
      </w:pPr>
      <w:r>
        <w:t>33. Ampliaciones incorporadas en la versión 0.2</w:t>
      </w:r>
    </w:p>
    <w:p>
      <w:pPr>
        <w:pStyle w:val="Smallnote"/>
      </w:pPr>
      <w:r>
        <w:t>34. Flujo computacional canónico de la Fase 3</w:t>
      </w:r>
    </w:p>
    <w:p>
      <w:pPr>
        <w:pStyle w:val="Smallnote"/>
      </w:pPr>
      <w:r>
        <w:t>35. Resolución geográfica y arquitectura de fuentes</w:t>
      </w:r>
    </w:p>
    <w:p>
      <w:pPr>
        <w:pStyle w:val="Smallnote"/>
      </w:pPr>
      <w:r>
        <w:t>36. Especificación detallada del viento</w:t>
      </w:r>
    </w:p>
    <w:p>
      <w:pPr>
        <w:pStyle w:val="Smallnote"/>
      </w:pPr>
      <w:r>
        <w:t>37. Generación de direcciones y envolventes</w:t>
      </w:r>
    </w:p>
    <w:p>
      <w:pPr>
        <w:pStyle w:val="Smallnote"/>
      </w:pPr>
      <w:r>
        <w:t>38. Cables de catenaria: contrato de cálculo inicial</w:t>
      </w:r>
    </w:p>
    <w:p>
      <w:pPr>
        <w:pStyle w:val="Smallnote"/>
      </w:pPr>
      <w:r>
        <w:t>39. Nieve, hielo, temperatura y sismo</w:t>
      </w:r>
    </w:p>
    <w:p>
      <w:pPr>
        <w:pStyle w:val="Smallnote"/>
      </w:pPr>
      <w:r>
        <w:t>40. Motor declarativo de casos y combinaciones</w:t>
      </w:r>
    </w:p>
    <w:p>
      <w:pPr>
        <w:pStyle w:val="Smallnote"/>
      </w:pPr>
      <w:r>
        <w:t>41. Representación espacial canónica de cargas</w:t>
      </w:r>
    </w:p>
    <w:p>
      <w:pPr>
        <w:pStyle w:val="Smallnote"/>
      </w:pPr>
      <w:r>
        <w:t>42. Front-end, diagnóstico y experiencia de revisión</w:t>
      </w:r>
    </w:p>
    <w:p>
      <w:pPr>
        <w:pStyle w:val="Smallnote"/>
      </w:pPr>
      <w:r>
        <w:t>43. API y contratos ampliados</w:t>
      </w:r>
    </w:p>
    <w:p>
      <w:pPr>
        <w:pStyle w:val="Smallnote"/>
      </w:pPr>
      <w:r>
        <w:t>44. Validación, benchmarks y nuevos criterios de aceptación</w:t>
      </w:r>
    </w:p>
    <w:p>
      <w:pPr>
        <w:pStyle w:val="Smallnote"/>
      </w:pPr>
      <w:r>
        <w:t>45. Criterios de cierre revisados para la Fase 3</w:t>
      </w:r>
    </w:p>
    <w:p/>
    <w:p/>
    <w:p/>
    <w:p/>
    <w:p/>
    <w:p/>
    <w:p/>
    <w:p/>
    <w:p/>
    <w:p/>
    <w:p/>
    <w:p/>
    <w:p/>
    <w:p>
      <w:r>
        <w:br w:type="page"/>
      </w:r>
    </w:p>
    <w:p>
      <w:pPr>
        <w:pStyle w:val="Heading1"/>
        <w:spacing w:after="80"/>
      </w:pPr>
      <w:r>
        <w:t>1. Resumen ejecutivo</w:t>
      </w:r>
    </w:p>
    <w:p>
      <w:pPr>
        <w:spacing w:after="80"/>
      </w:pPr>
      <w:r>
        <w:t>La Fase 3 convierte la geometría canónica definida en la Fase 2 y las condiciones del emplazamiento en un conjunto reproducible de acciones y combinaciones. Su resultado es la entrada oficial del futuro motor estructural. La fase debe resolver automáticamente los datos geográficos disponibles para Europa, permitir su confirmación o sustitución por el usuario, calcular cargas sobre fuste, brazos, luminarias, paneles solares y accesorios, incorporar hasta seis cables de catenaria y generar envolventes direccionales completas.</w:t>
      </w:r>
    </w:p>
    <w:p>
      <w:pPr>
        <w:spacing w:after="80"/>
      </w:pPr>
      <w:r>
        <w:t>El sistema debe diferenciar estrictamente dato normativo, dato geográfico, dato suministrado por el fabricante, hipótesis del proyecto y regla interna Salvi. Ningún valor automático puede aparecer como una constante anónima. Cada parámetro conservará fuente, edición, jurisdicción, fecha, unidad, estado de confirmación, usuario responsable y nivel de confianza.</w:t>
      </w:r>
    </w:p>
    <w:p>
      <w:pPr>
        <w:spacing w:after="80"/>
      </w:pPr>
      <w:r>
        <w:t>El barrido general de viento se realizará inicialmente cada 30°, con direcciones adicionales derivadas de cables, brazos y asimetrías relevantes. El sistema podrá refinar automáticamente el entorno de una dirección crítica. Las acciones se expresarán en el sistema global de la Fase 2 y también en los ejes locales de cada componente, de forma que el motor de cálculo no deba reinterpretar geometría ni orientación.</w:t>
      </w:r>
    </w:p>
    <w:p>
      <w:pPr>
        <w:pStyle w:val="Heading1"/>
        <w:spacing w:after="80"/>
      </w:pPr>
      <w:r>
        <w:t>2. Objetivos y principios</w:t>
      </w:r>
    </w:p>
    <w:p>
      <w:pPr>
        <w:pStyle w:val="ListBullet"/>
        <w:spacing w:after="30"/>
      </w:pPr>
      <w:r>
        <w:t>Completar automáticamente la mayor cantidad posible de parámetros a partir de coordenadas, país y fecha de proyecto.</w:t>
      </w:r>
    </w:p>
    <w:p>
      <w:pPr>
        <w:pStyle w:val="ListBullet"/>
        <w:spacing w:after="30"/>
      </w:pPr>
      <w:r>
        <w:t>Aplicar la edición normativa y el anexo nacional congelados en la revisión, sin cambios silenciosos.</w:t>
      </w:r>
    </w:p>
    <w:p>
      <w:pPr>
        <w:pStyle w:val="ListBullet"/>
        <w:spacing w:after="30"/>
      </w:pPr>
      <w:r>
        <w:t>Crear cargas deterministas, auditables y repetibles a partir del mismo snapshot.</w:t>
      </w:r>
    </w:p>
    <w:p>
      <w:pPr>
        <w:pStyle w:val="ListBullet"/>
        <w:spacing w:after="30"/>
      </w:pPr>
      <w:r>
        <w:t>Admitir valores introducidos por el usuario cuando no exista información pública suficiente o el contrato imponga condiciones distintas.</w:t>
      </w:r>
    </w:p>
    <w:p>
      <w:pPr>
        <w:pStyle w:val="ListBullet"/>
        <w:spacing w:after="30"/>
      </w:pPr>
      <w:r>
        <w:t>Detectar datos incompatibles, fuera de rango o insuficientes antes de ejecutar una verificación estructural.</w:t>
      </w:r>
    </w:p>
    <w:p>
      <w:pPr>
        <w:pStyle w:val="ListBullet"/>
        <w:spacing w:after="30"/>
      </w:pPr>
      <w:r>
        <w:t>Separar valores característicos, valores de combinación, valores de cálculo y resultados de envolvente.</w:t>
      </w:r>
    </w:p>
    <w:p>
      <w:pPr>
        <w:pStyle w:val="ListBullet"/>
        <w:spacing w:after="30"/>
      </w:pPr>
      <w:r>
        <w:t>Permitir cálculo rápido técnico-comercial sin ocultar la calidad o incertidumbre de los datos.</w:t>
      </w:r>
    </w:p>
    <w:p>
      <w:pPr>
        <w:pStyle w:val="ListBullet"/>
        <w:spacing w:after="30"/>
      </w:pPr>
      <w:r>
        <w:t>Preparar la futura extensión a cálculo automático de catenarias, normas no europeas y microzonificación avanzada.</w:t>
      </w:r>
    </w:p>
    <w:p>
      <w:pPr>
        <w:pStyle w:val="Heading2"/>
        <w:spacing w:after="80"/>
      </w:pPr>
      <w:r>
        <w:t>2.1 Principios no negociables</w:t>
      </w:r>
    </w:p>
    <w:p>
      <w:pPr>
        <w:pStyle w:val="Requirement"/>
      </w:pPr>
      <w:r>
        <w:rPr>
          <w:b/>
        </w:rPr>
        <w:t xml:space="preserve">ACT-P-001 [MUST] </w:t>
      </w:r>
      <w:r>
        <w:t>El motor de acciones será determinista. La IA no podrá inventar, completar ni modificar coeficientes de cálculo.</w:t>
      </w:r>
    </w:p>
    <w:p>
      <w:pPr>
        <w:pStyle w:val="Requirement"/>
      </w:pPr>
      <w:r>
        <w:rPr>
          <w:b/>
        </w:rPr>
        <w:t xml:space="preserve">ACT-P-002 [MUST] </w:t>
      </w:r>
      <w:r>
        <w:t>Todo valor utilizado en una ejecución oficial deberá estar contenido en el snapshot o derivarse de reglas versionadas incluidas en él.</w:t>
      </w:r>
    </w:p>
    <w:p>
      <w:pPr>
        <w:pStyle w:val="Requirement"/>
      </w:pPr>
      <w:r>
        <w:rPr>
          <w:b/>
        </w:rPr>
        <w:t xml:space="preserve">ACT-P-003 [MUST] </w:t>
      </w:r>
      <w:r>
        <w:t>La interfaz distinguirá visualmente datos propuestos, confirmados, sustituidos, estimados, conservadores y pendientes.</w:t>
      </w:r>
    </w:p>
    <w:p>
      <w:pPr>
        <w:pStyle w:val="Requirement"/>
      </w:pPr>
      <w:r>
        <w:rPr>
          <w:b/>
        </w:rPr>
        <w:t xml:space="preserve">ACT-P-004 [MUST] </w:t>
      </w:r>
      <w:r>
        <w:t>La conformidad se evaluará con valores no redondeados. El redondeo se reservará para presentación y documentos.</w:t>
      </w:r>
    </w:p>
    <w:p>
      <w:pPr>
        <w:pStyle w:val="Requirement"/>
      </w:pPr>
      <w:r>
        <w:rPr>
          <w:b/>
        </w:rPr>
        <w:t xml:space="preserve">ACT-P-005 [MUST] </w:t>
      </w:r>
      <w:r>
        <w:t>La ausencia de un dato obligatorio bloqueará el cálculo oficial; no se sustituirá por cero ni por un valor implícito.</w:t>
      </w:r>
    </w:p>
    <w:p>
      <w:pPr>
        <w:pStyle w:val="Heading1"/>
        <w:spacing w:after="80"/>
      </w:pPr>
      <w:r>
        <w:t>3. Alcance y exclusiones</w:t>
      </w:r>
    </w:p>
    <w:p>
      <w:pPr>
        <w:pStyle w:val="Heading2"/>
        <w:spacing w:after="80"/>
      </w:pPr>
      <w:r>
        <w:t>3.1 Incluido</w:t>
      </w:r>
    </w:p>
    <w:p>
      <w:pPr>
        <w:pStyle w:val="ListBullet"/>
        <w:spacing w:after="30"/>
      </w:pPr>
      <w:r>
        <w:t>Ubicación por coordenadas, dirección, municipio, región y país.</w:t>
      </w:r>
    </w:p>
    <w:p>
      <w:pPr>
        <w:pStyle w:val="ListBullet"/>
        <w:spacing w:after="30"/>
      </w:pPr>
      <w:r>
        <w:t>Resolución de parámetros europeos de viento, nieve, sismo, altitud, rugosidad y temperatura cuando existan fuentes integradas.</w:t>
      </w:r>
    </w:p>
    <w:p>
      <w:pPr>
        <w:pStyle w:val="ListBullet"/>
        <w:spacing w:after="30"/>
      </w:pPr>
      <w:r>
        <w:t>Cargas de viento sobre columna, brazos, luminarias, paneles, cajas, carteles, cámaras, antenas y accesorios.</w:t>
      </w:r>
    </w:p>
    <w:p>
      <w:pPr>
        <w:pStyle w:val="ListBullet"/>
        <w:spacing w:after="30"/>
      </w:pPr>
      <w:r>
        <w:t>Peso propio y cargas gravitatorias de todos los componentes definidos.</w:t>
      </w:r>
    </w:p>
    <w:p>
      <w:pPr>
        <w:pStyle w:val="ListBullet"/>
        <w:spacing w:after="30"/>
      </w:pPr>
      <w:r>
        <w:t>Hasta seis cables de catenaria mediante tensión, cota, azimut y elevación introducidos por el usuario.</w:t>
      </w:r>
    </w:p>
    <w:p>
      <w:pPr>
        <w:pStyle w:val="ListBullet"/>
        <w:spacing w:after="30"/>
      </w:pPr>
      <w:r>
        <w:t>Nieve e hielo cuando la norma o el proyecto los exijan.</w:t>
      </w:r>
    </w:p>
    <w:p>
      <w:pPr>
        <w:pStyle w:val="ListBullet"/>
        <w:spacing w:after="30"/>
      </w:pPr>
      <w:r>
        <w:t>Acciones sísmicas compatibles con el modelo de masas del conjunto.</w:t>
      </w:r>
    </w:p>
    <w:p>
      <w:pPr>
        <w:pStyle w:val="ListBullet"/>
        <w:spacing w:after="30"/>
      </w:pPr>
      <w:r>
        <w:t>Acciones térmicas, de mantenimiento, montaje y situaciones accidentales configurables.</w:t>
      </w:r>
    </w:p>
    <w:p>
      <w:pPr>
        <w:pStyle w:val="ListBullet"/>
        <w:spacing w:after="30"/>
      </w:pPr>
      <w:r>
        <w:t>Casos elementales, combinaciones ELU/ELS/fatiga y envolventes por dirección.</w:t>
      </w:r>
    </w:p>
    <w:p>
      <w:pPr>
        <w:pStyle w:val="ListBullet"/>
        <w:spacing w:after="30"/>
      </w:pPr>
      <w:r>
        <w:t>Búsqueda de máximos por sección, componente y magnitud para consumo posterior.</w:t>
      </w:r>
    </w:p>
    <w:p>
      <w:pPr>
        <w:pStyle w:val="Heading2"/>
        <w:spacing w:after="80"/>
      </w:pPr>
      <w:r>
        <w:t>3.2 Excluido o diferido</w:t>
      </w:r>
    </w:p>
    <w:p>
      <w:pPr>
        <w:pStyle w:val="ListBullet"/>
        <w:spacing w:after="30"/>
      </w:pPr>
      <w:r>
        <w:t>Cálculo de tensión de cables a partir de vano, flecha, temperatura y propiedades del cable.</w:t>
      </w:r>
    </w:p>
    <w:p>
      <w:pPr>
        <w:pStyle w:val="ListBullet"/>
        <w:spacing w:after="30"/>
      </w:pPr>
      <w:r>
        <w:t>Dimensionamiento de herrajes de catenaria.</w:t>
      </w:r>
    </w:p>
    <w:p>
      <w:pPr>
        <w:pStyle w:val="ListBullet"/>
        <w:spacing w:after="30"/>
      </w:pPr>
      <w:r>
        <w:t>Cálculo resistente de fuste, uniones, puertas, soldaduras, placa, pernos o cimentación.</w:t>
      </w:r>
    </w:p>
    <w:p>
      <w:pPr>
        <w:pStyle w:val="ListBullet"/>
        <w:spacing w:after="30"/>
      </w:pPr>
      <w:r>
        <w:t>Análisis aeroelástico avanzado mediante CFD.</w:t>
      </w:r>
    </w:p>
    <w:p>
      <w:pPr>
        <w:pStyle w:val="ListBullet"/>
        <w:spacing w:after="30"/>
      </w:pPr>
      <w:r>
        <w:t>Interacción dinámica detallada cable-columna.</w:t>
      </w:r>
    </w:p>
    <w:p>
      <w:pPr>
        <w:pStyle w:val="ListBullet"/>
        <w:spacing w:after="30"/>
      </w:pPr>
      <w:r>
        <w:t>Impacto de vehículo y clasificación de seguridad pasiva, salvo registro de requisito.</w:t>
      </w:r>
    </w:p>
    <w:p>
      <w:pPr>
        <w:pStyle w:val="ListBullet"/>
        <w:spacing w:after="30"/>
      </w:pPr>
      <w:r>
        <w:t>Normativas no europeas en la primera entrega productiva, aunque el modelo de datos debe admitirlas.</w:t>
      </w:r>
    </w:p>
    <w:p>
      <w:pPr>
        <w:pStyle w:val="Heading1"/>
        <w:spacing w:after="80"/>
      </w:pPr>
      <w:r>
        <w:t>4. Dependencias y contratos con otras fases</w:t>
      </w:r>
    </w:p>
    <w:tbl>
      <w:tblPr>
        <w:tblStyle w:val="TableGrid"/>
        <w:tblW w:type="auto" w:w="0"/>
        <w:jc w:val="center"/>
        <w:tblLook w:firstColumn="1" w:firstRow="1" w:lastColumn="0" w:lastRow="0" w:noHBand="0" w:noVBand="1" w:val="04A0"/>
      </w:tblPr>
      <w:tblGrid>
        <w:gridCol w:w="3438"/>
        <w:gridCol w:w="3438"/>
        <w:gridCol w:w="3438"/>
      </w:tblGrid>
      <w:tr>
        <w:tc>
          <w:tcPr>
            <w:tcW w:type="dxa" w:w="1814"/>
            <w:vAlign w:val="center"/>
            <w:shd w:fill="111111"/>
          </w:tcPr>
          <w:p>
            <w:pPr>
              <w:spacing w:after="0"/>
            </w:pPr>
            <w:r/>
            <w:r>
              <w:rPr>
                <w:rFonts w:ascii="Aptos" w:hAnsi="Aptos"/>
                <w:b/>
                <w:color w:val="FFFFFF"/>
                <w:sz w:val="15"/>
              </w:rPr>
              <w:t>Fase / servicio</w:t>
            </w:r>
          </w:p>
        </w:tc>
        <w:tc>
          <w:tcPr>
            <w:tcW w:type="dxa" w:w="3572"/>
            <w:vAlign w:val="center"/>
            <w:shd w:fill="111111"/>
          </w:tcPr>
          <w:p>
            <w:pPr>
              <w:spacing w:after="0"/>
            </w:pPr>
            <w:r/>
            <w:r>
              <w:rPr>
                <w:rFonts w:ascii="Aptos" w:hAnsi="Aptos"/>
                <w:b/>
                <w:color w:val="FFFFFF"/>
                <w:sz w:val="15"/>
              </w:rPr>
              <w:t>Datos recibidos</w:t>
            </w:r>
          </w:p>
        </w:tc>
        <w:tc>
          <w:tcPr>
            <w:tcW w:type="dxa" w:w="3685"/>
            <w:vAlign w:val="center"/>
            <w:shd w:fill="111111"/>
          </w:tcPr>
          <w:p>
            <w:pPr>
              <w:spacing w:after="0"/>
            </w:pPr>
            <w:r/>
            <w:r>
              <w:rPr>
                <w:rFonts w:ascii="Aptos" w:hAnsi="Aptos"/>
                <w:b/>
                <w:color w:val="FFFFFF"/>
                <w:sz w:val="15"/>
              </w:rPr>
              <w:t>Datos entregados / dependencia</w:t>
            </w:r>
          </w:p>
        </w:tc>
      </w:tr>
      <w:tr>
        <w:tc>
          <w:tcPr>
            <w:tcW w:type="dxa" w:w="1814"/>
            <w:vAlign w:val="center"/>
          </w:tcPr>
          <w:p>
            <w:pPr>
              <w:spacing w:after="0"/>
            </w:pPr>
            <w:r/>
            <w:r>
              <w:rPr>
                <w:rFonts w:ascii="Aptos" w:hAnsi="Aptos"/>
                <w:b w:val="0"/>
                <w:sz w:val="15"/>
              </w:rPr>
              <w:t>Fase 1 - Núcleo</w:t>
            </w:r>
          </w:p>
        </w:tc>
        <w:tc>
          <w:tcPr>
            <w:tcW w:type="dxa" w:w="3572"/>
            <w:vAlign w:val="center"/>
          </w:tcPr>
          <w:p>
            <w:pPr>
              <w:spacing w:after="0"/>
            </w:pPr>
            <w:r/>
            <w:r>
              <w:rPr>
                <w:rFonts w:ascii="Aptos" w:hAnsi="Aptos"/>
                <w:b w:val="0"/>
                <w:sz w:val="15"/>
              </w:rPr>
              <w:t>Proyecto, revisión, snapshot, roles, unidades, bibliotecas</w:t>
            </w:r>
          </w:p>
        </w:tc>
        <w:tc>
          <w:tcPr>
            <w:tcW w:type="dxa" w:w="3685"/>
            <w:vAlign w:val="center"/>
          </w:tcPr>
          <w:p>
            <w:pPr>
              <w:spacing w:after="0"/>
            </w:pPr>
            <w:r/>
            <w:r>
              <w:rPr>
                <w:rFonts w:ascii="Aptos" w:hAnsi="Aptos"/>
                <w:b w:val="0"/>
                <w:sz w:val="15"/>
              </w:rPr>
              <w:t>Ejecuciones versionadas, auditoría, estados, hashes y documentos de diagnóstico</w:t>
            </w:r>
          </w:p>
        </w:tc>
      </w:tr>
      <w:tr>
        <w:tc>
          <w:tcPr>
            <w:tcW w:type="dxa" w:w="1814"/>
            <w:vAlign w:val="center"/>
            <w:shd w:fill="F2F2F2"/>
          </w:tcPr>
          <w:p>
            <w:pPr>
              <w:spacing w:after="0"/>
            </w:pPr>
            <w:r/>
            <w:r>
              <w:rPr>
                <w:rFonts w:ascii="Aptos" w:hAnsi="Aptos"/>
                <w:b w:val="0"/>
                <w:sz w:val="15"/>
              </w:rPr>
              <w:t>Fase 2 - Geometría</w:t>
            </w:r>
          </w:p>
        </w:tc>
        <w:tc>
          <w:tcPr>
            <w:tcW w:type="dxa" w:w="3572"/>
            <w:vAlign w:val="center"/>
            <w:shd w:fill="F2F2F2"/>
          </w:tcPr>
          <w:p>
            <w:pPr>
              <w:spacing w:after="0"/>
            </w:pPr>
            <w:r/>
            <w:r>
              <w:rPr>
                <w:rFonts w:ascii="Aptos" w:hAnsi="Aptos"/>
                <w:b w:val="0"/>
                <w:sz w:val="15"/>
              </w:rPr>
              <w:t>Tramos, secciones, sistemas locales, componentes, áreas derivables, puntos de aplicación</w:t>
            </w:r>
          </w:p>
        </w:tc>
        <w:tc>
          <w:tcPr>
            <w:tcW w:type="dxa" w:w="3685"/>
            <w:vAlign w:val="center"/>
            <w:shd w:fill="F2F2F2"/>
          </w:tcPr>
          <w:p>
            <w:pPr>
              <w:spacing w:after="0"/>
            </w:pPr>
            <w:r/>
            <w:r>
              <w:rPr>
                <w:rFonts w:ascii="Aptos" w:hAnsi="Aptos"/>
                <w:b w:val="0"/>
                <w:sz w:val="15"/>
              </w:rPr>
              <w:t>Solicitudes de propiedades geométricas y cargas asociadas a UUID de componente/estación</w:t>
            </w:r>
          </w:p>
        </w:tc>
      </w:tr>
      <w:tr>
        <w:tc>
          <w:tcPr>
            <w:tcW w:type="dxa" w:w="1814"/>
            <w:vAlign w:val="center"/>
          </w:tcPr>
          <w:p>
            <w:pPr>
              <w:spacing w:after="0"/>
            </w:pPr>
            <w:r/>
            <w:r>
              <w:rPr>
                <w:rFonts w:ascii="Aptos" w:hAnsi="Aptos"/>
                <w:b w:val="0"/>
                <w:sz w:val="15"/>
              </w:rPr>
              <w:t>Biblioteca normativa</w:t>
            </w:r>
          </w:p>
        </w:tc>
        <w:tc>
          <w:tcPr>
            <w:tcW w:type="dxa" w:w="3572"/>
            <w:vAlign w:val="center"/>
          </w:tcPr>
          <w:p>
            <w:pPr>
              <w:spacing w:after="0"/>
            </w:pPr>
            <w:r/>
            <w:r>
              <w:rPr>
                <w:rFonts w:ascii="Aptos" w:hAnsi="Aptos"/>
                <w:b w:val="0"/>
                <w:sz w:val="15"/>
              </w:rPr>
              <w:t>Reglas, coeficientes, anexos nacionales, vigencia y referencias</w:t>
            </w:r>
          </w:p>
        </w:tc>
        <w:tc>
          <w:tcPr>
            <w:tcW w:type="dxa" w:w="3685"/>
            <w:vAlign w:val="center"/>
          </w:tcPr>
          <w:p>
            <w:pPr>
              <w:spacing w:after="0"/>
            </w:pPr>
            <w:r/>
            <w:r>
              <w:rPr>
                <w:rFonts w:ascii="Aptos" w:hAnsi="Aptos"/>
                <w:b w:val="0"/>
                <w:sz w:val="15"/>
              </w:rPr>
              <w:t>Uso registrado de cada regla y cláusula</w:t>
            </w:r>
          </w:p>
        </w:tc>
      </w:tr>
      <w:tr>
        <w:tc>
          <w:tcPr>
            <w:tcW w:type="dxa" w:w="1814"/>
            <w:vAlign w:val="center"/>
            <w:shd w:fill="F2F2F2"/>
          </w:tcPr>
          <w:p>
            <w:pPr>
              <w:spacing w:after="0"/>
            </w:pPr>
            <w:r/>
            <w:r>
              <w:rPr>
                <w:rFonts w:ascii="Aptos" w:hAnsi="Aptos"/>
                <w:b w:val="0"/>
                <w:sz w:val="15"/>
              </w:rPr>
              <w:t>Biblioteca de producto</w:t>
            </w:r>
          </w:p>
        </w:tc>
        <w:tc>
          <w:tcPr>
            <w:tcW w:type="dxa" w:w="3572"/>
            <w:vAlign w:val="center"/>
            <w:shd w:fill="F2F2F2"/>
          </w:tcPr>
          <w:p>
            <w:pPr>
              <w:spacing w:after="0"/>
            </w:pPr>
            <w:r/>
            <w:r>
              <w:rPr>
                <w:rFonts w:ascii="Aptos" w:hAnsi="Aptos"/>
                <w:b w:val="0"/>
                <w:sz w:val="15"/>
              </w:rPr>
              <w:t>Masa, centro de gravedad, área proyectada, coeficientes aerodinámicos y orientaciones</w:t>
            </w:r>
          </w:p>
        </w:tc>
        <w:tc>
          <w:tcPr>
            <w:tcW w:type="dxa" w:w="3685"/>
            <w:vAlign w:val="center"/>
            <w:shd w:fill="F2F2F2"/>
          </w:tcPr>
          <w:p>
            <w:pPr>
              <w:spacing w:after="0"/>
            </w:pPr>
            <w:r/>
            <w:r>
              <w:rPr>
                <w:rFonts w:ascii="Aptos" w:hAnsi="Aptos"/>
                <w:b w:val="0"/>
                <w:sz w:val="15"/>
              </w:rPr>
              <w:t>Advertencias por datos incompletos y snapshot de componente</w:t>
            </w:r>
          </w:p>
        </w:tc>
      </w:tr>
      <w:tr>
        <w:tc>
          <w:tcPr>
            <w:tcW w:type="dxa" w:w="1814"/>
            <w:vAlign w:val="center"/>
          </w:tcPr>
          <w:p>
            <w:pPr>
              <w:spacing w:after="0"/>
            </w:pPr>
            <w:r/>
            <w:r>
              <w:rPr>
                <w:rFonts w:ascii="Aptos" w:hAnsi="Aptos"/>
                <w:b w:val="0"/>
                <w:sz w:val="15"/>
              </w:rPr>
              <w:t>Motor estructural futuro</w:t>
            </w:r>
          </w:p>
        </w:tc>
        <w:tc>
          <w:tcPr>
            <w:tcW w:type="dxa" w:w="3572"/>
            <w:vAlign w:val="center"/>
          </w:tcPr>
          <w:p>
            <w:pPr>
              <w:spacing w:after="0"/>
            </w:pPr>
            <w:r/>
            <w:r>
              <w:rPr>
                <w:rFonts w:ascii="Aptos" w:hAnsi="Aptos"/>
                <w:b w:val="0"/>
                <w:sz w:val="15"/>
              </w:rPr>
              <w:t>Malla/estaciones y configuración de análisis</w:t>
            </w:r>
          </w:p>
        </w:tc>
        <w:tc>
          <w:tcPr>
            <w:tcW w:type="dxa" w:w="3685"/>
            <w:vAlign w:val="center"/>
          </w:tcPr>
          <w:p>
            <w:pPr>
              <w:spacing w:after="0"/>
            </w:pPr>
            <w:r/>
            <w:r>
              <w:rPr>
                <w:rFonts w:ascii="Aptos" w:hAnsi="Aptos"/>
                <w:b w:val="0"/>
                <w:sz w:val="15"/>
              </w:rPr>
              <w:t>Casos, combinaciones, vectores nodales, cargas distribuidas y masas</w:t>
            </w:r>
          </w:p>
        </w:tc>
      </w:tr>
      <w:tr>
        <w:tc>
          <w:tcPr>
            <w:tcW w:type="dxa" w:w="1814"/>
            <w:vAlign w:val="center"/>
            <w:shd w:fill="F2F2F2"/>
          </w:tcPr>
          <w:p>
            <w:pPr>
              <w:spacing w:after="0"/>
            </w:pPr>
            <w:r/>
            <w:r>
              <w:rPr>
                <w:rFonts w:ascii="Aptos" w:hAnsi="Aptos"/>
                <w:b w:val="0"/>
                <w:sz w:val="15"/>
              </w:rPr>
              <w:t>Informes futuros</w:t>
            </w:r>
          </w:p>
        </w:tc>
        <w:tc>
          <w:tcPr>
            <w:tcW w:type="dxa" w:w="3572"/>
            <w:vAlign w:val="center"/>
            <w:shd w:fill="F2F2F2"/>
          </w:tcPr>
          <w:p>
            <w:pPr>
              <w:spacing w:after="0"/>
            </w:pPr>
            <w:r/>
            <w:r>
              <w:rPr>
                <w:rFonts w:ascii="Aptos" w:hAnsi="Aptos"/>
                <w:b w:val="0"/>
                <w:sz w:val="15"/>
              </w:rPr>
              <w:t>Resultados trazables y calidad de datos</w:t>
            </w:r>
          </w:p>
        </w:tc>
        <w:tc>
          <w:tcPr>
            <w:tcW w:type="dxa" w:w="3685"/>
            <w:vAlign w:val="center"/>
            <w:shd w:fill="F2F2F2"/>
          </w:tcPr>
          <w:p>
            <w:pPr>
              <w:spacing w:after="0"/>
            </w:pPr>
            <w:r/>
            <w:r>
              <w:rPr>
                <w:rFonts w:ascii="Aptos" w:hAnsi="Aptos"/>
                <w:b w:val="0"/>
                <w:sz w:val="15"/>
              </w:rPr>
              <w:t>Tablas de hipótesis y cargas listas para memoria</w:t>
            </w:r>
          </w:p>
        </w:tc>
      </w:tr>
    </w:tbl>
    <w:p>
      <w:pPr>
        <w:spacing w:after="0"/>
      </w:pPr>
    </w:p>
    <w:p>
      <w:pPr>
        <w:pStyle w:val="Heading1"/>
        <w:spacing w:after="80"/>
      </w:pPr>
      <w:r>
        <w:t>5. Modelo conceptual de acciones</w:t>
      </w:r>
    </w:p>
    <w:p>
      <w:pPr>
        <w:spacing w:after="80"/>
      </w:pPr>
      <w:r>
        <w:t>La aplicación distinguirá cinco niveles para evitar mezclar conceptos: fuente, parámetro, acción característica, caso de carga y combinación. Una envolvente no es una combinación adicional sino un resultado agregado sobre varias ejecuciones o direcciones.</w:t>
      </w:r>
    </w:p>
    <w:tbl>
      <w:tblPr>
        <w:tblStyle w:val="TableGrid"/>
        <w:tblW w:type="auto" w:w="0"/>
        <w:jc w:val="center"/>
        <w:tblLook w:firstColumn="1" w:firstRow="1" w:lastColumn="0" w:lastRow="0" w:noHBand="0" w:noVBand="1" w:val="04A0"/>
      </w:tblPr>
      <w:tblGrid>
        <w:gridCol w:w="3438"/>
        <w:gridCol w:w="3438"/>
        <w:gridCol w:w="3438"/>
      </w:tblGrid>
      <w:tr>
        <w:tc>
          <w:tcPr>
            <w:tcW w:type="dxa" w:w="1701"/>
            <w:vAlign w:val="center"/>
            <w:shd w:fill="111111"/>
          </w:tcPr>
          <w:p>
            <w:pPr>
              <w:spacing w:after="0"/>
            </w:pPr>
            <w:r/>
            <w:r>
              <w:rPr>
                <w:rFonts w:ascii="Aptos" w:hAnsi="Aptos"/>
                <w:b/>
                <w:color w:val="FFFFFF"/>
                <w:sz w:val="15"/>
              </w:rPr>
              <w:t>Nivel</w:t>
            </w:r>
          </w:p>
        </w:tc>
        <w:tc>
          <w:tcPr>
            <w:tcW w:type="dxa" w:w="3402"/>
            <w:vAlign w:val="center"/>
            <w:shd w:fill="111111"/>
          </w:tcPr>
          <w:p>
            <w:pPr>
              <w:spacing w:after="0"/>
            </w:pPr>
            <w:r/>
            <w:r>
              <w:rPr>
                <w:rFonts w:ascii="Aptos" w:hAnsi="Aptos"/>
                <w:b/>
                <w:color w:val="FFFFFF"/>
                <w:sz w:val="15"/>
              </w:rPr>
              <w:t>Definición</w:t>
            </w:r>
          </w:p>
        </w:tc>
        <w:tc>
          <w:tcPr>
            <w:tcW w:type="dxa" w:w="3969"/>
            <w:vAlign w:val="center"/>
            <w:shd w:fill="111111"/>
          </w:tcPr>
          <w:p>
            <w:pPr>
              <w:spacing w:after="0"/>
            </w:pPr>
            <w:r/>
            <w:r>
              <w:rPr>
                <w:rFonts w:ascii="Aptos" w:hAnsi="Aptos"/>
                <w:b/>
                <w:color w:val="FFFFFF"/>
                <w:sz w:val="15"/>
              </w:rPr>
              <w:t>Ejemplo</w:t>
            </w:r>
          </w:p>
        </w:tc>
      </w:tr>
      <w:tr>
        <w:tc>
          <w:tcPr>
            <w:tcW w:type="dxa" w:w="1701"/>
            <w:vAlign w:val="center"/>
          </w:tcPr>
          <w:p>
            <w:pPr>
              <w:spacing w:after="0"/>
            </w:pPr>
            <w:r/>
            <w:r>
              <w:rPr>
                <w:rFonts w:ascii="Aptos" w:hAnsi="Aptos"/>
                <w:b w:val="0"/>
                <w:sz w:val="15"/>
              </w:rPr>
              <w:t>Fuente</w:t>
            </w:r>
          </w:p>
        </w:tc>
        <w:tc>
          <w:tcPr>
            <w:tcW w:type="dxa" w:w="3402"/>
            <w:vAlign w:val="center"/>
          </w:tcPr>
          <w:p>
            <w:pPr>
              <w:spacing w:after="0"/>
            </w:pPr>
            <w:r/>
            <w:r>
              <w:rPr>
                <w:rFonts w:ascii="Aptos" w:hAnsi="Aptos"/>
                <w:b w:val="0"/>
                <w:sz w:val="15"/>
              </w:rPr>
              <w:t>Origen verificable de un dato</w:t>
            </w:r>
          </w:p>
        </w:tc>
        <w:tc>
          <w:tcPr>
            <w:tcW w:type="dxa" w:w="3969"/>
            <w:vAlign w:val="center"/>
          </w:tcPr>
          <w:p>
            <w:pPr>
              <w:spacing w:after="0"/>
            </w:pPr>
            <w:r/>
            <w:r>
              <w:rPr>
                <w:rFonts w:ascii="Aptos" w:hAnsi="Aptos"/>
                <w:b w:val="0"/>
                <w:sz w:val="15"/>
              </w:rPr>
              <w:t>Mapa nacional de viento, ficha de luminaria, estudio geotécnico</w:t>
            </w:r>
          </w:p>
        </w:tc>
      </w:tr>
      <w:tr>
        <w:tc>
          <w:tcPr>
            <w:tcW w:type="dxa" w:w="1701"/>
            <w:vAlign w:val="center"/>
            <w:shd w:fill="F2F2F2"/>
          </w:tcPr>
          <w:p>
            <w:pPr>
              <w:spacing w:after="0"/>
            </w:pPr>
            <w:r/>
            <w:r>
              <w:rPr>
                <w:rFonts w:ascii="Aptos" w:hAnsi="Aptos"/>
                <w:b w:val="0"/>
                <w:sz w:val="15"/>
              </w:rPr>
              <w:t>Parámetro</w:t>
            </w:r>
          </w:p>
        </w:tc>
        <w:tc>
          <w:tcPr>
            <w:tcW w:type="dxa" w:w="3402"/>
            <w:vAlign w:val="center"/>
            <w:shd w:fill="F2F2F2"/>
          </w:tcPr>
          <w:p>
            <w:pPr>
              <w:spacing w:after="0"/>
            </w:pPr>
            <w:r/>
            <w:r>
              <w:rPr>
                <w:rFonts w:ascii="Aptos" w:hAnsi="Aptos"/>
                <w:b w:val="0"/>
                <w:sz w:val="15"/>
              </w:rPr>
              <w:t>Valor contextual o normativo</w:t>
            </w:r>
          </w:p>
        </w:tc>
        <w:tc>
          <w:tcPr>
            <w:tcW w:type="dxa" w:w="3969"/>
            <w:vAlign w:val="center"/>
            <w:shd w:fill="F2F2F2"/>
          </w:tcPr>
          <w:p>
            <w:pPr>
              <w:spacing w:after="0"/>
            </w:pPr>
            <w:r/>
            <w:r>
              <w:rPr>
                <w:rFonts w:ascii="Aptos" w:hAnsi="Aptos"/>
                <w:b w:val="0"/>
                <w:sz w:val="15"/>
              </w:rPr>
              <w:t>Velocidad básica, densidad de aire, coeficiente de forma</w:t>
            </w:r>
          </w:p>
        </w:tc>
      </w:tr>
      <w:tr>
        <w:tc>
          <w:tcPr>
            <w:tcW w:type="dxa" w:w="1701"/>
            <w:vAlign w:val="center"/>
          </w:tcPr>
          <w:p>
            <w:pPr>
              <w:spacing w:after="0"/>
            </w:pPr>
            <w:r/>
            <w:r>
              <w:rPr>
                <w:rFonts w:ascii="Aptos" w:hAnsi="Aptos"/>
                <w:b w:val="0"/>
                <w:sz w:val="15"/>
              </w:rPr>
              <w:t>Acción característica</w:t>
            </w:r>
          </w:p>
        </w:tc>
        <w:tc>
          <w:tcPr>
            <w:tcW w:type="dxa" w:w="3402"/>
            <w:vAlign w:val="center"/>
          </w:tcPr>
          <w:p>
            <w:pPr>
              <w:spacing w:after="0"/>
            </w:pPr>
            <w:r/>
            <w:r>
              <w:rPr>
                <w:rFonts w:ascii="Aptos" w:hAnsi="Aptos"/>
                <w:b w:val="0"/>
                <w:sz w:val="15"/>
              </w:rPr>
              <w:t>Acción física sin factores de combinación</w:t>
            </w:r>
          </w:p>
        </w:tc>
        <w:tc>
          <w:tcPr>
            <w:tcW w:type="dxa" w:w="3969"/>
            <w:vAlign w:val="center"/>
          </w:tcPr>
          <w:p>
            <w:pPr>
              <w:spacing w:after="0"/>
            </w:pPr>
            <w:r/>
            <w:r>
              <w:rPr>
                <w:rFonts w:ascii="Aptos" w:hAnsi="Aptos"/>
                <w:b w:val="0"/>
                <w:sz w:val="15"/>
              </w:rPr>
              <w:t>Presión de viento a una cota, peso de luminaria</w:t>
            </w:r>
          </w:p>
        </w:tc>
      </w:tr>
      <w:tr>
        <w:tc>
          <w:tcPr>
            <w:tcW w:type="dxa" w:w="1701"/>
            <w:vAlign w:val="center"/>
            <w:shd w:fill="F2F2F2"/>
          </w:tcPr>
          <w:p>
            <w:pPr>
              <w:spacing w:after="0"/>
            </w:pPr>
            <w:r/>
            <w:r>
              <w:rPr>
                <w:rFonts w:ascii="Aptos" w:hAnsi="Aptos"/>
                <w:b w:val="0"/>
                <w:sz w:val="15"/>
              </w:rPr>
              <w:t>Caso de carga</w:t>
            </w:r>
          </w:p>
        </w:tc>
        <w:tc>
          <w:tcPr>
            <w:tcW w:type="dxa" w:w="3402"/>
            <w:vAlign w:val="center"/>
            <w:shd w:fill="F2F2F2"/>
          </w:tcPr>
          <w:p>
            <w:pPr>
              <w:spacing w:after="0"/>
            </w:pPr>
            <w:r/>
            <w:r>
              <w:rPr>
                <w:rFonts w:ascii="Aptos" w:hAnsi="Aptos"/>
                <w:b w:val="0"/>
                <w:sz w:val="15"/>
              </w:rPr>
              <w:t>Conjunto coherente de acciones simultáneas</w:t>
            </w:r>
          </w:p>
        </w:tc>
        <w:tc>
          <w:tcPr>
            <w:tcW w:type="dxa" w:w="3969"/>
            <w:vAlign w:val="center"/>
            <w:shd w:fill="F2F2F2"/>
          </w:tcPr>
          <w:p>
            <w:pPr>
              <w:spacing w:after="0"/>
            </w:pPr>
            <w:r/>
            <w:r>
              <w:rPr>
                <w:rFonts w:ascii="Aptos" w:hAnsi="Aptos"/>
                <w:b w:val="0"/>
                <w:sz w:val="15"/>
              </w:rPr>
              <w:t>Viento 60° + peso propio + tensiones de cables</w:t>
            </w:r>
          </w:p>
        </w:tc>
      </w:tr>
      <w:tr>
        <w:tc>
          <w:tcPr>
            <w:tcW w:type="dxa" w:w="1701"/>
            <w:vAlign w:val="center"/>
          </w:tcPr>
          <w:p>
            <w:pPr>
              <w:spacing w:after="0"/>
            </w:pPr>
            <w:r/>
            <w:r>
              <w:rPr>
                <w:rFonts w:ascii="Aptos" w:hAnsi="Aptos"/>
                <w:b w:val="0"/>
                <w:sz w:val="15"/>
              </w:rPr>
              <w:t>Combinación</w:t>
            </w:r>
          </w:p>
        </w:tc>
        <w:tc>
          <w:tcPr>
            <w:tcW w:type="dxa" w:w="3402"/>
            <w:vAlign w:val="center"/>
          </w:tcPr>
          <w:p>
            <w:pPr>
              <w:spacing w:after="0"/>
            </w:pPr>
            <w:r/>
            <w:r>
              <w:rPr>
                <w:rFonts w:ascii="Aptos" w:hAnsi="Aptos"/>
                <w:b w:val="0"/>
                <w:sz w:val="15"/>
              </w:rPr>
              <w:t>Caso o suma de casos con factores parciales y de simultaneidad</w:t>
            </w:r>
          </w:p>
        </w:tc>
        <w:tc>
          <w:tcPr>
            <w:tcW w:type="dxa" w:w="3969"/>
            <w:vAlign w:val="center"/>
          </w:tcPr>
          <w:p>
            <w:pPr>
              <w:spacing w:after="0"/>
            </w:pPr>
            <w:r/>
            <w:r>
              <w:rPr>
                <w:rFonts w:ascii="Aptos" w:hAnsi="Aptos"/>
                <w:b w:val="0"/>
                <w:sz w:val="15"/>
              </w:rPr>
              <w:t>ELU persistente dirección 60°</w:t>
            </w:r>
          </w:p>
        </w:tc>
      </w:tr>
      <w:tr>
        <w:tc>
          <w:tcPr>
            <w:tcW w:type="dxa" w:w="1701"/>
            <w:vAlign w:val="center"/>
            <w:shd w:fill="F2F2F2"/>
          </w:tcPr>
          <w:p>
            <w:pPr>
              <w:spacing w:after="0"/>
            </w:pPr>
            <w:r/>
            <w:r>
              <w:rPr>
                <w:rFonts w:ascii="Aptos" w:hAnsi="Aptos"/>
                <w:b w:val="0"/>
                <w:sz w:val="15"/>
              </w:rPr>
              <w:t>Envolvente</w:t>
            </w:r>
          </w:p>
        </w:tc>
        <w:tc>
          <w:tcPr>
            <w:tcW w:type="dxa" w:w="3402"/>
            <w:vAlign w:val="center"/>
            <w:shd w:fill="F2F2F2"/>
          </w:tcPr>
          <w:p>
            <w:pPr>
              <w:spacing w:after="0"/>
            </w:pPr>
            <w:r/>
            <w:r>
              <w:rPr>
                <w:rFonts w:ascii="Aptos" w:hAnsi="Aptos"/>
                <w:b w:val="0"/>
                <w:sz w:val="15"/>
              </w:rPr>
              <w:t>Máximo/mínimo por magnitud y ubicación</w:t>
            </w:r>
          </w:p>
        </w:tc>
        <w:tc>
          <w:tcPr>
            <w:tcW w:type="dxa" w:w="3969"/>
            <w:vAlign w:val="center"/>
            <w:shd w:fill="F2F2F2"/>
          </w:tcPr>
          <w:p>
            <w:pPr>
              <w:spacing w:after="0"/>
            </w:pPr>
            <w:r/>
            <w:r>
              <w:rPr>
                <w:rFonts w:ascii="Aptos" w:hAnsi="Aptos"/>
                <w:b w:val="0"/>
                <w:sz w:val="15"/>
              </w:rPr>
              <w:t>Máximo momento flector en puerta entre 12 direcciones</w:t>
            </w:r>
          </w:p>
        </w:tc>
      </w:tr>
    </w:tbl>
    <w:p>
      <w:pPr>
        <w:spacing w:after="0"/>
      </w:pPr>
    </w:p>
    <w:p>
      <w:pPr>
        <w:pStyle w:val="Heading2"/>
        <w:spacing w:after="80"/>
      </w:pPr>
      <w:r>
        <w:t>5.1 Taxonomía mínima</w:t>
      </w:r>
    </w:p>
    <w:p>
      <w:pPr>
        <w:pStyle w:val="ListBullet"/>
        <w:spacing w:after="30"/>
      </w:pPr>
      <w:r>
        <w:t>G: permanentes</w:t>
      </w:r>
    </w:p>
    <w:p>
      <w:pPr>
        <w:pStyle w:val="ListBullet"/>
        <w:spacing w:after="30"/>
      </w:pPr>
      <w:r>
        <w:t>W: viento</w:t>
      </w:r>
    </w:p>
    <w:p>
      <w:pPr>
        <w:pStyle w:val="ListBullet"/>
        <w:spacing w:after="30"/>
      </w:pPr>
      <w:r>
        <w:t>S: nieve</w:t>
      </w:r>
    </w:p>
    <w:p>
      <w:pPr>
        <w:pStyle w:val="ListBullet"/>
        <w:spacing w:after="30"/>
      </w:pPr>
      <w:r>
        <w:t>I: hielo</w:t>
      </w:r>
    </w:p>
    <w:p>
      <w:pPr>
        <w:pStyle w:val="ListBullet"/>
        <w:spacing w:after="30"/>
      </w:pPr>
      <w:r>
        <w:t>E: sismo</w:t>
      </w:r>
    </w:p>
    <w:p>
      <w:pPr>
        <w:pStyle w:val="ListBullet"/>
        <w:spacing w:after="30"/>
      </w:pPr>
      <w:r>
        <w:t>T: temperatura</w:t>
      </w:r>
    </w:p>
    <w:p>
      <w:pPr>
        <w:pStyle w:val="ListBullet"/>
        <w:spacing w:after="30"/>
      </w:pPr>
      <w:r>
        <w:t>C: cables</w:t>
      </w:r>
    </w:p>
    <w:p>
      <w:pPr>
        <w:pStyle w:val="ListBullet"/>
        <w:spacing w:after="30"/>
      </w:pPr>
      <w:r>
        <w:t>M: mantenimiento/montaje</w:t>
      </w:r>
    </w:p>
    <w:p>
      <w:pPr>
        <w:pStyle w:val="ListBullet"/>
        <w:spacing w:after="30"/>
      </w:pPr>
      <w:r>
        <w:t>A: accidental</w:t>
      </w:r>
    </w:p>
    <w:p>
      <w:pPr>
        <w:pStyle w:val="ListBullet"/>
        <w:spacing w:after="30"/>
      </w:pPr>
      <w:r>
        <w:t>P: pretensado o acciones internas prescritas cuando corresponda</w:t>
      </w:r>
    </w:p>
    <w:p>
      <w:pPr>
        <w:pStyle w:val="Heading1"/>
        <w:spacing w:after="80"/>
      </w:pPr>
      <w:r>
        <w:t>6. Ubicación y resolución geográfica</w:t>
      </w:r>
    </w:p>
    <w:p>
      <w:pPr>
        <w:spacing w:after="80"/>
      </w:pPr>
      <w:r>
        <w:t>La ubicación es una entidad versionada, no un simple par de coordenadas. El usuario podrá localizar por mapa, dirección, coordenadas o importación GIS. El sistema resolverá jurisdicciones y propondrá los parámetros aplicables. La confirmación del usuario será obligatoria antes de congelar una revisión de cálculo.</w:t>
      </w:r>
    </w:p>
    <w:p>
      <w:pPr>
        <w:pStyle w:val="Heading2"/>
        <w:spacing w:after="80"/>
      </w:pPr>
      <w:r>
        <w:t>6.1 Datos mínimos de ubicación</w:t>
      </w:r>
    </w:p>
    <w:tbl>
      <w:tblPr>
        <w:tblStyle w:val="TableGrid"/>
        <w:tblW w:type="auto" w:w="0"/>
        <w:jc w:val="center"/>
        <w:tblLook w:firstColumn="1" w:firstRow="1" w:lastColumn="0" w:lastRow="0" w:noHBand="0" w:noVBand="1" w:val="04A0"/>
      </w:tblPr>
      <w:tblGrid>
        <w:gridCol w:w="2578"/>
        <w:gridCol w:w="2578"/>
        <w:gridCol w:w="2578"/>
        <w:gridCol w:w="2578"/>
      </w:tblGrid>
      <w:tr>
        <w:tc>
          <w:tcPr>
            <w:tcW w:type="dxa" w:w="1814"/>
            <w:vAlign w:val="center"/>
            <w:shd w:fill="111111"/>
          </w:tcPr>
          <w:p>
            <w:pPr>
              <w:spacing w:after="0"/>
            </w:pPr>
            <w:r/>
            <w:r>
              <w:rPr>
                <w:rFonts w:ascii="Aptos" w:hAnsi="Aptos"/>
                <w:b/>
                <w:color w:val="FFFFFF"/>
                <w:sz w:val="15"/>
              </w:rPr>
              <w:t>Dato</w:t>
            </w:r>
          </w:p>
        </w:tc>
        <w:tc>
          <w:tcPr>
            <w:tcW w:type="dxa" w:w="1247"/>
            <w:vAlign w:val="center"/>
            <w:shd w:fill="111111"/>
          </w:tcPr>
          <w:p>
            <w:pPr>
              <w:spacing w:after="0"/>
            </w:pPr>
            <w:r/>
            <w:r>
              <w:rPr>
                <w:rFonts w:ascii="Aptos" w:hAnsi="Aptos"/>
                <w:b/>
                <w:color w:val="FFFFFF"/>
                <w:sz w:val="15"/>
              </w:rPr>
              <w:t>Obligatorio</w:t>
            </w:r>
          </w:p>
        </w:tc>
        <w:tc>
          <w:tcPr>
            <w:tcW w:type="dxa" w:w="3005"/>
            <w:vAlign w:val="center"/>
            <w:shd w:fill="111111"/>
          </w:tcPr>
          <w:p>
            <w:pPr>
              <w:spacing w:after="0"/>
            </w:pPr>
            <w:r/>
            <w:r>
              <w:rPr>
                <w:rFonts w:ascii="Aptos" w:hAnsi="Aptos"/>
                <w:b/>
                <w:color w:val="FFFFFF"/>
                <w:sz w:val="15"/>
              </w:rPr>
              <w:t>Origen posible</w:t>
            </w:r>
          </w:p>
        </w:tc>
        <w:tc>
          <w:tcPr>
            <w:tcW w:type="dxa" w:w="3685"/>
            <w:vAlign w:val="center"/>
            <w:shd w:fill="111111"/>
          </w:tcPr>
          <w:p>
            <w:pPr>
              <w:spacing w:after="0"/>
            </w:pPr>
            <w:r/>
            <w:r>
              <w:rPr>
                <w:rFonts w:ascii="Aptos" w:hAnsi="Aptos"/>
                <w:b/>
                <w:color w:val="FFFFFF"/>
                <w:sz w:val="15"/>
              </w:rPr>
              <w:t>Regla</w:t>
            </w:r>
          </w:p>
        </w:tc>
      </w:tr>
      <w:tr>
        <w:tc>
          <w:tcPr>
            <w:tcW w:type="dxa" w:w="1814"/>
            <w:vAlign w:val="center"/>
          </w:tcPr>
          <w:p>
            <w:pPr>
              <w:spacing w:after="0"/>
            </w:pPr>
            <w:r/>
            <w:r>
              <w:rPr>
                <w:rFonts w:ascii="Aptos" w:hAnsi="Aptos"/>
                <w:b w:val="0"/>
                <w:sz w:val="15"/>
              </w:rPr>
              <w:t>Latitud / longitud</w:t>
            </w:r>
          </w:p>
        </w:tc>
        <w:tc>
          <w:tcPr>
            <w:tcW w:type="dxa" w:w="1247"/>
            <w:vAlign w:val="center"/>
          </w:tcPr>
          <w:p>
            <w:pPr>
              <w:spacing w:after="0"/>
            </w:pPr>
            <w:r/>
            <w:r>
              <w:rPr>
                <w:rFonts w:ascii="Aptos" w:hAnsi="Aptos"/>
                <w:b w:val="0"/>
                <w:sz w:val="15"/>
              </w:rPr>
              <w:t>Sí</w:t>
            </w:r>
          </w:p>
        </w:tc>
        <w:tc>
          <w:tcPr>
            <w:tcW w:type="dxa" w:w="3005"/>
            <w:vAlign w:val="center"/>
          </w:tcPr>
          <w:p>
            <w:pPr>
              <w:spacing w:after="0"/>
            </w:pPr>
            <w:r/>
            <w:r>
              <w:rPr>
                <w:rFonts w:ascii="Aptos" w:hAnsi="Aptos"/>
                <w:b w:val="0"/>
                <w:sz w:val="15"/>
              </w:rPr>
              <w:t>Mapa, GPS, GIS, importación</w:t>
            </w:r>
          </w:p>
        </w:tc>
        <w:tc>
          <w:tcPr>
            <w:tcW w:type="dxa" w:w="3685"/>
            <w:vAlign w:val="center"/>
          </w:tcPr>
          <w:p>
            <w:pPr>
              <w:spacing w:after="0"/>
            </w:pPr>
            <w:r/>
            <w:r>
              <w:rPr>
                <w:rFonts w:ascii="Aptos" w:hAnsi="Aptos"/>
                <w:b w:val="0"/>
                <w:sz w:val="15"/>
              </w:rPr>
              <w:t>WGS84, precisión almacenada</w:t>
            </w:r>
          </w:p>
        </w:tc>
      </w:tr>
      <w:tr>
        <w:tc>
          <w:tcPr>
            <w:tcW w:type="dxa" w:w="1814"/>
            <w:vAlign w:val="center"/>
            <w:shd w:fill="F2F2F2"/>
          </w:tcPr>
          <w:p>
            <w:pPr>
              <w:spacing w:after="0"/>
            </w:pPr>
            <w:r/>
            <w:r>
              <w:rPr>
                <w:rFonts w:ascii="Aptos" w:hAnsi="Aptos"/>
                <w:b w:val="0"/>
                <w:sz w:val="15"/>
              </w:rPr>
              <w:t>País</w:t>
            </w:r>
          </w:p>
        </w:tc>
        <w:tc>
          <w:tcPr>
            <w:tcW w:type="dxa" w:w="1247"/>
            <w:vAlign w:val="center"/>
            <w:shd w:fill="F2F2F2"/>
          </w:tcPr>
          <w:p>
            <w:pPr>
              <w:spacing w:after="0"/>
            </w:pPr>
            <w:r/>
            <w:r>
              <w:rPr>
                <w:rFonts w:ascii="Aptos" w:hAnsi="Aptos"/>
                <w:b w:val="0"/>
                <w:sz w:val="15"/>
              </w:rPr>
              <w:t>Sí</w:t>
            </w:r>
          </w:p>
        </w:tc>
        <w:tc>
          <w:tcPr>
            <w:tcW w:type="dxa" w:w="3005"/>
            <w:vAlign w:val="center"/>
            <w:shd w:fill="F2F2F2"/>
          </w:tcPr>
          <w:p>
            <w:pPr>
              <w:spacing w:after="0"/>
            </w:pPr>
            <w:r/>
            <w:r>
              <w:rPr>
                <w:rFonts w:ascii="Aptos" w:hAnsi="Aptos"/>
                <w:b w:val="0"/>
                <w:sz w:val="15"/>
              </w:rPr>
              <w:t>Geocodificación + confirmación</w:t>
            </w:r>
          </w:p>
        </w:tc>
        <w:tc>
          <w:tcPr>
            <w:tcW w:type="dxa" w:w="3685"/>
            <w:vAlign w:val="center"/>
            <w:shd w:fill="F2F2F2"/>
          </w:tcPr>
          <w:p>
            <w:pPr>
              <w:spacing w:after="0"/>
            </w:pPr>
            <w:r/>
            <w:r>
              <w:rPr>
                <w:rFonts w:ascii="Aptos" w:hAnsi="Aptos"/>
                <w:b w:val="0"/>
                <w:sz w:val="15"/>
              </w:rPr>
              <w:t>Determina marco normativo</w:t>
            </w:r>
          </w:p>
        </w:tc>
      </w:tr>
      <w:tr>
        <w:tc>
          <w:tcPr>
            <w:tcW w:type="dxa" w:w="1814"/>
            <w:vAlign w:val="center"/>
          </w:tcPr>
          <w:p>
            <w:pPr>
              <w:spacing w:after="0"/>
            </w:pPr>
            <w:r/>
            <w:r>
              <w:rPr>
                <w:rFonts w:ascii="Aptos" w:hAnsi="Aptos"/>
                <w:b w:val="0"/>
                <w:sz w:val="15"/>
              </w:rPr>
              <w:t>Región / provincia</w:t>
            </w:r>
          </w:p>
        </w:tc>
        <w:tc>
          <w:tcPr>
            <w:tcW w:type="dxa" w:w="1247"/>
            <w:vAlign w:val="center"/>
          </w:tcPr>
          <w:p>
            <w:pPr>
              <w:spacing w:after="0"/>
            </w:pPr>
            <w:r/>
            <w:r>
              <w:rPr>
                <w:rFonts w:ascii="Aptos" w:hAnsi="Aptos"/>
                <w:b w:val="0"/>
                <w:sz w:val="15"/>
              </w:rPr>
              <w:t>Según país</w:t>
            </w:r>
          </w:p>
        </w:tc>
        <w:tc>
          <w:tcPr>
            <w:tcW w:type="dxa" w:w="3005"/>
            <w:vAlign w:val="center"/>
          </w:tcPr>
          <w:p>
            <w:pPr>
              <w:spacing w:after="0"/>
            </w:pPr>
            <w:r/>
            <w:r>
              <w:rPr>
                <w:rFonts w:ascii="Aptos" w:hAnsi="Aptos"/>
                <w:b w:val="0"/>
                <w:sz w:val="15"/>
              </w:rPr>
              <w:t>Geocodificación</w:t>
            </w:r>
          </w:p>
        </w:tc>
        <w:tc>
          <w:tcPr>
            <w:tcW w:type="dxa" w:w="3685"/>
            <w:vAlign w:val="center"/>
          </w:tcPr>
          <w:p>
            <w:pPr>
              <w:spacing w:after="0"/>
            </w:pPr>
            <w:r/>
            <w:r>
              <w:rPr>
                <w:rFonts w:ascii="Aptos" w:hAnsi="Aptos"/>
                <w:b w:val="0"/>
                <w:sz w:val="15"/>
              </w:rPr>
              <w:t>Determina anexo o mapa local</w:t>
            </w:r>
          </w:p>
        </w:tc>
      </w:tr>
      <w:tr>
        <w:tc>
          <w:tcPr>
            <w:tcW w:type="dxa" w:w="1814"/>
            <w:vAlign w:val="center"/>
            <w:shd w:fill="F2F2F2"/>
          </w:tcPr>
          <w:p>
            <w:pPr>
              <w:spacing w:after="0"/>
            </w:pPr>
            <w:r/>
            <w:r>
              <w:rPr>
                <w:rFonts w:ascii="Aptos" w:hAnsi="Aptos"/>
                <w:b w:val="0"/>
                <w:sz w:val="15"/>
              </w:rPr>
              <w:t>Municipio</w:t>
            </w:r>
          </w:p>
        </w:tc>
        <w:tc>
          <w:tcPr>
            <w:tcW w:type="dxa" w:w="1247"/>
            <w:vAlign w:val="center"/>
            <w:shd w:fill="F2F2F2"/>
          </w:tcPr>
          <w:p>
            <w:pPr>
              <w:spacing w:after="0"/>
            </w:pPr>
            <w:r/>
            <w:r>
              <w:rPr>
                <w:rFonts w:ascii="Aptos" w:hAnsi="Aptos"/>
                <w:b w:val="0"/>
                <w:sz w:val="15"/>
              </w:rPr>
              <w:t>Recomendado</w:t>
            </w:r>
          </w:p>
        </w:tc>
        <w:tc>
          <w:tcPr>
            <w:tcW w:type="dxa" w:w="3005"/>
            <w:vAlign w:val="center"/>
            <w:shd w:fill="F2F2F2"/>
          </w:tcPr>
          <w:p>
            <w:pPr>
              <w:spacing w:after="0"/>
            </w:pPr>
            <w:r/>
            <w:r>
              <w:rPr>
                <w:rFonts w:ascii="Aptos" w:hAnsi="Aptos"/>
                <w:b w:val="0"/>
                <w:sz w:val="15"/>
              </w:rPr>
              <w:t>Geocodificación</w:t>
            </w:r>
          </w:p>
        </w:tc>
        <w:tc>
          <w:tcPr>
            <w:tcW w:type="dxa" w:w="3685"/>
            <w:vAlign w:val="center"/>
            <w:shd w:fill="F2F2F2"/>
          </w:tcPr>
          <w:p>
            <w:pPr>
              <w:spacing w:after="0"/>
            </w:pPr>
            <w:r/>
            <w:r>
              <w:rPr>
                <w:rFonts w:ascii="Aptos" w:hAnsi="Aptos"/>
                <w:b w:val="0"/>
                <w:sz w:val="15"/>
              </w:rPr>
              <w:t>Trazabilidad y posibles reglas locales</w:t>
            </w:r>
          </w:p>
        </w:tc>
      </w:tr>
      <w:tr>
        <w:tc>
          <w:tcPr>
            <w:tcW w:type="dxa" w:w="1814"/>
            <w:vAlign w:val="center"/>
          </w:tcPr>
          <w:p>
            <w:pPr>
              <w:spacing w:after="0"/>
            </w:pPr>
            <w:r/>
            <w:r>
              <w:rPr>
                <w:rFonts w:ascii="Aptos" w:hAnsi="Aptos"/>
                <w:b w:val="0"/>
                <w:sz w:val="15"/>
              </w:rPr>
              <w:t>Altitud</w:t>
            </w:r>
          </w:p>
        </w:tc>
        <w:tc>
          <w:tcPr>
            <w:tcW w:type="dxa" w:w="1247"/>
            <w:vAlign w:val="center"/>
          </w:tcPr>
          <w:p>
            <w:pPr>
              <w:spacing w:after="0"/>
            </w:pPr>
            <w:r/>
            <w:r>
              <w:rPr>
                <w:rFonts w:ascii="Aptos" w:hAnsi="Aptos"/>
                <w:b w:val="0"/>
                <w:sz w:val="15"/>
              </w:rPr>
              <w:t>Sí para cálculo automático</w:t>
            </w:r>
          </w:p>
        </w:tc>
        <w:tc>
          <w:tcPr>
            <w:tcW w:type="dxa" w:w="3005"/>
            <w:vAlign w:val="center"/>
          </w:tcPr>
          <w:p>
            <w:pPr>
              <w:spacing w:after="0"/>
            </w:pPr>
            <w:r/>
            <w:r>
              <w:rPr>
                <w:rFonts w:ascii="Aptos" w:hAnsi="Aptos"/>
                <w:b w:val="0"/>
                <w:sz w:val="15"/>
              </w:rPr>
              <w:t>Modelo digital / usuario</w:t>
            </w:r>
          </w:p>
        </w:tc>
        <w:tc>
          <w:tcPr>
            <w:tcW w:type="dxa" w:w="3685"/>
            <w:vAlign w:val="center"/>
          </w:tcPr>
          <w:p>
            <w:pPr>
              <w:spacing w:after="0"/>
            </w:pPr>
            <w:r/>
            <w:r>
              <w:rPr>
                <w:rFonts w:ascii="Aptos" w:hAnsi="Aptos"/>
                <w:b w:val="0"/>
                <w:sz w:val="15"/>
              </w:rPr>
              <w:t>Guardar fuente y resolución</w:t>
            </w:r>
          </w:p>
        </w:tc>
      </w:tr>
      <w:tr>
        <w:tc>
          <w:tcPr>
            <w:tcW w:type="dxa" w:w="1814"/>
            <w:vAlign w:val="center"/>
            <w:shd w:fill="F2F2F2"/>
          </w:tcPr>
          <w:p>
            <w:pPr>
              <w:spacing w:after="0"/>
            </w:pPr>
            <w:r/>
            <w:r>
              <w:rPr>
                <w:rFonts w:ascii="Aptos" w:hAnsi="Aptos"/>
                <w:b w:val="0"/>
                <w:sz w:val="15"/>
              </w:rPr>
              <w:t>Fecha de referencia</w:t>
            </w:r>
          </w:p>
        </w:tc>
        <w:tc>
          <w:tcPr>
            <w:tcW w:type="dxa" w:w="1247"/>
            <w:vAlign w:val="center"/>
            <w:shd w:fill="F2F2F2"/>
          </w:tcPr>
          <w:p>
            <w:pPr>
              <w:spacing w:after="0"/>
            </w:pPr>
            <w:r/>
            <w:r>
              <w:rPr>
                <w:rFonts w:ascii="Aptos" w:hAnsi="Aptos"/>
                <w:b w:val="0"/>
                <w:sz w:val="15"/>
              </w:rPr>
              <w:t>Sí</w:t>
            </w:r>
          </w:p>
        </w:tc>
        <w:tc>
          <w:tcPr>
            <w:tcW w:type="dxa" w:w="3005"/>
            <w:vAlign w:val="center"/>
            <w:shd w:fill="F2F2F2"/>
          </w:tcPr>
          <w:p>
            <w:pPr>
              <w:spacing w:after="0"/>
            </w:pPr>
            <w:r/>
            <w:r>
              <w:rPr>
                <w:rFonts w:ascii="Aptos" w:hAnsi="Aptos"/>
                <w:b w:val="0"/>
                <w:sz w:val="15"/>
              </w:rPr>
              <w:t>Proyecto</w:t>
            </w:r>
          </w:p>
        </w:tc>
        <w:tc>
          <w:tcPr>
            <w:tcW w:type="dxa" w:w="3685"/>
            <w:vAlign w:val="center"/>
            <w:shd w:fill="F2F2F2"/>
          </w:tcPr>
          <w:p>
            <w:pPr>
              <w:spacing w:after="0"/>
            </w:pPr>
            <w:r/>
            <w:r>
              <w:rPr>
                <w:rFonts w:ascii="Aptos" w:hAnsi="Aptos"/>
                <w:b w:val="0"/>
                <w:sz w:val="15"/>
              </w:rPr>
              <w:t>Determina versión y vida útil</w:t>
            </w:r>
          </w:p>
        </w:tc>
      </w:tr>
      <w:tr>
        <w:tc>
          <w:tcPr>
            <w:tcW w:type="dxa" w:w="1814"/>
            <w:vAlign w:val="center"/>
          </w:tcPr>
          <w:p>
            <w:pPr>
              <w:spacing w:after="0"/>
            </w:pPr>
            <w:r/>
            <w:r>
              <w:rPr>
                <w:rFonts w:ascii="Aptos" w:hAnsi="Aptos"/>
                <w:b w:val="0"/>
                <w:sz w:val="15"/>
              </w:rPr>
              <w:t>Entorno</w:t>
            </w:r>
          </w:p>
        </w:tc>
        <w:tc>
          <w:tcPr>
            <w:tcW w:type="dxa" w:w="1247"/>
            <w:vAlign w:val="center"/>
          </w:tcPr>
          <w:p>
            <w:pPr>
              <w:spacing w:after="0"/>
            </w:pPr>
            <w:r/>
            <w:r>
              <w:rPr>
                <w:rFonts w:ascii="Aptos" w:hAnsi="Aptos"/>
                <w:b w:val="0"/>
                <w:sz w:val="15"/>
              </w:rPr>
              <w:t>Sí</w:t>
            </w:r>
          </w:p>
        </w:tc>
        <w:tc>
          <w:tcPr>
            <w:tcW w:type="dxa" w:w="3005"/>
            <w:vAlign w:val="center"/>
          </w:tcPr>
          <w:p>
            <w:pPr>
              <w:spacing w:after="0"/>
            </w:pPr>
            <w:r/>
            <w:r>
              <w:rPr>
                <w:rFonts w:ascii="Aptos" w:hAnsi="Aptos"/>
                <w:b w:val="0"/>
                <w:sz w:val="15"/>
              </w:rPr>
              <w:t>Usuario asistido / GIS</w:t>
            </w:r>
          </w:p>
        </w:tc>
        <w:tc>
          <w:tcPr>
            <w:tcW w:type="dxa" w:w="3685"/>
            <w:vAlign w:val="center"/>
          </w:tcPr>
          <w:p>
            <w:pPr>
              <w:spacing w:after="0"/>
            </w:pPr>
            <w:r/>
            <w:r>
              <w:rPr>
                <w:rFonts w:ascii="Aptos" w:hAnsi="Aptos"/>
                <w:b w:val="0"/>
                <w:sz w:val="15"/>
              </w:rPr>
              <w:t>Mar, rural, suburbano, urbano, etc.</w:t>
            </w:r>
          </w:p>
        </w:tc>
      </w:tr>
      <w:tr>
        <w:tc>
          <w:tcPr>
            <w:tcW w:type="dxa" w:w="1814"/>
            <w:vAlign w:val="center"/>
            <w:shd w:fill="F2F2F2"/>
          </w:tcPr>
          <w:p>
            <w:pPr>
              <w:spacing w:after="0"/>
            </w:pPr>
            <w:r/>
            <w:r>
              <w:rPr>
                <w:rFonts w:ascii="Aptos" w:hAnsi="Aptos"/>
                <w:b w:val="0"/>
                <w:sz w:val="15"/>
              </w:rPr>
              <w:t>Vida de proyecto</w:t>
            </w:r>
          </w:p>
        </w:tc>
        <w:tc>
          <w:tcPr>
            <w:tcW w:type="dxa" w:w="1247"/>
            <w:vAlign w:val="center"/>
            <w:shd w:fill="F2F2F2"/>
          </w:tcPr>
          <w:p>
            <w:pPr>
              <w:spacing w:after="0"/>
            </w:pPr>
            <w:r/>
            <w:r>
              <w:rPr>
                <w:rFonts w:ascii="Aptos" w:hAnsi="Aptos"/>
                <w:b w:val="0"/>
                <w:sz w:val="15"/>
              </w:rPr>
              <w:t>Sí</w:t>
            </w:r>
          </w:p>
        </w:tc>
        <w:tc>
          <w:tcPr>
            <w:tcW w:type="dxa" w:w="3005"/>
            <w:vAlign w:val="center"/>
            <w:shd w:fill="F2F2F2"/>
          </w:tcPr>
          <w:p>
            <w:pPr>
              <w:spacing w:after="0"/>
            </w:pPr>
            <w:r/>
            <w:r>
              <w:rPr>
                <w:rFonts w:ascii="Aptos" w:hAnsi="Aptos"/>
                <w:b w:val="0"/>
                <w:sz w:val="15"/>
              </w:rPr>
              <w:t>Usuario/plantilla</w:t>
            </w:r>
          </w:p>
        </w:tc>
        <w:tc>
          <w:tcPr>
            <w:tcW w:type="dxa" w:w="3685"/>
            <w:vAlign w:val="center"/>
            <w:shd w:fill="F2F2F2"/>
          </w:tcPr>
          <w:p>
            <w:pPr>
              <w:spacing w:after="0"/>
            </w:pPr>
            <w:r/>
            <w:r>
              <w:rPr>
                <w:rFonts w:ascii="Aptos" w:hAnsi="Aptos"/>
                <w:b w:val="0"/>
                <w:sz w:val="15"/>
              </w:rPr>
              <w:t>Usada por criterios de retorno y durabilidad</w:t>
            </w:r>
          </w:p>
        </w:tc>
      </w:tr>
    </w:tbl>
    <w:p>
      <w:pPr>
        <w:spacing w:after="0"/>
      </w:pPr>
    </w:p>
    <w:p>
      <w:pPr>
        <w:pStyle w:val="Heading2"/>
        <w:spacing w:after="80"/>
      </w:pPr>
      <w:r>
        <w:t>6.2 Resolver de ubicación</w:t>
      </w:r>
    </w:p>
    <w:p>
      <w:pPr>
        <w:pStyle w:val="ListNumber"/>
        <w:spacing w:after="30"/>
      </w:pPr>
      <w:r>
        <w:t>Normalizar coordenadas y comprobar que se encuentran en un rango válido.</w:t>
      </w:r>
    </w:p>
    <w:p>
      <w:pPr>
        <w:pStyle w:val="ListNumber"/>
        <w:spacing w:after="30"/>
      </w:pPr>
      <w:r>
        <w:t>Resolver país y subdivisiones administrativas.</w:t>
      </w:r>
    </w:p>
    <w:p>
      <w:pPr>
        <w:pStyle w:val="ListNumber"/>
        <w:spacing w:after="30"/>
      </w:pPr>
      <w:r>
        <w:t>Consultar elevación, distancia a costa y capas ambientales disponibles.</w:t>
      </w:r>
    </w:p>
    <w:p>
      <w:pPr>
        <w:pStyle w:val="ListNumber"/>
        <w:spacing w:after="30"/>
      </w:pPr>
      <w:r>
        <w:t>Determinar conjunto normativo candidato según país y fecha.</w:t>
      </w:r>
    </w:p>
    <w:p>
      <w:pPr>
        <w:pStyle w:val="ListNumber"/>
        <w:spacing w:after="30"/>
      </w:pPr>
      <w:r>
        <w:t>Consultar mapas o tablas de viento, nieve y sismo compatibles con dicho conjunto.</w:t>
      </w:r>
    </w:p>
    <w:p>
      <w:pPr>
        <w:pStyle w:val="ListNumber"/>
        <w:spacing w:after="30"/>
      </w:pPr>
      <w:r>
        <w:t>Aplicar interpolación permitida y registrar método, resolución y distancia al dato.</w:t>
      </w:r>
    </w:p>
    <w:p>
      <w:pPr>
        <w:pStyle w:val="ListNumber"/>
        <w:spacing w:after="30"/>
      </w:pPr>
      <w:r>
        <w:t>Generar propuestas con nivel de confianza y advertencias.</w:t>
      </w:r>
    </w:p>
    <w:p>
      <w:pPr>
        <w:pStyle w:val="ListNumber"/>
        <w:spacing w:after="30"/>
      </w:pPr>
      <w:r>
        <w:t>Solicitar confirmación del usuario y congelar los valores aceptados en el snapshot.</w:t>
      </w:r>
    </w:p>
    <w:p>
      <w:pPr>
        <w:pStyle w:val="Requirement"/>
      </w:pPr>
      <w:r>
        <w:rPr>
          <w:b/>
        </w:rPr>
        <w:t xml:space="preserve">GEO-001 [MUST] </w:t>
      </w:r>
      <w:r>
        <w:t>Cada parámetro geográfico deberá incluir value, unit, source_id, source_version, retrieval_date, resolution, interpolation_method, confidence y confirmation_state.</w:t>
      </w:r>
    </w:p>
    <w:p>
      <w:pPr>
        <w:pStyle w:val="Requirement"/>
      </w:pPr>
      <w:r>
        <w:rPr>
          <w:b/>
        </w:rPr>
        <w:t xml:space="preserve">GEO-002 [MUST] </w:t>
      </w:r>
      <w:r>
        <w:t>Si la coordenada se encuentra fuera de la cobertura de una fuente, el sistema no extrapolará sin una regla expresa.</w:t>
      </w:r>
    </w:p>
    <w:p>
      <w:pPr>
        <w:pStyle w:val="Requirement"/>
      </w:pPr>
      <w:r>
        <w:rPr>
          <w:b/>
        </w:rPr>
        <w:t xml:space="preserve">GEO-003 [MUST] </w:t>
      </w:r>
      <w:r>
        <w:t>La modificación manual conservará el valor propuesto, el valor adoptado y la justificación del cambio.</w:t>
      </w:r>
    </w:p>
    <w:p>
      <w:pPr>
        <w:pStyle w:val="Heading2"/>
        <w:spacing w:after="80"/>
      </w:pPr>
      <w:r>
        <w:t>6.3 Calidad y niveles de confianza</w:t>
      </w:r>
    </w:p>
    <w:tbl>
      <w:tblPr>
        <w:tblStyle w:val="TableGrid"/>
        <w:tblW w:type="auto" w:w="0"/>
        <w:jc w:val="center"/>
        <w:tblLook w:firstColumn="1" w:firstRow="1" w:lastColumn="0" w:lastRow="0" w:noHBand="0" w:noVBand="1" w:val="04A0"/>
      </w:tblPr>
      <w:tblGrid>
        <w:gridCol w:w="3438"/>
        <w:gridCol w:w="3438"/>
        <w:gridCol w:w="3438"/>
      </w:tblGrid>
      <w:tr>
        <w:tc>
          <w:tcPr>
            <w:tcW w:type="dxa" w:w="1417"/>
            <w:vAlign w:val="center"/>
            <w:shd w:fill="111111"/>
          </w:tcPr>
          <w:p>
            <w:pPr>
              <w:spacing w:after="0"/>
            </w:pPr>
            <w:r/>
            <w:r>
              <w:rPr>
                <w:rFonts w:ascii="Aptos" w:hAnsi="Aptos"/>
                <w:b/>
                <w:color w:val="FFFFFF"/>
                <w:sz w:val="15"/>
              </w:rPr>
              <w:t>Nivel</w:t>
            </w:r>
          </w:p>
        </w:tc>
        <w:tc>
          <w:tcPr>
            <w:tcW w:type="dxa" w:w="3969"/>
            <w:vAlign w:val="center"/>
            <w:shd w:fill="111111"/>
          </w:tcPr>
          <w:p>
            <w:pPr>
              <w:spacing w:after="0"/>
            </w:pPr>
            <w:r/>
            <w:r>
              <w:rPr>
                <w:rFonts w:ascii="Aptos" w:hAnsi="Aptos"/>
                <w:b/>
                <w:color w:val="FFFFFF"/>
                <w:sz w:val="15"/>
              </w:rPr>
              <w:t>Descripción</w:t>
            </w:r>
          </w:p>
        </w:tc>
        <w:tc>
          <w:tcPr>
            <w:tcW w:type="dxa" w:w="3685"/>
            <w:vAlign w:val="center"/>
            <w:shd w:fill="111111"/>
          </w:tcPr>
          <w:p>
            <w:pPr>
              <w:spacing w:after="0"/>
            </w:pPr>
            <w:r/>
            <w:r>
              <w:rPr>
                <w:rFonts w:ascii="Aptos" w:hAnsi="Aptos"/>
                <w:b/>
                <w:color w:val="FFFFFF"/>
                <w:sz w:val="15"/>
              </w:rPr>
              <w:t>Uso permitido</w:t>
            </w:r>
          </w:p>
        </w:tc>
      </w:tr>
      <w:tr>
        <w:tc>
          <w:tcPr>
            <w:tcW w:type="dxa" w:w="1417"/>
            <w:vAlign w:val="center"/>
          </w:tcPr>
          <w:p>
            <w:pPr>
              <w:spacing w:after="0"/>
            </w:pPr>
            <w:r/>
            <w:r>
              <w:rPr>
                <w:rFonts w:ascii="Aptos" w:hAnsi="Aptos"/>
                <w:b w:val="0"/>
                <w:sz w:val="15"/>
              </w:rPr>
              <w:t>A - Autoritativo</w:t>
            </w:r>
          </w:p>
        </w:tc>
        <w:tc>
          <w:tcPr>
            <w:tcW w:type="dxa" w:w="3969"/>
            <w:vAlign w:val="center"/>
          </w:tcPr>
          <w:p>
            <w:pPr>
              <w:spacing w:after="0"/>
            </w:pPr>
            <w:r/>
            <w:r>
              <w:rPr>
                <w:rFonts w:ascii="Aptos" w:hAnsi="Aptos"/>
                <w:b w:val="0"/>
                <w:sz w:val="15"/>
              </w:rPr>
              <w:t>Mapa/tabla normativa oficial aplicable</w:t>
            </w:r>
          </w:p>
        </w:tc>
        <w:tc>
          <w:tcPr>
            <w:tcW w:type="dxa" w:w="3685"/>
            <w:vAlign w:val="center"/>
          </w:tcPr>
          <w:p>
            <w:pPr>
              <w:spacing w:after="0"/>
            </w:pPr>
            <w:r/>
            <w:r>
              <w:rPr>
                <w:rFonts w:ascii="Aptos" w:hAnsi="Aptos"/>
                <w:b w:val="0"/>
                <w:sz w:val="15"/>
              </w:rPr>
              <w:t>Cálculo oficial tras confirmación</w:t>
            </w:r>
          </w:p>
        </w:tc>
      </w:tr>
      <w:tr>
        <w:tc>
          <w:tcPr>
            <w:tcW w:type="dxa" w:w="1417"/>
            <w:vAlign w:val="center"/>
            <w:shd w:fill="F2F2F2"/>
          </w:tcPr>
          <w:p>
            <w:pPr>
              <w:spacing w:after="0"/>
            </w:pPr>
            <w:r/>
            <w:r>
              <w:rPr>
                <w:rFonts w:ascii="Aptos" w:hAnsi="Aptos"/>
                <w:b w:val="0"/>
                <w:sz w:val="15"/>
              </w:rPr>
              <w:t>B - Fuente pública compatible</w:t>
            </w:r>
          </w:p>
        </w:tc>
        <w:tc>
          <w:tcPr>
            <w:tcW w:type="dxa" w:w="3969"/>
            <w:vAlign w:val="center"/>
            <w:shd w:fill="F2F2F2"/>
          </w:tcPr>
          <w:p>
            <w:pPr>
              <w:spacing w:after="0"/>
            </w:pPr>
            <w:r/>
            <w:r>
              <w:rPr>
                <w:rFonts w:ascii="Aptos" w:hAnsi="Aptos"/>
                <w:b w:val="0"/>
                <w:sz w:val="15"/>
              </w:rPr>
              <w:t>Fuente técnica pública no incorporada directamente en la norma</w:t>
            </w:r>
          </w:p>
        </w:tc>
        <w:tc>
          <w:tcPr>
            <w:tcW w:type="dxa" w:w="3685"/>
            <w:vAlign w:val="center"/>
            <w:shd w:fill="F2F2F2"/>
          </w:tcPr>
          <w:p>
            <w:pPr>
              <w:spacing w:after="0"/>
            </w:pPr>
            <w:r/>
            <w:r>
              <w:rPr>
                <w:rFonts w:ascii="Aptos" w:hAnsi="Aptos"/>
                <w:b w:val="0"/>
                <w:sz w:val="15"/>
              </w:rPr>
              <w:t>Cálculo interno con advertencia y validación OT</w:t>
            </w:r>
          </w:p>
        </w:tc>
      </w:tr>
      <w:tr>
        <w:tc>
          <w:tcPr>
            <w:tcW w:type="dxa" w:w="1417"/>
            <w:vAlign w:val="center"/>
          </w:tcPr>
          <w:p>
            <w:pPr>
              <w:spacing w:after="0"/>
            </w:pPr>
            <w:r/>
            <w:r>
              <w:rPr>
                <w:rFonts w:ascii="Aptos" w:hAnsi="Aptos"/>
                <w:b w:val="0"/>
                <w:sz w:val="15"/>
              </w:rPr>
              <w:t>C - Estimado asistido</w:t>
            </w:r>
          </w:p>
        </w:tc>
        <w:tc>
          <w:tcPr>
            <w:tcW w:type="dxa" w:w="3969"/>
            <w:vAlign w:val="center"/>
          </w:tcPr>
          <w:p>
            <w:pPr>
              <w:spacing w:after="0"/>
            </w:pPr>
            <w:r/>
            <w:r>
              <w:rPr>
                <w:rFonts w:ascii="Aptos" w:hAnsi="Aptos"/>
                <w:b w:val="0"/>
                <w:sz w:val="15"/>
              </w:rPr>
              <w:t>Derivación GIS o aproximación conservadora</w:t>
            </w:r>
          </w:p>
        </w:tc>
        <w:tc>
          <w:tcPr>
            <w:tcW w:type="dxa" w:w="3685"/>
            <w:vAlign w:val="center"/>
          </w:tcPr>
          <w:p>
            <w:pPr>
              <w:spacing w:after="0"/>
            </w:pPr>
            <w:r/>
            <w:r>
              <w:rPr>
                <w:rFonts w:ascii="Aptos" w:hAnsi="Aptos"/>
                <w:b w:val="0"/>
                <w:sz w:val="15"/>
              </w:rPr>
              <w:t>Predimensionamiento; cálculo final requiere aprobación</w:t>
            </w:r>
          </w:p>
        </w:tc>
      </w:tr>
      <w:tr>
        <w:tc>
          <w:tcPr>
            <w:tcW w:type="dxa" w:w="1417"/>
            <w:vAlign w:val="center"/>
            <w:shd w:fill="F2F2F2"/>
          </w:tcPr>
          <w:p>
            <w:pPr>
              <w:spacing w:after="0"/>
            </w:pPr>
            <w:r/>
            <w:r>
              <w:rPr>
                <w:rFonts w:ascii="Aptos" w:hAnsi="Aptos"/>
                <w:b w:val="0"/>
                <w:sz w:val="15"/>
              </w:rPr>
              <w:t>D - Usuario</w:t>
            </w:r>
          </w:p>
        </w:tc>
        <w:tc>
          <w:tcPr>
            <w:tcW w:type="dxa" w:w="3969"/>
            <w:vAlign w:val="center"/>
            <w:shd w:fill="F2F2F2"/>
          </w:tcPr>
          <w:p>
            <w:pPr>
              <w:spacing w:after="0"/>
            </w:pPr>
            <w:r/>
            <w:r>
              <w:rPr>
                <w:rFonts w:ascii="Aptos" w:hAnsi="Aptos"/>
                <w:b w:val="0"/>
                <w:sz w:val="15"/>
              </w:rPr>
              <w:t>Dato contractual o estudio específico</w:t>
            </w:r>
          </w:p>
        </w:tc>
        <w:tc>
          <w:tcPr>
            <w:tcW w:type="dxa" w:w="3685"/>
            <w:vAlign w:val="center"/>
            <w:shd w:fill="F2F2F2"/>
          </w:tcPr>
          <w:p>
            <w:pPr>
              <w:spacing w:after="0"/>
            </w:pPr>
            <w:r/>
            <w:r>
              <w:rPr>
                <w:rFonts w:ascii="Aptos" w:hAnsi="Aptos"/>
                <w:b w:val="0"/>
                <w:sz w:val="15"/>
              </w:rPr>
              <w:t>Permitido con documento y responsable</w:t>
            </w:r>
          </w:p>
        </w:tc>
      </w:tr>
      <w:tr>
        <w:tc>
          <w:tcPr>
            <w:tcW w:type="dxa" w:w="1417"/>
            <w:vAlign w:val="center"/>
          </w:tcPr>
          <w:p>
            <w:pPr>
              <w:spacing w:after="0"/>
            </w:pPr>
            <w:r/>
            <w:r>
              <w:rPr>
                <w:rFonts w:ascii="Aptos" w:hAnsi="Aptos"/>
                <w:b w:val="0"/>
                <w:sz w:val="15"/>
              </w:rPr>
              <w:t>E - Pendiente</w:t>
            </w:r>
          </w:p>
        </w:tc>
        <w:tc>
          <w:tcPr>
            <w:tcW w:type="dxa" w:w="3969"/>
            <w:vAlign w:val="center"/>
          </w:tcPr>
          <w:p>
            <w:pPr>
              <w:spacing w:after="0"/>
            </w:pPr>
            <w:r/>
            <w:r>
              <w:rPr>
                <w:rFonts w:ascii="Aptos" w:hAnsi="Aptos"/>
                <w:b w:val="0"/>
                <w:sz w:val="15"/>
              </w:rPr>
              <w:t>No existe valor suficiente</w:t>
            </w:r>
          </w:p>
        </w:tc>
        <w:tc>
          <w:tcPr>
            <w:tcW w:type="dxa" w:w="3685"/>
            <w:vAlign w:val="center"/>
          </w:tcPr>
          <w:p>
            <w:pPr>
              <w:spacing w:after="0"/>
            </w:pPr>
            <w:r/>
            <w:r>
              <w:rPr>
                <w:rFonts w:ascii="Aptos" w:hAnsi="Aptos"/>
                <w:b w:val="0"/>
                <w:sz w:val="15"/>
              </w:rPr>
              <w:t>Bloquea cálculo oficial</w:t>
            </w:r>
          </w:p>
        </w:tc>
      </w:tr>
    </w:tbl>
    <w:p>
      <w:pPr>
        <w:spacing w:after="0"/>
      </w:pPr>
    </w:p>
    <w:p>
      <w:pPr>
        <w:pStyle w:val="Heading1"/>
        <w:spacing w:after="80"/>
      </w:pPr>
      <w:r>
        <w:t>7. Jerarquía normativa y fuentes</w:t>
      </w:r>
    </w:p>
    <w:p>
      <w:pPr>
        <w:spacing w:after="80"/>
      </w:pPr>
      <w:r>
        <w:t>La aplicación no debe resolver conflictos de forma opaca. La jerarquía por defecto será configurable por mercado y proyecto.</w:t>
      </w:r>
    </w:p>
    <w:p>
      <w:pPr>
        <w:pStyle w:val="ListNumber"/>
        <w:spacing w:after="30"/>
      </w:pPr>
      <w:r>
        <w:t>Requisito contractual explícito del cliente, siempre que no reduzca una exigencia legal obligatoria.</w:t>
      </w:r>
    </w:p>
    <w:p>
      <w:pPr>
        <w:pStyle w:val="ListNumber"/>
        <w:spacing w:after="30"/>
      </w:pPr>
      <w:r>
        <w:t>Legislación y especificación armonizada aplicable al producto.</w:t>
      </w:r>
    </w:p>
    <w:p>
      <w:pPr>
        <w:pStyle w:val="ListNumber"/>
        <w:spacing w:after="30"/>
      </w:pPr>
      <w:r>
        <w:t>Norma nacional y anexo nacional vigente seleccionado para el proyecto.</w:t>
      </w:r>
    </w:p>
    <w:p>
      <w:pPr>
        <w:pStyle w:val="ListNumber"/>
        <w:spacing w:after="30"/>
      </w:pPr>
      <w:r>
        <w:t>Serie EN 40 y normas subsidiarias implementadas.</w:t>
      </w:r>
    </w:p>
    <w:p>
      <w:pPr>
        <w:pStyle w:val="ListNumber"/>
        <w:spacing w:after="30"/>
      </w:pPr>
      <w:r>
        <w:t>Estudio específico firmado o dato de autoridad competente.</w:t>
      </w:r>
    </w:p>
    <w:p>
      <w:pPr>
        <w:pStyle w:val="ListNumber"/>
        <w:spacing w:after="30"/>
      </w:pPr>
      <w:r>
        <w:t>Regla interna Salvi conservadora.</w:t>
      </w:r>
    </w:p>
    <w:p>
      <w:pPr>
        <w:pStyle w:val="ListNumber"/>
        <w:spacing w:after="30"/>
      </w:pPr>
      <w:r>
        <w:t>Valor introducido por usuario, con justificación y aprobación cuando corresponda.</w:t>
      </w:r>
    </w:p>
    <w:p>
      <w:pPr>
        <w:pStyle w:val="Requirement"/>
      </w:pPr>
      <w:r>
        <w:rPr>
          <w:b/>
        </w:rPr>
        <w:t xml:space="preserve">NOR-301 [MUST] </w:t>
      </w:r>
      <w:r>
        <w:t>Cada fórmula y coeficiente de la Fase 3 se implementará como regla versionada, nunca como constante dispersa en código.</w:t>
      </w:r>
    </w:p>
    <w:p>
      <w:pPr>
        <w:pStyle w:val="Requirement"/>
      </w:pPr>
      <w:r>
        <w:rPr>
          <w:b/>
        </w:rPr>
        <w:t xml:space="preserve">NOR-302 [MUST] </w:t>
      </w:r>
      <w:r>
        <w:t>Los proyectos históricos conservarán la edición con la que fueron congelados aunque exista una versión posterior.</w:t>
      </w:r>
    </w:p>
    <w:p>
      <w:pPr>
        <w:pStyle w:val="Requirement"/>
      </w:pPr>
      <w:r>
        <w:rPr>
          <w:b/>
        </w:rPr>
        <w:t xml:space="preserve">NOR-303 [MUST] </w:t>
      </w:r>
      <w:r>
        <w:t>Una actualización de biblioteca generará análisis de impacto y opción de migración, nunca recálculo silencioso.</w:t>
      </w:r>
    </w:p>
    <w:p>
      <w:pPr>
        <w:pStyle w:val="Heading1"/>
        <w:spacing w:after="80"/>
      </w:pPr>
      <w:r>
        <w:t>8. Datos de viento</w:t>
      </w:r>
    </w:p>
    <w:p>
      <w:pPr>
        <w:spacing w:after="80"/>
      </w:pPr>
      <w:r>
        <w:t>El módulo de viento deberá admitir parámetros derivados de mapas nacionales, valores introducidos por el usuario y valores contractuales. El esquema debe ser suficientemente general para representar los conceptos de EN 40-3-1 y las normas de viento subsidiarias sin duplicar datos.</w:t>
      </w:r>
    </w:p>
    <w:p>
      <w:pPr>
        <w:pStyle w:val="Heading2"/>
        <w:spacing w:after="80"/>
      </w:pPr>
      <w:r>
        <w:t>8.1 Parámetros de entrada</w:t>
      </w:r>
    </w:p>
    <w:tbl>
      <w:tblPr>
        <w:tblStyle w:val="TableGrid"/>
        <w:tblW w:type="auto" w:w="0"/>
        <w:jc w:val="center"/>
        <w:tblLook w:firstColumn="1" w:firstRow="1" w:lastColumn="0" w:lastRow="0" w:noHBand="0" w:noVBand="1" w:val="04A0"/>
      </w:tblPr>
      <w:tblGrid>
        <w:gridCol w:w="5156"/>
        <w:gridCol w:w="5156"/>
      </w:tblGrid>
      <w:tr>
        <w:tc>
          <w:tcPr>
            <w:tcW w:type="dxa" w:w="1814"/>
            <w:vAlign w:val="center"/>
            <w:shd w:fill="111111"/>
          </w:tcPr>
          <w:p>
            <w:pPr>
              <w:spacing w:after="0"/>
            </w:pPr>
            <w:r/>
            <w:r>
              <w:rPr>
                <w:rFonts w:ascii="Aptos" w:hAnsi="Aptos"/>
                <w:b/>
                <w:color w:val="FFFFFF"/>
                <w:sz w:val="15"/>
              </w:rPr>
              <w:t>Grupo</w:t>
            </w:r>
          </w:p>
        </w:tc>
        <w:tc>
          <w:tcPr>
            <w:tcW w:type="dxa" w:w="7257"/>
            <w:vAlign w:val="center"/>
            <w:shd w:fill="111111"/>
          </w:tcPr>
          <w:p>
            <w:pPr>
              <w:spacing w:after="0"/>
            </w:pPr>
            <w:r/>
            <w:r>
              <w:rPr>
                <w:rFonts w:ascii="Aptos" w:hAnsi="Aptos"/>
                <w:b/>
                <w:color w:val="FFFFFF"/>
                <w:sz w:val="15"/>
              </w:rPr>
              <w:t>Parámetros mínimos</w:t>
            </w:r>
          </w:p>
        </w:tc>
      </w:tr>
      <w:tr>
        <w:tc>
          <w:tcPr>
            <w:tcW w:type="dxa" w:w="1814"/>
            <w:vAlign w:val="center"/>
          </w:tcPr>
          <w:p>
            <w:pPr>
              <w:spacing w:after="0"/>
            </w:pPr>
            <w:r/>
            <w:r>
              <w:rPr>
                <w:rFonts w:ascii="Aptos" w:hAnsi="Aptos"/>
                <w:b w:val="0"/>
                <w:sz w:val="15"/>
              </w:rPr>
              <w:t>Referencia</w:t>
            </w:r>
          </w:p>
        </w:tc>
        <w:tc>
          <w:tcPr>
            <w:tcW w:type="dxa" w:w="7257"/>
            <w:vAlign w:val="center"/>
          </w:tcPr>
          <w:p>
            <w:pPr>
              <w:spacing w:after="0"/>
            </w:pPr>
            <w:r/>
            <w:r>
              <w:rPr>
                <w:rFonts w:ascii="Aptos" w:hAnsi="Aptos"/>
                <w:b w:val="0"/>
                <w:sz w:val="15"/>
              </w:rPr>
              <w:t>Velocidad básica o presión básica, periodo de retorno, dirección cuando proceda</w:t>
            </w:r>
          </w:p>
        </w:tc>
      </w:tr>
      <w:tr>
        <w:tc>
          <w:tcPr>
            <w:tcW w:type="dxa" w:w="1814"/>
            <w:vAlign w:val="center"/>
            <w:shd w:fill="F2F2F2"/>
          </w:tcPr>
          <w:p>
            <w:pPr>
              <w:spacing w:after="0"/>
            </w:pPr>
            <w:r/>
            <w:r>
              <w:rPr>
                <w:rFonts w:ascii="Aptos" w:hAnsi="Aptos"/>
                <w:b w:val="0"/>
                <w:sz w:val="15"/>
              </w:rPr>
              <w:t>Topografía</w:t>
            </w:r>
          </w:p>
        </w:tc>
        <w:tc>
          <w:tcPr>
            <w:tcW w:type="dxa" w:w="7257"/>
            <w:vAlign w:val="center"/>
            <w:shd w:fill="F2F2F2"/>
          </w:tcPr>
          <w:p>
            <w:pPr>
              <w:spacing w:after="0"/>
            </w:pPr>
            <w:r/>
            <w:r>
              <w:rPr>
                <w:rFonts w:ascii="Aptos" w:hAnsi="Aptos"/>
                <w:b w:val="0"/>
                <w:sz w:val="15"/>
              </w:rPr>
              <w:t>Altitud, factor orográfico, pendiente, posición relativa</w:t>
            </w:r>
          </w:p>
        </w:tc>
      </w:tr>
      <w:tr>
        <w:tc>
          <w:tcPr>
            <w:tcW w:type="dxa" w:w="1814"/>
            <w:vAlign w:val="center"/>
          </w:tcPr>
          <w:p>
            <w:pPr>
              <w:spacing w:after="0"/>
            </w:pPr>
            <w:r/>
            <w:r>
              <w:rPr>
                <w:rFonts w:ascii="Aptos" w:hAnsi="Aptos"/>
                <w:b w:val="0"/>
                <w:sz w:val="15"/>
              </w:rPr>
              <w:t>Terreno</w:t>
            </w:r>
          </w:p>
        </w:tc>
        <w:tc>
          <w:tcPr>
            <w:tcW w:type="dxa" w:w="7257"/>
            <w:vAlign w:val="center"/>
          </w:tcPr>
          <w:p>
            <w:pPr>
              <w:spacing w:after="0"/>
            </w:pPr>
            <w:r/>
            <w:r>
              <w:rPr>
                <w:rFonts w:ascii="Aptos" w:hAnsi="Aptos"/>
                <w:b w:val="0"/>
                <w:sz w:val="15"/>
              </w:rPr>
              <w:t>Categoría/rugosidad, longitud de rugosidad, cambio de terreno, distancia a costa</w:t>
            </w:r>
          </w:p>
        </w:tc>
      </w:tr>
      <w:tr>
        <w:tc>
          <w:tcPr>
            <w:tcW w:type="dxa" w:w="1814"/>
            <w:vAlign w:val="center"/>
            <w:shd w:fill="F2F2F2"/>
          </w:tcPr>
          <w:p>
            <w:pPr>
              <w:spacing w:after="0"/>
            </w:pPr>
            <w:r/>
            <w:r>
              <w:rPr>
                <w:rFonts w:ascii="Aptos" w:hAnsi="Aptos"/>
                <w:b w:val="0"/>
                <w:sz w:val="15"/>
              </w:rPr>
              <w:t>Altura</w:t>
            </w:r>
          </w:p>
        </w:tc>
        <w:tc>
          <w:tcPr>
            <w:tcW w:type="dxa" w:w="7257"/>
            <w:vAlign w:val="center"/>
            <w:shd w:fill="F2F2F2"/>
          </w:tcPr>
          <w:p>
            <w:pPr>
              <w:spacing w:after="0"/>
            </w:pPr>
            <w:r/>
            <w:r>
              <w:rPr>
                <w:rFonts w:ascii="Aptos" w:hAnsi="Aptos"/>
                <w:b w:val="0"/>
                <w:sz w:val="15"/>
              </w:rPr>
              <w:t>Ley de variación de velocidad/presión con z</w:t>
            </w:r>
          </w:p>
        </w:tc>
      </w:tr>
      <w:tr>
        <w:tc>
          <w:tcPr>
            <w:tcW w:type="dxa" w:w="1814"/>
            <w:vAlign w:val="center"/>
          </w:tcPr>
          <w:p>
            <w:pPr>
              <w:spacing w:after="0"/>
            </w:pPr>
            <w:r/>
            <w:r>
              <w:rPr>
                <w:rFonts w:ascii="Aptos" w:hAnsi="Aptos"/>
                <w:b w:val="0"/>
                <w:sz w:val="15"/>
              </w:rPr>
              <w:t>Clima</w:t>
            </w:r>
          </w:p>
        </w:tc>
        <w:tc>
          <w:tcPr>
            <w:tcW w:type="dxa" w:w="7257"/>
            <w:vAlign w:val="center"/>
          </w:tcPr>
          <w:p>
            <w:pPr>
              <w:spacing w:after="0"/>
            </w:pPr>
            <w:r/>
            <w:r>
              <w:rPr>
                <w:rFonts w:ascii="Aptos" w:hAnsi="Aptos"/>
                <w:b w:val="0"/>
                <w:sz w:val="15"/>
              </w:rPr>
              <w:t>Densidad de aire o temperatura/presión necesarias</w:t>
            </w:r>
          </w:p>
        </w:tc>
      </w:tr>
      <w:tr>
        <w:tc>
          <w:tcPr>
            <w:tcW w:type="dxa" w:w="1814"/>
            <w:vAlign w:val="center"/>
            <w:shd w:fill="F2F2F2"/>
          </w:tcPr>
          <w:p>
            <w:pPr>
              <w:spacing w:after="0"/>
            </w:pPr>
            <w:r/>
            <w:r>
              <w:rPr>
                <w:rFonts w:ascii="Aptos" w:hAnsi="Aptos"/>
                <w:b w:val="0"/>
                <w:sz w:val="15"/>
              </w:rPr>
              <w:t>Dirección</w:t>
            </w:r>
          </w:p>
        </w:tc>
        <w:tc>
          <w:tcPr>
            <w:tcW w:type="dxa" w:w="7257"/>
            <w:vAlign w:val="center"/>
            <w:shd w:fill="F2F2F2"/>
          </w:tcPr>
          <w:p>
            <w:pPr>
              <w:spacing w:after="0"/>
            </w:pPr>
            <w:r/>
            <w:r>
              <w:rPr>
                <w:rFonts w:ascii="Aptos" w:hAnsi="Aptos"/>
                <w:b w:val="0"/>
                <w:sz w:val="15"/>
              </w:rPr>
              <w:t>Sector, probabilidad direccional, orientación respecto a ejes del proyecto</w:t>
            </w:r>
          </w:p>
        </w:tc>
      </w:tr>
      <w:tr>
        <w:tc>
          <w:tcPr>
            <w:tcW w:type="dxa" w:w="1814"/>
            <w:vAlign w:val="center"/>
          </w:tcPr>
          <w:p>
            <w:pPr>
              <w:spacing w:after="0"/>
            </w:pPr>
            <w:r/>
            <w:r>
              <w:rPr>
                <w:rFonts w:ascii="Aptos" w:hAnsi="Aptos"/>
                <w:b w:val="0"/>
                <w:sz w:val="15"/>
              </w:rPr>
              <w:t>Estructura</w:t>
            </w:r>
          </w:p>
        </w:tc>
        <w:tc>
          <w:tcPr>
            <w:tcW w:type="dxa" w:w="7257"/>
            <w:vAlign w:val="center"/>
          </w:tcPr>
          <w:p>
            <w:pPr>
              <w:spacing w:after="0"/>
            </w:pPr>
            <w:r/>
            <w:r>
              <w:rPr>
                <w:rFonts w:ascii="Aptos" w:hAnsi="Aptos"/>
                <w:b w:val="0"/>
                <w:sz w:val="15"/>
              </w:rPr>
              <w:t>Factor de tamaño, respuesta, vida de proyecto y clase cuando aplique</w:t>
            </w:r>
          </w:p>
        </w:tc>
      </w:tr>
    </w:tbl>
    <w:p>
      <w:pPr>
        <w:spacing w:after="0"/>
      </w:pPr>
    </w:p>
    <w:p>
      <w:pPr>
        <w:pStyle w:val="Heading2"/>
        <w:spacing w:after="80"/>
      </w:pPr>
      <w:r>
        <w:t>8.2 Modos de definición</w:t>
      </w:r>
    </w:p>
    <w:tbl>
      <w:tblPr>
        <w:tblStyle w:val="TableGrid"/>
        <w:tblW w:type="auto" w:w="0"/>
        <w:jc w:val="center"/>
        <w:tblLook w:firstColumn="1" w:firstRow="1" w:lastColumn="0" w:lastRow="0" w:noHBand="0" w:noVBand="1" w:val="04A0"/>
      </w:tblPr>
      <w:tblGrid>
        <w:gridCol w:w="3438"/>
        <w:gridCol w:w="3438"/>
        <w:gridCol w:w="3438"/>
      </w:tblGrid>
      <w:tr>
        <w:tc>
          <w:tcPr>
            <w:tcW w:type="dxa" w:w="1928"/>
            <w:vAlign w:val="center"/>
            <w:shd w:fill="111111"/>
          </w:tcPr>
          <w:p>
            <w:pPr>
              <w:spacing w:after="0"/>
            </w:pPr>
            <w:r/>
            <w:r>
              <w:rPr>
                <w:rFonts w:ascii="Aptos" w:hAnsi="Aptos"/>
                <w:b/>
                <w:color w:val="FFFFFF"/>
                <w:sz w:val="15"/>
              </w:rPr>
              <w:t>Modo</w:t>
            </w:r>
          </w:p>
        </w:tc>
        <w:tc>
          <w:tcPr>
            <w:tcW w:type="dxa" w:w="4535"/>
            <w:vAlign w:val="center"/>
            <w:shd w:fill="111111"/>
          </w:tcPr>
          <w:p>
            <w:pPr>
              <w:spacing w:after="0"/>
            </w:pPr>
            <w:r/>
            <w:r>
              <w:rPr>
                <w:rFonts w:ascii="Aptos" w:hAnsi="Aptos"/>
                <w:b/>
                <w:color w:val="FFFFFF"/>
                <w:sz w:val="15"/>
              </w:rPr>
              <w:t>Descripción</w:t>
            </w:r>
          </w:p>
        </w:tc>
        <w:tc>
          <w:tcPr>
            <w:tcW w:type="dxa" w:w="4252"/>
            <w:vAlign w:val="center"/>
            <w:shd w:fill="111111"/>
          </w:tcPr>
          <w:p>
            <w:pPr>
              <w:spacing w:after="0"/>
            </w:pPr>
            <w:r/>
            <w:r>
              <w:rPr>
                <w:rFonts w:ascii="Aptos" w:hAnsi="Aptos"/>
                <w:b/>
                <w:color w:val="FFFFFF"/>
                <w:sz w:val="15"/>
              </w:rPr>
              <w:t>Control</w:t>
            </w:r>
          </w:p>
        </w:tc>
      </w:tr>
      <w:tr>
        <w:tc>
          <w:tcPr>
            <w:tcW w:type="dxa" w:w="1928"/>
            <w:vAlign w:val="center"/>
          </w:tcPr>
          <w:p>
            <w:pPr>
              <w:spacing w:after="0"/>
            </w:pPr>
            <w:r/>
            <w:r>
              <w:rPr>
                <w:rFonts w:ascii="Aptos" w:hAnsi="Aptos"/>
                <w:b w:val="0"/>
                <w:sz w:val="15"/>
              </w:rPr>
              <w:t>Automático normativo</w:t>
            </w:r>
          </w:p>
        </w:tc>
        <w:tc>
          <w:tcPr>
            <w:tcW w:type="dxa" w:w="4535"/>
            <w:vAlign w:val="center"/>
          </w:tcPr>
          <w:p>
            <w:pPr>
              <w:spacing w:after="0"/>
            </w:pPr>
            <w:r/>
            <w:r>
              <w:rPr>
                <w:rFonts w:ascii="Aptos" w:hAnsi="Aptos"/>
                <w:b w:val="0"/>
                <w:sz w:val="15"/>
              </w:rPr>
              <w:t>Ubicación → mapa/anexo → parámetros</w:t>
            </w:r>
          </w:p>
        </w:tc>
        <w:tc>
          <w:tcPr>
            <w:tcW w:type="dxa" w:w="4252"/>
            <w:vAlign w:val="center"/>
          </w:tcPr>
          <w:p>
            <w:pPr>
              <w:spacing w:after="0"/>
            </w:pPr>
            <w:r/>
            <w:r>
              <w:rPr>
                <w:rFonts w:ascii="Aptos" w:hAnsi="Aptos"/>
                <w:b w:val="0"/>
                <w:sz w:val="15"/>
              </w:rPr>
              <w:t>Confirmación obligatoria</w:t>
            </w:r>
          </w:p>
        </w:tc>
      </w:tr>
      <w:tr>
        <w:tc>
          <w:tcPr>
            <w:tcW w:type="dxa" w:w="1928"/>
            <w:vAlign w:val="center"/>
            <w:shd w:fill="F2F2F2"/>
          </w:tcPr>
          <w:p>
            <w:pPr>
              <w:spacing w:after="0"/>
            </w:pPr>
            <w:r/>
            <w:r>
              <w:rPr>
                <w:rFonts w:ascii="Aptos" w:hAnsi="Aptos"/>
                <w:b w:val="0"/>
                <w:sz w:val="15"/>
              </w:rPr>
              <w:t>Semiautomático</w:t>
            </w:r>
          </w:p>
        </w:tc>
        <w:tc>
          <w:tcPr>
            <w:tcW w:type="dxa" w:w="4535"/>
            <w:vAlign w:val="center"/>
            <w:shd w:fill="F2F2F2"/>
          </w:tcPr>
          <w:p>
            <w:pPr>
              <w:spacing w:after="0"/>
            </w:pPr>
            <w:r/>
            <w:r>
              <w:rPr>
                <w:rFonts w:ascii="Aptos" w:hAnsi="Aptos"/>
                <w:b w:val="0"/>
                <w:sz w:val="15"/>
              </w:rPr>
              <w:t>Sistema propone; usuario selecciona terreno/topografía</w:t>
            </w:r>
          </w:p>
        </w:tc>
        <w:tc>
          <w:tcPr>
            <w:tcW w:type="dxa" w:w="4252"/>
            <w:vAlign w:val="center"/>
            <w:shd w:fill="F2F2F2"/>
          </w:tcPr>
          <w:p>
            <w:pPr>
              <w:spacing w:after="0"/>
            </w:pPr>
            <w:r/>
            <w:r>
              <w:rPr>
                <w:rFonts w:ascii="Aptos" w:hAnsi="Aptos"/>
                <w:b w:val="0"/>
                <w:sz w:val="15"/>
              </w:rPr>
              <w:t>Justificación de elecciones</w:t>
            </w:r>
          </w:p>
        </w:tc>
      </w:tr>
      <w:tr>
        <w:tc>
          <w:tcPr>
            <w:tcW w:type="dxa" w:w="1928"/>
            <w:vAlign w:val="center"/>
          </w:tcPr>
          <w:p>
            <w:pPr>
              <w:spacing w:after="0"/>
            </w:pPr>
            <w:r/>
            <w:r>
              <w:rPr>
                <w:rFonts w:ascii="Aptos" w:hAnsi="Aptos"/>
                <w:b w:val="0"/>
                <w:sz w:val="15"/>
              </w:rPr>
              <w:t>Manual completo</w:t>
            </w:r>
          </w:p>
        </w:tc>
        <w:tc>
          <w:tcPr>
            <w:tcW w:type="dxa" w:w="4535"/>
            <w:vAlign w:val="center"/>
          </w:tcPr>
          <w:p>
            <w:pPr>
              <w:spacing w:after="0"/>
            </w:pPr>
            <w:r/>
            <w:r>
              <w:rPr>
                <w:rFonts w:ascii="Aptos" w:hAnsi="Aptos"/>
                <w:b w:val="0"/>
                <w:sz w:val="15"/>
              </w:rPr>
              <w:t>Usuario introduce todos los parámetros</w:t>
            </w:r>
          </w:p>
        </w:tc>
        <w:tc>
          <w:tcPr>
            <w:tcW w:type="dxa" w:w="4252"/>
            <w:vAlign w:val="center"/>
          </w:tcPr>
          <w:p>
            <w:pPr>
              <w:spacing w:after="0"/>
            </w:pPr>
            <w:r/>
            <w:r>
              <w:rPr>
                <w:rFonts w:ascii="Aptos" w:hAnsi="Aptos"/>
                <w:b w:val="0"/>
                <w:sz w:val="15"/>
              </w:rPr>
              <w:t>Validación de rangos y aprobación OT</w:t>
            </w:r>
          </w:p>
        </w:tc>
      </w:tr>
      <w:tr>
        <w:tc>
          <w:tcPr>
            <w:tcW w:type="dxa" w:w="1928"/>
            <w:vAlign w:val="center"/>
            <w:shd w:fill="F2F2F2"/>
          </w:tcPr>
          <w:p>
            <w:pPr>
              <w:spacing w:after="0"/>
            </w:pPr>
            <w:r/>
            <w:r>
              <w:rPr>
                <w:rFonts w:ascii="Aptos" w:hAnsi="Aptos"/>
                <w:b w:val="0"/>
                <w:sz w:val="15"/>
              </w:rPr>
              <w:t>Presión directa</w:t>
            </w:r>
          </w:p>
        </w:tc>
        <w:tc>
          <w:tcPr>
            <w:tcW w:type="dxa" w:w="4535"/>
            <w:vAlign w:val="center"/>
            <w:shd w:fill="F2F2F2"/>
          </w:tcPr>
          <w:p>
            <w:pPr>
              <w:spacing w:after="0"/>
            </w:pPr>
            <w:r/>
            <w:r>
              <w:rPr>
                <w:rFonts w:ascii="Aptos" w:hAnsi="Aptos"/>
                <w:b w:val="0"/>
                <w:sz w:val="15"/>
              </w:rPr>
              <w:t>Usuario introduce presión característica por cota o uniforme</w:t>
            </w:r>
          </w:p>
        </w:tc>
        <w:tc>
          <w:tcPr>
            <w:tcW w:type="dxa" w:w="4252"/>
            <w:vAlign w:val="center"/>
            <w:shd w:fill="F2F2F2"/>
          </w:tcPr>
          <w:p>
            <w:pPr>
              <w:spacing w:after="0"/>
            </w:pPr>
            <w:r/>
            <w:r>
              <w:rPr>
                <w:rFonts w:ascii="Aptos" w:hAnsi="Aptos"/>
                <w:b w:val="0"/>
                <w:sz w:val="15"/>
              </w:rPr>
              <w:t>Uso solo cuando el contrato lo prescribe</w:t>
            </w:r>
          </w:p>
        </w:tc>
      </w:tr>
      <w:tr>
        <w:tc>
          <w:tcPr>
            <w:tcW w:type="dxa" w:w="1928"/>
            <w:vAlign w:val="center"/>
          </w:tcPr>
          <w:p>
            <w:pPr>
              <w:spacing w:after="0"/>
            </w:pPr>
            <w:r/>
            <w:r>
              <w:rPr>
                <w:rFonts w:ascii="Aptos" w:hAnsi="Aptos"/>
                <w:b w:val="0"/>
                <w:sz w:val="15"/>
              </w:rPr>
              <w:t>Importado</w:t>
            </w:r>
          </w:p>
        </w:tc>
        <w:tc>
          <w:tcPr>
            <w:tcW w:type="dxa" w:w="4535"/>
            <w:vAlign w:val="center"/>
          </w:tcPr>
          <w:p>
            <w:pPr>
              <w:spacing w:after="0"/>
            </w:pPr>
            <w:r/>
            <w:r>
              <w:rPr>
                <w:rFonts w:ascii="Aptos" w:hAnsi="Aptos"/>
                <w:b w:val="0"/>
                <w:sz w:val="15"/>
              </w:rPr>
              <w:t>Datos de estudio externo estructurado</w:t>
            </w:r>
          </w:p>
        </w:tc>
        <w:tc>
          <w:tcPr>
            <w:tcW w:type="dxa" w:w="4252"/>
            <w:vAlign w:val="center"/>
          </w:tcPr>
          <w:p>
            <w:pPr>
              <w:spacing w:after="0"/>
            </w:pPr>
            <w:r/>
            <w:r>
              <w:rPr>
                <w:rFonts w:ascii="Aptos" w:hAnsi="Aptos"/>
                <w:b w:val="0"/>
                <w:sz w:val="15"/>
              </w:rPr>
              <w:t>Documento fuente y checksum</w:t>
            </w:r>
          </w:p>
        </w:tc>
      </w:tr>
    </w:tbl>
    <w:p>
      <w:pPr>
        <w:spacing w:after="0"/>
      </w:pPr>
    </w:p>
    <w:p>
      <w:pPr>
        <w:pStyle w:val="Heading1"/>
        <w:spacing w:after="80"/>
      </w:pPr>
      <w:r>
        <w:t>9. Modelo de viento EN 40</w:t>
      </w:r>
    </w:p>
    <w:p>
      <w:pPr>
        <w:spacing w:after="80"/>
      </w:pPr>
      <w:r>
        <w:t>El motor debe reproducir el flujo lógico de EN 40-3-1 para obtener acciones características sobre cada elemento. La especificación de esta fase define la arquitectura y las variables; los valores exactos, tablas y fórmulas se cargarán desde la biblioteca normativa validada y se citarán por cláusula en la ejecución.</w:t>
      </w:r>
    </w:p>
    <w:p>
      <w:pPr>
        <w:pStyle w:val="Heading2"/>
        <w:spacing w:after="80"/>
      </w:pPr>
      <w:r>
        <w:t>9.1 Flujo de cálculo</w:t>
      </w:r>
    </w:p>
    <w:p>
      <w:pPr>
        <w:pStyle w:val="ListNumber"/>
        <w:spacing w:after="30"/>
      </w:pPr>
      <w:r>
        <w:t>Determinar la acción de referencia del emplazamiento.</w:t>
      </w:r>
    </w:p>
    <w:p>
      <w:pPr>
        <w:pStyle w:val="ListNumber"/>
        <w:spacing w:after="30"/>
      </w:pPr>
      <w:r>
        <w:t>Obtener la acción a cada cota considerando terreno, altura, topografía y parámetros normativos.</w:t>
      </w:r>
    </w:p>
    <w:p>
      <w:pPr>
        <w:pStyle w:val="ListNumber"/>
        <w:spacing w:after="30"/>
      </w:pPr>
      <w:r>
        <w:t>Determinar área proyectada normal a la dirección de viento para cada componente o franja.</w:t>
      </w:r>
    </w:p>
    <w:p>
      <w:pPr>
        <w:pStyle w:val="ListNumber"/>
        <w:spacing w:after="30"/>
      </w:pPr>
      <w:r>
        <w:t>Asignar coeficiente aerodinámico, factor de forma y reducción aplicable.</w:t>
      </w:r>
    </w:p>
    <w:p>
      <w:pPr>
        <w:pStyle w:val="ListNumber"/>
        <w:spacing w:after="30"/>
      </w:pPr>
      <w:r>
        <w:t>Calcular fuerza distribuida o concentrada y su punto de aplicación.</w:t>
      </w:r>
    </w:p>
    <w:p>
      <w:pPr>
        <w:pStyle w:val="ListNumber"/>
        <w:spacing w:after="30"/>
      </w:pPr>
      <w:r>
        <w:t>Transformar la fuerza a sistema global y local.</w:t>
      </w:r>
    </w:p>
    <w:p>
      <w:pPr>
        <w:pStyle w:val="ListNumber"/>
        <w:spacing w:after="30"/>
      </w:pPr>
      <w:r>
        <w:t>Acumular torsión por excentricidad, momento y fuerza resultante.</w:t>
      </w:r>
    </w:p>
    <w:p>
      <w:pPr>
        <w:pStyle w:val="ListNumber"/>
        <w:spacing w:after="30"/>
      </w:pPr>
      <w:r>
        <w:t>Generar caso elemental para la dirección considerada y registrar cada contribución.</w:t>
      </w:r>
    </w:p>
    <w:p>
      <w:pPr>
        <w:pStyle w:val="Requirement"/>
      </w:pPr>
      <w:r>
        <w:rPr>
          <w:b/>
        </w:rPr>
        <w:t xml:space="preserve">WND-001 [MUST] </w:t>
      </w:r>
      <w:r>
        <w:t>La presión o velocidad se evaluará en las estaciones necesarias; no se aplicará una única presión a toda la altura salvo que la regla seleccionada lo permita.</w:t>
      </w:r>
    </w:p>
    <w:p>
      <w:pPr>
        <w:pStyle w:val="Requirement"/>
      </w:pPr>
      <w:r>
        <w:rPr>
          <w:b/>
        </w:rPr>
        <w:t xml:space="preserve">WND-002 [MUST] </w:t>
      </w:r>
      <w:r>
        <w:t>El motor conservará contribuciones separadas por componente para auditoría y sensibilidad.</w:t>
      </w:r>
    </w:p>
    <w:p>
      <w:pPr>
        <w:pStyle w:val="Requirement"/>
      </w:pPr>
      <w:r>
        <w:rPr>
          <w:b/>
        </w:rPr>
        <w:t xml:space="preserve">WND-003 [MUST] </w:t>
      </w:r>
      <w:r>
        <w:t>Los coeficientes aerodinámicos dependientes de Reynolds, forma u orientación deberán resolverse mediante funciones versionadas y límites de validez.</w:t>
      </w:r>
    </w:p>
    <w:p>
      <w:pPr>
        <w:pStyle w:val="Heading2"/>
        <w:spacing w:after="80"/>
      </w:pPr>
      <w:r>
        <w:t>9.2 Discretización del fuste</w:t>
      </w:r>
    </w:p>
    <w:p>
      <w:pPr>
        <w:spacing w:after="80"/>
      </w:pPr>
      <w:r>
        <w:t>La geometría de Fase 2 proporcionará estaciones obligatorias en extremos, cambios de sección, espesores, puertas, uniones y accesorios. El módulo de acciones añadirá estaciones donde cambie de forma relevante la presión o el área proyectada. La integración de carga distribuida deberá cumplir una tolerancia configurable respecto a una integración refinada.</w:t>
      </w:r>
    </w:p>
    <w:tbl>
      <w:tblPr>
        <w:tblStyle w:val="TableGrid"/>
        <w:tblW w:type="auto" w:w="0"/>
        <w:jc w:val="center"/>
        <w:tblLook w:firstColumn="1" w:firstRow="1" w:lastColumn="0" w:lastRow="0" w:noHBand="0" w:noVBand="1" w:val="04A0"/>
      </w:tblPr>
      <w:tblGrid>
        <w:gridCol w:w="3438"/>
        <w:gridCol w:w="3438"/>
        <w:gridCol w:w="3438"/>
      </w:tblGrid>
      <w:tr>
        <w:tc>
          <w:tcPr>
            <w:tcW w:type="dxa" w:w="3061"/>
            <w:vAlign w:val="center"/>
            <w:shd w:fill="111111"/>
          </w:tcPr>
          <w:p>
            <w:pPr>
              <w:spacing w:after="0"/>
            </w:pPr>
            <w:r/>
            <w:r>
              <w:rPr>
                <w:rFonts w:ascii="Aptos" w:hAnsi="Aptos"/>
                <w:b/>
                <w:color w:val="FFFFFF"/>
                <w:sz w:val="15"/>
              </w:rPr>
              <w:t>Parámetro</w:t>
            </w:r>
          </w:p>
        </w:tc>
        <w:tc>
          <w:tcPr>
            <w:tcW w:type="dxa" w:w="2381"/>
            <w:vAlign w:val="center"/>
            <w:shd w:fill="111111"/>
          </w:tcPr>
          <w:p>
            <w:pPr>
              <w:spacing w:after="0"/>
            </w:pPr>
            <w:r/>
            <w:r>
              <w:rPr>
                <w:rFonts w:ascii="Aptos" w:hAnsi="Aptos"/>
                <w:b/>
                <w:color w:val="FFFFFF"/>
                <w:sz w:val="15"/>
              </w:rPr>
              <w:t>Valor inicial propuesto</w:t>
            </w:r>
          </w:p>
        </w:tc>
        <w:tc>
          <w:tcPr>
            <w:tcW w:type="dxa" w:w="3515"/>
            <w:vAlign w:val="center"/>
            <w:shd w:fill="111111"/>
          </w:tcPr>
          <w:p>
            <w:pPr>
              <w:spacing w:after="0"/>
            </w:pPr>
            <w:r/>
            <w:r>
              <w:rPr>
                <w:rFonts w:ascii="Aptos" w:hAnsi="Aptos"/>
                <w:b/>
                <w:color w:val="FFFFFF"/>
                <w:sz w:val="15"/>
              </w:rPr>
              <w:t>Configuración</w:t>
            </w:r>
          </w:p>
        </w:tc>
      </w:tr>
      <w:tr>
        <w:tc>
          <w:tcPr>
            <w:tcW w:type="dxa" w:w="3061"/>
            <w:vAlign w:val="center"/>
          </w:tcPr>
          <w:p>
            <w:pPr>
              <w:spacing w:after="0"/>
            </w:pPr>
            <w:r/>
            <w:r>
              <w:rPr>
                <w:rFonts w:ascii="Aptos" w:hAnsi="Aptos"/>
                <w:b w:val="0"/>
                <w:sz w:val="15"/>
              </w:rPr>
              <w:t>Longitud máxima de franja</w:t>
            </w:r>
          </w:p>
        </w:tc>
        <w:tc>
          <w:tcPr>
            <w:tcW w:type="dxa" w:w="2381"/>
            <w:vAlign w:val="center"/>
          </w:tcPr>
          <w:p>
            <w:pPr>
              <w:spacing w:after="0"/>
            </w:pPr>
            <w:r/>
            <w:r>
              <w:rPr>
                <w:rFonts w:ascii="Aptos" w:hAnsi="Aptos"/>
                <w:b w:val="0"/>
                <w:sz w:val="15"/>
              </w:rPr>
              <w:t>0,50 m para cálculo general</w:t>
            </w:r>
          </w:p>
        </w:tc>
        <w:tc>
          <w:tcPr>
            <w:tcW w:type="dxa" w:w="3515"/>
            <w:vAlign w:val="center"/>
          </w:tcPr>
          <w:p>
            <w:pPr>
              <w:spacing w:after="0"/>
            </w:pPr>
            <w:r/>
            <w:r>
              <w:rPr>
                <w:rFonts w:ascii="Aptos" w:hAnsi="Aptos"/>
                <w:b w:val="0"/>
                <w:sz w:val="15"/>
              </w:rPr>
              <w:t>Reducible por norma o gradiente</w:t>
            </w:r>
          </w:p>
        </w:tc>
      </w:tr>
      <w:tr>
        <w:tc>
          <w:tcPr>
            <w:tcW w:type="dxa" w:w="3061"/>
            <w:vAlign w:val="center"/>
            <w:shd w:fill="F2F2F2"/>
          </w:tcPr>
          <w:p>
            <w:pPr>
              <w:spacing w:after="0"/>
            </w:pPr>
            <w:r/>
            <w:r>
              <w:rPr>
                <w:rFonts w:ascii="Aptos" w:hAnsi="Aptos"/>
                <w:b w:val="0"/>
                <w:sz w:val="15"/>
              </w:rPr>
              <w:t>Cambio máximo de presión por franja</w:t>
            </w:r>
          </w:p>
        </w:tc>
        <w:tc>
          <w:tcPr>
            <w:tcW w:type="dxa" w:w="2381"/>
            <w:vAlign w:val="center"/>
            <w:shd w:fill="F2F2F2"/>
          </w:tcPr>
          <w:p>
            <w:pPr>
              <w:spacing w:after="0"/>
            </w:pPr>
            <w:r/>
            <w:r>
              <w:rPr>
                <w:rFonts w:ascii="Aptos" w:hAnsi="Aptos"/>
                <w:b w:val="0"/>
                <w:sz w:val="15"/>
              </w:rPr>
              <w:t>2 %</w:t>
            </w:r>
          </w:p>
        </w:tc>
        <w:tc>
          <w:tcPr>
            <w:tcW w:type="dxa" w:w="3515"/>
            <w:vAlign w:val="center"/>
            <w:shd w:fill="F2F2F2"/>
          </w:tcPr>
          <w:p>
            <w:pPr>
              <w:spacing w:after="0"/>
            </w:pPr>
            <w:r/>
            <w:r>
              <w:rPr>
                <w:rFonts w:ascii="Aptos" w:hAnsi="Aptos"/>
                <w:b w:val="0"/>
                <w:sz w:val="15"/>
              </w:rPr>
              <w:t>Configurable</w:t>
            </w:r>
          </w:p>
        </w:tc>
      </w:tr>
      <w:tr>
        <w:tc>
          <w:tcPr>
            <w:tcW w:type="dxa" w:w="3061"/>
            <w:vAlign w:val="center"/>
          </w:tcPr>
          <w:p>
            <w:pPr>
              <w:spacing w:after="0"/>
            </w:pPr>
            <w:r/>
            <w:r>
              <w:rPr>
                <w:rFonts w:ascii="Aptos" w:hAnsi="Aptos"/>
                <w:b w:val="0"/>
                <w:sz w:val="15"/>
              </w:rPr>
              <w:t>Cambio máximo de área/diámetro</w:t>
            </w:r>
          </w:p>
        </w:tc>
        <w:tc>
          <w:tcPr>
            <w:tcW w:type="dxa" w:w="2381"/>
            <w:vAlign w:val="center"/>
          </w:tcPr>
          <w:p>
            <w:pPr>
              <w:spacing w:after="0"/>
            </w:pPr>
            <w:r/>
            <w:r>
              <w:rPr>
                <w:rFonts w:ascii="Aptos" w:hAnsi="Aptos"/>
                <w:b w:val="0"/>
                <w:sz w:val="15"/>
              </w:rPr>
              <w:t>2 %</w:t>
            </w:r>
          </w:p>
        </w:tc>
        <w:tc>
          <w:tcPr>
            <w:tcW w:type="dxa" w:w="3515"/>
            <w:vAlign w:val="center"/>
          </w:tcPr>
          <w:p>
            <w:pPr>
              <w:spacing w:after="0"/>
            </w:pPr>
            <w:r/>
            <w:r>
              <w:rPr>
                <w:rFonts w:ascii="Aptos" w:hAnsi="Aptos"/>
                <w:b w:val="0"/>
                <w:sz w:val="15"/>
              </w:rPr>
              <w:t>Configurable</w:t>
            </w:r>
          </w:p>
        </w:tc>
      </w:tr>
      <w:tr>
        <w:tc>
          <w:tcPr>
            <w:tcW w:type="dxa" w:w="3061"/>
            <w:vAlign w:val="center"/>
            <w:shd w:fill="F2F2F2"/>
          </w:tcPr>
          <w:p>
            <w:pPr>
              <w:spacing w:after="0"/>
            </w:pPr>
            <w:r/>
            <w:r>
              <w:rPr>
                <w:rFonts w:ascii="Aptos" w:hAnsi="Aptos"/>
                <w:b w:val="0"/>
                <w:sz w:val="15"/>
              </w:rPr>
              <w:t>Integración</w:t>
            </w:r>
          </w:p>
        </w:tc>
        <w:tc>
          <w:tcPr>
            <w:tcW w:type="dxa" w:w="2381"/>
            <w:vAlign w:val="center"/>
            <w:shd w:fill="F2F2F2"/>
          </w:tcPr>
          <w:p>
            <w:pPr>
              <w:spacing w:after="0"/>
            </w:pPr>
            <w:r/>
            <w:r>
              <w:rPr>
                <w:rFonts w:ascii="Aptos" w:hAnsi="Aptos"/>
                <w:b w:val="0"/>
                <w:sz w:val="15"/>
              </w:rPr>
              <w:t>Gauss o integración exacta para ley lineal</w:t>
            </w:r>
          </w:p>
        </w:tc>
        <w:tc>
          <w:tcPr>
            <w:tcW w:type="dxa" w:w="3515"/>
            <w:vAlign w:val="center"/>
            <w:shd w:fill="F2F2F2"/>
          </w:tcPr>
          <w:p>
            <w:pPr>
              <w:spacing w:after="0"/>
            </w:pPr>
            <w:r/>
            <w:r>
              <w:rPr>
                <w:rFonts w:ascii="Aptos" w:hAnsi="Aptos"/>
                <w:b w:val="0"/>
                <w:sz w:val="15"/>
              </w:rPr>
              <w:t>Determinista</w:t>
            </w:r>
          </w:p>
        </w:tc>
      </w:tr>
      <w:tr>
        <w:tc>
          <w:tcPr>
            <w:tcW w:type="dxa" w:w="3061"/>
            <w:vAlign w:val="center"/>
          </w:tcPr>
          <w:p>
            <w:pPr>
              <w:spacing w:after="0"/>
            </w:pPr>
            <w:r/>
            <w:r>
              <w:rPr>
                <w:rFonts w:ascii="Aptos" w:hAnsi="Aptos"/>
                <w:b w:val="0"/>
                <w:sz w:val="15"/>
              </w:rPr>
              <w:t>Tolerancia de resultante</w:t>
            </w:r>
          </w:p>
        </w:tc>
        <w:tc>
          <w:tcPr>
            <w:tcW w:type="dxa" w:w="2381"/>
            <w:vAlign w:val="center"/>
          </w:tcPr>
          <w:p>
            <w:pPr>
              <w:spacing w:after="0"/>
            </w:pPr>
            <w:r/>
            <w:r>
              <w:rPr>
                <w:rFonts w:ascii="Aptos" w:hAnsi="Aptos"/>
                <w:b w:val="0"/>
                <w:sz w:val="15"/>
              </w:rPr>
              <w:t>≤ 0,2 % frente a referencia refinada</w:t>
            </w:r>
          </w:p>
        </w:tc>
        <w:tc>
          <w:tcPr>
            <w:tcW w:type="dxa" w:w="3515"/>
            <w:vAlign w:val="center"/>
          </w:tcPr>
          <w:p>
            <w:pPr>
              <w:spacing w:after="0"/>
            </w:pPr>
            <w:r/>
            <w:r>
              <w:rPr>
                <w:rFonts w:ascii="Aptos" w:hAnsi="Aptos"/>
                <w:b w:val="0"/>
                <w:sz w:val="15"/>
              </w:rPr>
              <w:t>Criterio de QA</w:t>
            </w:r>
          </w:p>
        </w:tc>
      </w:tr>
    </w:tbl>
    <w:p>
      <w:pPr>
        <w:spacing w:after="0"/>
      </w:pPr>
    </w:p>
    <w:p>
      <w:pPr>
        <w:pStyle w:val="Heading1"/>
        <w:spacing w:after="80"/>
      </w:pPr>
      <w:r>
        <w:t>10. Áreas, coeficientes y exposición de componentes</w:t>
      </w:r>
    </w:p>
    <w:p>
      <w:pPr>
        <w:spacing w:after="80"/>
      </w:pPr>
      <w:r>
        <w:t>Cada componente deberá proporcionar una representación aerodinámica independiente de su CAD detallado. La jerarquía de obtención será: dato certificado del fabricante; dato de biblioteca Salvi; geometría simplificada validada; proyección CAD calculada; aproximación conservadora con advertencia.</w:t>
      </w:r>
    </w:p>
    <w:tbl>
      <w:tblPr>
        <w:tblStyle w:val="TableGrid"/>
        <w:tblW w:type="auto" w:w="0"/>
        <w:jc w:val="center"/>
        <w:tblLook w:firstColumn="1" w:firstRow="1" w:lastColumn="0" w:lastRow="0" w:noHBand="0" w:noVBand="1" w:val="04A0"/>
      </w:tblPr>
      <w:tblGrid>
        <w:gridCol w:w="3438"/>
        <w:gridCol w:w="3438"/>
        <w:gridCol w:w="3438"/>
      </w:tblGrid>
      <w:tr>
        <w:tc>
          <w:tcPr>
            <w:tcW w:type="dxa" w:w="1757"/>
            <w:vAlign w:val="center"/>
            <w:shd w:fill="111111"/>
          </w:tcPr>
          <w:p>
            <w:pPr>
              <w:spacing w:after="0"/>
            </w:pPr>
            <w:r/>
            <w:r>
              <w:rPr>
                <w:rFonts w:ascii="Aptos" w:hAnsi="Aptos"/>
                <w:b/>
                <w:color w:val="FFFFFF"/>
                <w:sz w:val="15"/>
              </w:rPr>
              <w:t>Componente</w:t>
            </w:r>
          </w:p>
        </w:tc>
        <w:tc>
          <w:tcPr>
            <w:tcW w:type="dxa" w:w="3288"/>
            <w:vAlign w:val="center"/>
            <w:shd w:fill="111111"/>
          </w:tcPr>
          <w:p>
            <w:pPr>
              <w:spacing w:after="0"/>
            </w:pPr>
            <w:r/>
            <w:r>
              <w:rPr>
                <w:rFonts w:ascii="Aptos" w:hAnsi="Aptos"/>
                <w:b/>
                <w:color w:val="FFFFFF"/>
                <w:sz w:val="15"/>
              </w:rPr>
              <w:t>Datos mínimos</w:t>
            </w:r>
          </w:p>
        </w:tc>
        <w:tc>
          <w:tcPr>
            <w:tcW w:type="dxa" w:w="4309"/>
            <w:vAlign w:val="center"/>
            <w:shd w:fill="111111"/>
          </w:tcPr>
          <w:p>
            <w:pPr>
              <w:spacing w:after="0"/>
            </w:pPr>
            <w:r/>
            <w:r>
              <w:rPr>
                <w:rFonts w:ascii="Aptos" w:hAnsi="Aptos"/>
                <w:b/>
                <w:color w:val="FFFFFF"/>
                <w:sz w:val="15"/>
              </w:rPr>
              <w:t>Tratamiento</w:t>
            </w:r>
          </w:p>
        </w:tc>
      </w:tr>
      <w:tr>
        <w:tc>
          <w:tcPr>
            <w:tcW w:type="dxa" w:w="1757"/>
            <w:vAlign w:val="center"/>
          </w:tcPr>
          <w:p>
            <w:pPr>
              <w:spacing w:after="0"/>
            </w:pPr>
            <w:r/>
            <w:r>
              <w:rPr>
                <w:rFonts w:ascii="Aptos" w:hAnsi="Aptos"/>
                <w:b w:val="0"/>
                <w:sz w:val="15"/>
              </w:rPr>
              <w:t>Fuste circular/troncocónico</w:t>
            </w:r>
          </w:p>
        </w:tc>
        <w:tc>
          <w:tcPr>
            <w:tcW w:type="dxa" w:w="3288"/>
            <w:vAlign w:val="center"/>
          </w:tcPr>
          <w:p>
            <w:pPr>
              <w:spacing w:after="0"/>
            </w:pPr>
            <w:r/>
            <w:r>
              <w:rPr>
                <w:rFonts w:ascii="Aptos" w:hAnsi="Aptos"/>
                <w:b w:val="0"/>
                <w:sz w:val="15"/>
              </w:rPr>
              <w:t>Diámetro por cota, rugosidad/forma</w:t>
            </w:r>
          </w:p>
        </w:tc>
        <w:tc>
          <w:tcPr>
            <w:tcW w:type="dxa" w:w="4309"/>
            <w:vAlign w:val="center"/>
          </w:tcPr>
          <w:p>
            <w:pPr>
              <w:spacing w:after="0"/>
            </w:pPr>
            <w:r/>
            <w:r>
              <w:rPr>
                <w:rFonts w:ascii="Aptos" w:hAnsi="Aptos"/>
                <w:b w:val="0"/>
                <w:sz w:val="15"/>
              </w:rPr>
              <w:t>Carga distribuida por franjas</w:t>
            </w:r>
          </w:p>
        </w:tc>
      </w:tr>
      <w:tr>
        <w:tc>
          <w:tcPr>
            <w:tcW w:type="dxa" w:w="1757"/>
            <w:vAlign w:val="center"/>
            <w:shd w:fill="F2F2F2"/>
          </w:tcPr>
          <w:p>
            <w:pPr>
              <w:spacing w:after="0"/>
            </w:pPr>
            <w:r/>
            <w:r>
              <w:rPr>
                <w:rFonts w:ascii="Aptos" w:hAnsi="Aptos"/>
                <w:b w:val="0"/>
                <w:sz w:val="15"/>
              </w:rPr>
              <w:t>Fuste poligonal</w:t>
            </w:r>
          </w:p>
        </w:tc>
        <w:tc>
          <w:tcPr>
            <w:tcW w:type="dxa" w:w="3288"/>
            <w:vAlign w:val="center"/>
            <w:shd w:fill="F2F2F2"/>
          </w:tcPr>
          <w:p>
            <w:pPr>
              <w:spacing w:after="0"/>
            </w:pPr>
            <w:r/>
            <w:r>
              <w:rPr>
                <w:rFonts w:ascii="Aptos" w:hAnsi="Aptos"/>
                <w:b w:val="0"/>
                <w:sz w:val="15"/>
              </w:rPr>
              <w:t>Dimensiones, número de caras, orientación</w:t>
            </w:r>
          </w:p>
        </w:tc>
        <w:tc>
          <w:tcPr>
            <w:tcW w:type="dxa" w:w="4309"/>
            <w:vAlign w:val="center"/>
            <w:shd w:fill="F2F2F2"/>
          </w:tcPr>
          <w:p>
            <w:pPr>
              <w:spacing w:after="0"/>
            </w:pPr>
            <w:r/>
            <w:r>
              <w:rPr>
                <w:rFonts w:ascii="Aptos" w:hAnsi="Aptos"/>
                <w:b w:val="0"/>
                <w:sz w:val="15"/>
              </w:rPr>
              <w:t>Proyección y coeficiente según azimut</w:t>
            </w:r>
          </w:p>
        </w:tc>
      </w:tr>
      <w:tr>
        <w:tc>
          <w:tcPr>
            <w:tcW w:type="dxa" w:w="1757"/>
            <w:vAlign w:val="center"/>
          </w:tcPr>
          <w:p>
            <w:pPr>
              <w:spacing w:after="0"/>
            </w:pPr>
            <w:r/>
            <w:r>
              <w:rPr>
                <w:rFonts w:ascii="Aptos" w:hAnsi="Aptos"/>
                <w:b w:val="0"/>
                <w:sz w:val="15"/>
              </w:rPr>
              <w:t>Brazo/báculo</w:t>
            </w:r>
          </w:p>
        </w:tc>
        <w:tc>
          <w:tcPr>
            <w:tcW w:type="dxa" w:w="3288"/>
            <w:vAlign w:val="center"/>
          </w:tcPr>
          <w:p>
            <w:pPr>
              <w:spacing w:after="0"/>
            </w:pPr>
            <w:r/>
            <w:r>
              <w:rPr>
                <w:rFonts w:ascii="Aptos" w:hAnsi="Aptos"/>
                <w:b w:val="0"/>
                <w:sz w:val="15"/>
              </w:rPr>
              <w:t>Eje, sección, longitud, orientación</w:t>
            </w:r>
          </w:p>
        </w:tc>
        <w:tc>
          <w:tcPr>
            <w:tcW w:type="dxa" w:w="4309"/>
            <w:vAlign w:val="center"/>
          </w:tcPr>
          <w:p>
            <w:pPr>
              <w:spacing w:after="0"/>
            </w:pPr>
            <w:r/>
            <w:r>
              <w:rPr>
                <w:rFonts w:ascii="Aptos" w:hAnsi="Aptos"/>
                <w:b w:val="0"/>
                <w:sz w:val="15"/>
              </w:rPr>
              <w:t>Carga distribuida sobre eje espacial</w:t>
            </w:r>
          </w:p>
        </w:tc>
      </w:tr>
      <w:tr>
        <w:tc>
          <w:tcPr>
            <w:tcW w:type="dxa" w:w="1757"/>
            <w:vAlign w:val="center"/>
            <w:shd w:fill="F2F2F2"/>
          </w:tcPr>
          <w:p>
            <w:pPr>
              <w:spacing w:after="0"/>
            </w:pPr>
            <w:r/>
            <w:r>
              <w:rPr>
                <w:rFonts w:ascii="Aptos" w:hAnsi="Aptos"/>
                <w:b w:val="0"/>
                <w:sz w:val="15"/>
              </w:rPr>
              <w:t>Luminaria</w:t>
            </w:r>
          </w:p>
        </w:tc>
        <w:tc>
          <w:tcPr>
            <w:tcW w:type="dxa" w:w="3288"/>
            <w:vAlign w:val="center"/>
            <w:shd w:fill="F2F2F2"/>
          </w:tcPr>
          <w:p>
            <w:pPr>
              <w:spacing w:after="0"/>
            </w:pPr>
            <w:r/>
            <w:r>
              <w:rPr>
                <w:rFonts w:ascii="Aptos" w:hAnsi="Aptos"/>
                <w:b w:val="0"/>
                <w:sz w:val="15"/>
              </w:rPr>
              <w:t>Área proyectada por orientación, Cd, centro de presión</w:t>
            </w:r>
          </w:p>
        </w:tc>
        <w:tc>
          <w:tcPr>
            <w:tcW w:type="dxa" w:w="4309"/>
            <w:vAlign w:val="center"/>
            <w:shd w:fill="F2F2F2"/>
          </w:tcPr>
          <w:p>
            <w:pPr>
              <w:spacing w:after="0"/>
            </w:pPr>
            <w:r/>
            <w:r>
              <w:rPr>
                <w:rFonts w:ascii="Aptos" w:hAnsi="Aptos"/>
                <w:b w:val="0"/>
                <w:sz w:val="15"/>
              </w:rPr>
              <w:t>Carga concentrada o distribuida equivalente</w:t>
            </w:r>
          </w:p>
        </w:tc>
      </w:tr>
      <w:tr>
        <w:tc>
          <w:tcPr>
            <w:tcW w:type="dxa" w:w="1757"/>
            <w:vAlign w:val="center"/>
          </w:tcPr>
          <w:p>
            <w:pPr>
              <w:spacing w:after="0"/>
            </w:pPr>
            <w:r/>
            <w:r>
              <w:rPr>
                <w:rFonts w:ascii="Aptos" w:hAnsi="Aptos"/>
                <w:b w:val="0"/>
                <w:sz w:val="15"/>
              </w:rPr>
              <w:t>Panel solar</w:t>
            </w:r>
          </w:p>
        </w:tc>
        <w:tc>
          <w:tcPr>
            <w:tcW w:type="dxa" w:w="3288"/>
            <w:vAlign w:val="center"/>
          </w:tcPr>
          <w:p>
            <w:pPr>
              <w:spacing w:after="0"/>
            </w:pPr>
            <w:r/>
            <w:r>
              <w:rPr>
                <w:rFonts w:ascii="Aptos" w:hAnsi="Aptos"/>
                <w:b w:val="0"/>
                <w:sz w:val="15"/>
              </w:rPr>
              <w:t>Dimensiones, inclinación, separación, Cd por cara</w:t>
            </w:r>
          </w:p>
        </w:tc>
        <w:tc>
          <w:tcPr>
            <w:tcW w:type="dxa" w:w="4309"/>
            <w:vAlign w:val="center"/>
          </w:tcPr>
          <w:p>
            <w:pPr>
              <w:spacing w:after="0"/>
            </w:pPr>
            <w:r/>
            <w:r>
              <w:rPr>
                <w:rFonts w:ascii="Aptos" w:hAnsi="Aptos"/>
                <w:b w:val="0"/>
                <w:sz w:val="15"/>
              </w:rPr>
              <w:t>Presión/succión y torsión</w:t>
            </w:r>
          </w:p>
        </w:tc>
      </w:tr>
      <w:tr>
        <w:tc>
          <w:tcPr>
            <w:tcW w:type="dxa" w:w="1757"/>
            <w:vAlign w:val="center"/>
            <w:shd w:fill="F2F2F2"/>
          </w:tcPr>
          <w:p>
            <w:pPr>
              <w:spacing w:after="0"/>
            </w:pPr>
            <w:r/>
            <w:r>
              <w:rPr>
                <w:rFonts w:ascii="Aptos" w:hAnsi="Aptos"/>
                <w:b w:val="0"/>
                <w:sz w:val="15"/>
              </w:rPr>
              <w:t>Armario/batería</w:t>
            </w:r>
          </w:p>
        </w:tc>
        <w:tc>
          <w:tcPr>
            <w:tcW w:type="dxa" w:w="3288"/>
            <w:vAlign w:val="center"/>
            <w:shd w:fill="F2F2F2"/>
          </w:tcPr>
          <w:p>
            <w:pPr>
              <w:spacing w:after="0"/>
            </w:pPr>
            <w:r/>
            <w:r>
              <w:rPr>
                <w:rFonts w:ascii="Aptos" w:hAnsi="Aptos"/>
                <w:b w:val="0"/>
                <w:sz w:val="15"/>
              </w:rPr>
              <w:t>Caja equivalente y posición</w:t>
            </w:r>
          </w:p>
        </w:tc>
        <w:tc>
          <w:tcPr>
            <w:tcW w:type="dxa" w:w="4309"/>
            <w:vAlign w:val="center"/>
            <w:shd w:fill="F2F2F2"/>
          </w:tcPr>
          <w:p>
            <w:pPr>
              <w:spacing w:after="0"/>
            </w:pPr>
            <w:r/>
            <w:r>
              <w:rPr>
                <w:rFonts w:ascii="Aptos" w:hAnsi="Aptos"/>
                <w:b w:val="0"/>
                <w:sz w:val="15"/>
              </w:rPr>
              <w:t>Carga concentrada con excentricidad</w:t>
            </w:r>
          </w:p>
        </w:tc>
      </w:tr>
      <w:tr>
        <w:tc>
          <w:tcPr>
            <w:tcW w:type="dxa" w:w="1757"/>
            <w:vAlign w:val="center"/>
          </w:tcPr>
          <w:p>
            <w:pPr>
              <w:spacing w:after="0"/>
            </w:pPr>
            <w:r/>
            <w:r>
              <w:rPr>
                <w:rFonts w:ascii="Aptos" w:hAnsi="Aptos"/>
                <w:b w:val="0"/>
                <w:sz w:val="15"/>
              </w:rPr>
              <w:t>Cartel/bandera</w:t>
            </w:r>
          </w:p>
        </w:tc>
        <w:tc>
          <w:tcPr>
            <w:tcW w:type="dxa" w:w="3288"/>
            <w:vAlign w:val="center"/>
          </w:tcPr>
          <w:p>
            <w:pPr>
              <w:spacing w:after="0"/>
            </w:pPr>
            <w:r/>
            <w:r>
              <w:rPr>
                <w:rFonts w:ascii="Aptos" w:hAnsi="Aptos"/>
                <w:b w:val="0"/>
                <w:sz w:val="15"/>
              </w:rPr>
              <w:t>Área, porosidad, orientación</w:t>
            </w:r>
          </w:p>
        </w:tc>
        <w:tc>
          <w:tcPr>
            <w:tcW w:type="dxa" w:w="4309"/>
            <w:vAlign w:val="center"/>
          </w:tcPr>
          <w:p>
            <w:pPr>
              <w:spacing w:after="0"/>
            </w:pPr>
            <w:r/>
            <w:r>
              <w:rPr>
                <w:rFonts w:ascii="Aptos" w:hAnsi="Aptos"/>
                <w:b w:val="0"/>
                <w:sz w:val="15"/>
              </w:rPr>
              <w:t>Caso especial y posible acción dinámica</w:t>
            </w:r>
          </w:p>
        </w:tc>
      </w:tr>
      <w:tr>
        <w:tc>
          <w:tcPr>
            <w:tcW w:type="dxa" w:w="1757"/>
            <w:vAlign w:val="center"/>
            <w:shd w:fill="F2F2F2"/>
          </w:tcPr>
          <w:p>
            <w:pPr>
              <w:spacing w:after="0"/>
            </w:pPr>
            <w:r/>
            <w:r>
              <w:rPr>
                <w:rFonts w:ascii="Aptos" w:hAnsi="Aptos"/>
                <w:b w:val="0"/>
                <w:sz w:val="15"/>
              </w:rPr>
              <w:t>Cámara/antena/sensor</w:t>
            </w:r>
          </w:p>
        </w:tc>
        <w:tc>
          <w:tcPr>
            <w:tcW w:type="dxa" w:w="3288"/>
            <w:vAlign w:val="center"/>
            <w:shd w:fill="F2F2F2"/>
          </w:tcPr>
          <w:p>
            <w:pPr>
              <w:spacing w:after="0"/>
            </w:pPr>
            <w:r/>
            <w:r>
              <w:rPr>
                <w:rFonts w:ascii="Aptos" w:hAnsi="Aptos"/>
                <w:b w:val="0"/>
                <w:sz w:val="15"/>
              </w:rPr>
              <w:t>Área/Cd o envolvente</w:t>
            </w:r>
          </w:p>
        </w:tc>
        <w:tc>
          <w:tcPr>
            <w:tcW w:type="dxa" w:w="4309"/>
            <w:vAlign w:val="center"/>
            <w:shd w:fill="F2F2F2"/>
          </w:tcPr>
          <w:p>
            <w:pPr>
              <w:spacing w:after="0"/>
            </w:pPr>
            <w:r/>
            <w:r>
              <w:rPr>
                <w:rFonts w:ascii="Aptos" w:hAnsi="Aptos"/>
                <w:b w:val="0"/>
                <w:sz w:val="15"/>
              </w:rPr>
              <w:t>Carga concentrada</w:t>
            </w:r>
          </w:p>
        </w:tc>
      </w:tr>
    </w:tbl>
    <w:p>
      <w:pPr>
        <w:spacing w:after="0"/>
      </w:pPr>
    </w:p>
    <w:p>
      <w:pPr>
        <w:pStyle w:val="Heading2"/>
        <w:spacing w:after="80"/>
      </w:pPr>
      <w:r>
        <w:t>10.1 Orientación y caras expuestas</w:t>
      </w:r>
    </w:p>
    <w:p>
      <w:pPr>
        <w:pStyle w:val="Requirement"/>
      </w:pPr>
      <w:r>
        <w:rPr>
          <w:b/>
        </w:rPr>
        <w:t xml:space="preserve">AER-001 [MUST] </w:t>
      </w:r>
      <w:r>
        <w:t>El área proyectada se calculará normal a la dirección de viento en el sistema global.</w:t>
      </w:r>
    </w:p>
    <w:p>
      <w:pPr>
        <w:pStyle w:val="Requirement"/>
      </w:pPr>
      <w:r>
        <w:rPr>
          <w:b/>
        </w:rPr>
        <w:t xml:space="preserve">AER-002 [MUST] </w:t>
      </w:r>
      <w:r>
        <w:t>Los componentes con comportamiento distinto por cara almacenarán curvas o tablas Cd(azimut, inclinación).</w:t>
      </w:r>
    </w:p>
    <w:p>
      <w:pPr>
        <w:pStyle w:val="Requirement"/>
      </w:pPr>
      <w:r>
        <w:rPr>
          <w:b/>
        </w:rPr>
        <w:t xml:space="preserve">AER-003 [MUST] </w:t>
      </w:r>
      <w:r>
        <w:t>La proyección geométrica no sustituirá un coeficiente aerodinámico; ambos datos deberán existir o declararse conservadores.</w:t>
      </w:r>
    </w:p>
    <w:p>
      <w:pPr>
        <w:pStyle w:val="Requirement"/>
      </w:pPr>
      <w:r>
        <w:rPr>
          <w:b/>
        </w:rPr>
        <w:t xml:space="preserve">AER-004 [MUST] </w:t>
      </w:r>
      <w:r>
        <w:t>El apantallamiento entre componentes no se aplicará por defecto. Solo se utilizará cuando exista una regla normativa o modelo validado.</w:t>
      </w:r>
    </w:p>
    <w:p>
      <w:pPr>
        <w:pStyle w:val="Heading1"/>
        <w:spacing w:after="80"/>
      </w:pPr>
      <w:r>
        <w:t>11. Barrido direccional y búsqueda de máximos</w:t>
      </w:r>
    </w:p>
    <w:p>
      <w:pPr>
        <w:spacing w:after="80"/>
      </w:pPr>
      <w:r>
        <w:t>El barrido base será 0°, 30°, 60° ... 330°, medido conforme al sistema global definido en Fase 2. Se añadirán direcciones derivadas de geometrías asimétricas y cables. Para evitar perder un máximo entre incrementos, la aplicación podrá refinar automáticamente.</w:t>
      </w:r>
    </w:p>
    <w:p>
      <w:pPr>
        <w:pStyle w:val="Heading2"/>
        <w:spacing w:after="80"/>
      </w:pPr>
      <w:r>
        <w:t>11.1 Conjunto de direcciones</w:t>
      </w:r>
    </w:p>
    <w:p>
      <w:pPr>
        <w:pStyle w:val="ListBullet"/>
        <w:spacing w:after="30"/>
      </w:pPr>
      <w:r>
        <w:t>Doce direcciones base cada 30°.</w:t>
      </w:r>
    </w:p>
    <w:p>
      <w:pPr>
        <w:pStyle w:val="ListBullet"/>
        <w:spacing w:after="30"/>
      </w:pPr>
      <w:r>
        <w:t>Azimut de cada cable y su opuesto cuando exista interacción con viento.</w:t>
      </w:r>
    </w:p>
    <w:p>
      <w:pPr>
        <w:pStyle w:val="ListBullet"/>
        <w:spacing w:after="30"/>
      </w:pPr>
      <w:r>
        <w:t>Azimut normal a cada brazo principal, panel, cartel o luminaria de alta asimetría.</w:t>
      </w:r>
    </w:p>
    <w:p>
      <w:pPr>
        <w:pStyle w:val="ListBullet"/>
        <w:spacing w:after="30"/>
      </w:pPr>
      <w:r>
        <w:t>Direcciones contractuales obligatorias.</w:t>
      </w:r>
    </w:p>
    <w:p>
      <w:pPr>
        <w:pStyle w:val="ListBullet"/>
        <w:spacing w:after="30"/>
      </w:pPr>
      <w:r>
        <w:t>Direcciones de refinamiento alrededor de máximos preliminares.</w:t>
      </w:r>
    </w:p>
    <w:p>
      <w:pPr>
        <w:pStyle w:val="Heading2"/>
        <w:spacing w:after="80"/>
      </w:pPr>
      <w:r>
        <w:t>11.2 Refinamiento</w:t>
      </w:r>
    </w:p>
    <w:p>
      <w:pPr>
        <w:pStyle w:val="ListNumber"/>
        <w:spacing w:after="30"/>
      </w:pPr>
      <w:r>
        <w:t>Ejecutar barrido base.</w:t>
      </w:r>
    </w:p>
    <w:p>
      <w:pPr>
        <w:pStyle w:val="ListNumber"/>
        <w:spacing w:after="30"/>
      </w:pPr>
      <w:r>
        <w:t>Identificar máximos locales de momento, torsión, desplazamiento estimado o resultante en secciones de control.</w:t>
      </w:r>
    </w:p>
    <w:p>
      <w:pPr>
        <w:pStyle w:val="ListNumber"/>
        <w:spacing w:after="30"/>
      </w:pPr>
      <w:r>
        <w:t>Crear direcciones adicionales ±10° y ±5° alrededor del máximo cuando la variación sea superior al umbral.</w:t>
      </w:r>
    </w:p>
    <w:p>
      <w:pPr>
        <w:pStyle w:val="ListNumber"/>
        <w:spacing w:after="30"/>
      </w:pPr>
      <w:r>
        <w:t>Repetir hasta que la mejora sea inferior al 0,5 % o se alcance incremento mínimo de 2,5°.</w:t>
      </w:r>
    </w:p>
    <w:p>
      <w:pPr>
        <w:pStyle w:val="ListNumber"/>
        <w:spacing w:after="30"/>
      </w:pPr>
      <w:r>
        <w:t>Registrar dirección base, direcciones añadidas y criterio de parada.</w:t>
      </w:r>
    </w:p>
    <w:p>
      <w:pPr>
        <w:pStyle w:val="Requirement"/>
      </w:pPr>
      <w:r>
        <w:rPr>
          <w:b/>
        </w:rPr>
        <w:t xml:space="preserve">DIR-001 [MUST] </w:t>
      </w:r>
      <w:r>
        <w:t>El usuario podrá desactivar el refinamiento solo en modo preliminar; para cálculo final se aplicará la política definida por Oficina Técnica.</w:t>
      </w:r>
    </w:p>
    <w:p>
      <w:pPr>
        <w:pStyle w:val="Requirement"/>
      </w:pPr>
      <w:r>
        <w:rPr>
          <w:b/>
        </w:rPr>
        <w:t xml:space="preserve">DIR-002 [MUST] </w:t>
      </w:r>
      <w:r>
        <w:t>La envolvente conservará el identificador del caso y dirección que produce cada máximo o mínimo.</w:t>
      </w:r>
    </w:p>
    <w:p>
      <w:pPr>
        <w:pStyle w:val="Heading1"/>
        <w:spacing w:after="80"/>
      </w:pPr>
      <w:r>
        <w:t>12. Acciones permanentes y funcionales</w:t>
      </w:r>
    </w:p>
    <w:p>
      <w:pPr>
        <w:spacing w:after="80"/>
      </w:pPr>
      <w:r>
        <w:t>Las acciones permanentes se obtendrán de la masa y centro de gravedad de cada componente. En ausencia de masa de fabricación, se podrá derivar masa teórica de geometría y densidad, marcándola como calculada. La BOM y el CAD deberán converger posteriormente con la misma fuente.</w:t>
      </w:r>
    </w:p>
    <w:tbl>
      <w:tblPr>
        <w:tblStyle w:val="TableGrid"/>
        <w:tblW w:type="auto" w:w="0"/>
        <w:jc w:val="center"/>
        <w:tblLook w:firstColumn="1" w:firstRow="1" w:lastColumn="0" w:lastRow="0" w:noHBand="0" w:noVBand="1" w:val="04A0"/>
      </w:tblPr>
      <w:tblGrid>
        <w:gridCol w:w="3438"/>
        <w:gridCol w:w="3438"/>
        <w:gridCol w:w="3438"/>
      </w:tblGrid>
      <w:tr>
        <w:tc>
          <w:tcPr>
            <w:tcW w:type="dxa" w:w="1701"/>
            <w:vAlign w:val="center"/>
            <w:shd w:fill="111111"/>
          </w:tcPr>
          <w:p>
            <w:pPr>
              <w:spacing w:after="0"/>
            </w:pPr>
            <w:r/>
            <w:r>
              <w:rPr>
                <w:rFonts w:ascii="Aptos" w:hAnsi="Aptos"/>
                <w:b/>
                <w:color w:val="FFFFFF"/>
                <w:sz w:val="15"/>
              </w:rPr>
              <w:t>Acción</w:t>
            </w:r>
          </w:p>
        </w:tc>
        <w:tc>
          <w:tcPr>
            <w:tcW w:type="dxa" w:w="3118"/>
            <w:vAlign w:val="center"/>
            <w:shd w:fill="111111"/>
          </w:tcPr>
          <w:p>
            <w:pPr>
              <w:spacing w:after="0"/>
            </w:pPr>
            <w:r/>
            <w:r>
              <w:rPr>
                <w:rFonts w:ascii="Aptos" w:hAnsi="Aptos"/>
                <w:b/>
                <w:color w:val="FFFFFF"/>
                <w:sz w:val="15"/>
              </w:rPr>
              <w:t>Origen</w:t>
            </w:r>
          </w:p>
        </w:tc>
        <w:tc>
          <w:tcPr>
            <w:tcW w:type="dxa" w:w="4422"/>
            <w:vAlign w:val="center"/>
            <w:shd w:fill="111111"/>
          </w:tcPr>
          <w:p>
            <w:pPr>
              <w:spacing w:after="0"/>
            </w:pPr>
            <w:r/>
            <w:r>
              <w:rPr>
                <w:rFonts w:ascii="Aptos" w:hAnsi="Aptos"/>
                <w:b/>
                <w:color w:val="FFFFFF"/>
                <w:sz w:val="15"/>
              </w:rPr>
              <w:t>Aplicación</w:t>
            </w:r>
          </w:p>
        </w:tc>
      </w:tr>
      <w:tr>
        <w:tc>
          <w:tcPr>
            <w:tcW w:type="dxa" w:w="1701"/>
            <w:vAlign w:val="center"/>
          </w:tcPr>
          <w:p>
            <w:pPr>
              <w:spacing w:after="0"/>
            </w:pPr>
            <w:r/>
            <w:r>
              <w:rPr>
                <w:rFonts w:ascii="Aptos" w:hAnsi="Aptos"/>
                <w:b w:val="0"/>
                <w:sz w:val="15"/>
              </w:rPr>
              <w:t>Peso propio del fuste</w:t>
            </w:r>
          </w:p>
        </w:tc>
        <w:tc>
          <w:tcPr>
            <w:tcW w:type="dxa" w:w="3118"/>
            <w:vAlign w:val="center"/>
          </w:tcPr>
          <w:p>
            <w:pPr>
              <w:spacing w:after="0"/>
            </w:pPr>
            <w:r/>
            <w:r>
              <w:rPr>
                <w:rFonts w:ascii="Aptos" w:hAnsi="Aptos"/>
                <w:b w:val="0"/>
                <w:sz w:val="15"/>
              </w:rPr>
              <w:t>Volumen × densidad o masa de pieza</w:t>
            </w:r>
          </w:p>
        </w:tc>
        <w:tc>
          <w:tcPr>
            <w:tcW w:type="dxa" w:w="4422"/>
            <w:vAlign w:val="center"/>
          </w:tcPr>
          <w:p>
            <w:pPr>
              <w:spacing w:after="0"/>
            </w:pPr>
            <w:r/>
            <w:r>
              <w:rPr>
                <w:rFonts w:ascii="Aptos" w:hAnsi="Aptos"/>
                <w:b w:val="0"/>
                <w:sz w:val="15"/>
              </w:rPr>
              <w:t>Distribuida por tramo</w:t>
            </w:r>
          </w:p>
        </w:tc>
      </w:tr>
      <w:tr>
        <w:tc>
          <w:tcPr>
            <w:tcW w:type="dxa" w:w="1701"/>
            <w:vAlign w:val="center"/>
            <w:shd w:fill="F2F2F2"/>
          </w:tcPr>
          <w:p>
            <w:pPr>
              <w:spacing w:after="0"/>
            </w:pPr>
            <w:r/>
            <w:r>
              <w:rPr>
                <w:rFonts w:ascii="Aptos" w:hAnsi="Aptos"/>
                <w:b w:val="0"/>
                <w:sz w:val="15"/>
              </w:rPr>
              <w:t>Brazos y soportes</w:t>
            </w:r>
          </w:p>
        </w:tc>
        <w:tc>
          <w:tcPr>
            <w:tcW w:type="dxa" w:w="3118"/>
            <w:vAlign w:val="center"/>
            <w:shd w:fill="F2F2F2"/>
          </w:tcPr>
          <w:p>
            <w:pPr>
              <w:spacing w:after="0"/>
            </w:pPr>
            <w:r/>
            <w:r>
              <w:rPr>
                <w:rFonts w:ascii="Aptos" w:hAnsi="Aptos"/>
                <w:b w:val="0"/>
                <w:sz w:val="15"/>
              </w:rPr>
              <w:t>Masa/CG de componente</w:t>
            </w:r>
          </w:p>
        </w:tc>
        <w:tc>
          <w:tcPr>
            <w:tcW w:type="dxa" w:w="4422"/>
            <w:vAlign w:val="center"/>
            <w:shd w:fill="F2F2F2"/>
          </w:tcPr>
          <w:p>
            <w:pPr>
              <w:spacing w:after="0"/>
            </w:pPr>
            <w:r/>
            <w:r>
              <w:rPr>
                <w:rFonts w:ascii="Aptos" w:hAnsi="Aptos"/>
                <w:b w:val="0"/>
                <w:sz w:val="15"/>
              </w:rPr>
              <w:t>Distribuida o concentrada</w:t>
            </w:r>
          </w:p>
        </w:tc>
      </w:tr>
      <w:tr>
        <w:tc>
          <w:tcPr>
            <w:tcW w:type="dxa" w:w="1701"/>
            <w:vAlign w:val="center"/>
          </w:tcPr>
          <w:p>
            <w:pPr>
              <w:spacing w:after="0"/>
            </w:pPr>
            <w:r/>
            <w:r>
              <w:rPr>
                <w:rFonts w:ascii="Aptos" w:hAnsi="Aptos"/>
                <w:b w:val="0"/>
                <w:sz w:val="15"/>
              </w:rPr>
              <w:t>Luminarias</w:t>
            </w:r>
          </w:p>
        </w:tc>
        <w:tc>
          <w:tcPr>
            <w:tcW w:type="dxa" w:w="3118"/>
            <w:vAlign w:val="center"/>
          </w:tcPr>
          <w:p>
            <w:pPr>
              <w:spacing w:after="0"/>
            </w:pPr>
            <w:r/>
            <w:r>
              <w:rPr>
                <w:rFonts w:ascii="Aptos" w:hAnsi="Aptos"/>
                <w:b w:val="0"/>
                <w:sz w:val="15"/>
              </w:rPr>
              <w:t>Ficha de producto</w:t>
            </w:r>
          </w:p>
        </w:tc>
        <w:tc>
          <w:tcPr>
            <w:tcW w:type="dxa" w:w="4422"/>
            <w:vAlign w:val="center"/>
          </w:tcPr>
          <w:p>
            <w:pPr>
              <w:spacing w:after="0"/>
            </w:pPr>
            <w:r/>
            <w:r>
              <w:rPr>
                <w:rFonts w:ascii="Aptos" w:hAnsi="Aptos"/>
                <w:b w:val="0"/>
                <w:sz w:val="15"/>
              </w:rPr>
              <w:t>En interfaz de montaje con excentricidad</w:t>
            </w:r>
          </w:p>
        </w:tc>
      </w:tr>
      <w:tr>
        <w:tc>
          <w:tcPr>
            <w:tcW w:type="dxa" w:w="1701"/>
            <w:vAlign w:val="center"/>
            <w:shd w:fill="F2F2F2"/>
          </w:tcPr>
          <w:p>
            <w:pPr>
              <w:spacing w:after="0"/>
            </w:pPr>
            <w:r/>
            <w:r>
              <w:rPr>
                <w:rFonts w:ascii="Aptos" w:hAnsi="Aptos"/>
                <w:b w:val="0"/>
                <w:sz w:val="15"/>
              </w:rPr>
              <w:t>Equipos interiores</w:t>
            </w:r>
          </w:p>
        </w:tc>
        <w:tc>
          <w:tcPr>
            <w:tcW w:type="dxa" w:w="3118"/>
            <w:vAlign w:val="center"/>
            <w:shd w:fill="F2F2F2"/>
          </w:tcPr>
          <w:p>
            <w:pPr>
              <w:spacing w:after="0"/>
            </w:pPr>
            <w:r/>
            <w:r>
              <w:rPr>
                <w:rFonts w:ascii="Aptos" w:hAnsi="Aptos"/>
                <w:b w:val="0"/>
                <w:sz w:val="15"/>
              </w:rPr>
              <w:t>BOM y posición</w:t>
            </w:r>
          </w:p>
        </w:tc>
        <w:tc>
          <w:tcPr>
            <w:tcW w:type="dxa" w:w="4422"/>
            <w:vAlign w:val="center"/>
            <w:shd w:fill="F2F2F2"/>
          </w:tcPr>
          <w:p>
            <w:pPr>
              <w:spacing w:after="0"/>
            </w:pPr>
            <w:r/>
            <w:r>
              <w:rPr>
                <w:rFonts w:ascii="Aptos" w:hAnsi="Aptos"/>
                <w:b w:val="0"/>
                <w:sz w:val="15"/>
              </w:rPr>
              <w:t>Concentrada o distribuida</w:t>
            </w:r>
          </w:p>
        </w:tc>
      </w:tr>
      <w:tr>
        <w:tc>
          <w:tcPr>
            <w:tcW w:type="dxa" w:w="1701"/>
            <w:vAlign w:val="center"/>
          </w:tcPr>
          <w:p>
            <w:pPr>
              <w:spacing w:after="0"/>
            </w:pPr>
            <w:r/>
            <w:r>
              <w:rPr>
                <w:rFonts w:ascii="Aptos" w:hAnsi="Aptos"/>
                <w:b w:val="0"/>
                <w:sz w:val="15"/>
              </w:rPr>
              <w:t>Paneles/baterías</w:t>
            </w:r>
          </w:p>
        </w:tc>
        <w:tc>
          <w:tcPr>
            <w:tcW w:type="dxa" w:w="3118"/>
            <w:vAlign w:val="center"/>
          </w:tcPr>
          <w:p>
            <w:pPr>
              <w:spacing w:after="0"/>
            </w:pPr>
            <w:r/>
            <w:r>
              <w:rPr>
                <w:rFonts w:ascii="Aptos" w:hAnsi="Aptos"/>
                <w:b w:val="0"/>
                <w:sz w:val="15"/>
              </w:rPr>
              <w:t>Ficha + soportes</w:t>
            </w:r>
          </w:p>
        </w:tc>
        <w:tc>
          <w:tcPr>
            <w:tcW w:type="dxa" w:w="4422"/>
            <w:vAlign w:val="center"/>
          </w:tcPr>
          <w:p>
            <w:pPr>
              <w:spacing w:after="0"/>
            </w:pPr>
            <w:r/>
            <w:r>
              <w:rPr>
                <w:rFonts w:ascii="Aptos" w:hAnsi="Aptos"/>
                <w:b w:val="0"/>
                <w:sz w:val="15"/>
              </w:rPr>
              <w:t>En puntos de fijación</w:t>
            </w:r>
          </w:p>
        </w:tc>
      </w:tr>
      <w:tr>
        <w:tc>
          <w:tcPr>
            <w:tcW w:type="dxa" w:w="1701"/>
            <w:vAlign w:val="center"/>
            <w:shd w:fill="F2F2F2"/>
          </w:tcPr>
          <w:p>
            <w:pPr>
              <w:spacing w:after="0"/>
            </w:pPr>
            <w:r/>
            <w:r>
              <w:rPr>
                <w:rFonts w:ascii="Aptos" w:hAnsi="Aptos"/>
                <w:b w:val="0"/>
                <w:sz w:val="15"/>
              </w:rPr>
              <w:t>Placas/uniones</w:t>
            </w:r>
          </w:p>
        </w:tc>
        <w:tc>
          <w:tcPr>
            <w:tcW w:type="dxa" w:w="3118"/>
            <w:vAlign w:val="center"/>
            <w:shd w:fill="F2F2F2"/>
          </w:tcPr>
          <w:p>
            <w:pPr>
              <w:spacing w:after="0"/>
            </w:pPr>
            <w:r/>
            <w:r>
              <w:rPr>
                <w:rFonts w:ascii="Aptos" w:hAnsi="Aptos"/>
                <w:b w:val="0"/>
                <w:sz w:val="15"/>
              </w:rPr>
              <w:t>Geometría/material</w:t>
            </w:r>
          </w:p>
        </w:tc>
        <w:tc>
          <w:tcPr>
            <w:tcW w:type="dxa" w:w="4422"/>
            <w:vAlign w:val="center"/>
            <w:shd w:fill="F2F2F2"/>
          </w:tcPr>
          <w:p>
            <w:pPr>
              <w:spacing w:after="0"/>
            </w:pPr>
            <w:r/>
            <w:r>
              <w:rPr>
                <w:rFonts w:ascii="Aptos" w:hAnsi="Aptos"/>
                <w:b w:val="0"/>
                <w:sz w:val="15"/>
              </w:rPr>
              <w:t>En base o junta</w:t>
            </w:r>
          </w:p>
        </w:tc>
      </w:tr>
      <w:tr>
        <w:tc>
          <w:tcPr>
            <w:tcW w:type="dxa" w:w="1701"/>
            <w:vAlign w:val="center"/>
          </w:tcPr>
          <w:p>
            <w:pPr>
              <w:spacing w:after="0"/>
            </w:pPr>
            <w:r/>
            <w:r>
              <w:rPr>
                <w:rFonts w:ascii="Aptos" w:hAnsi="Aptos"/>
                <w:b w:val="0"/>
                <w:sz w:val="15"/>
              </w:rPr>
              <w:t>Pretensado/acciones internas</w:t>
            </w:r>
          </w:p>
        </w:tc>
        <w:tc>
          <w:tcPr>
            <w:tcW w:type="dxa" w:w="3118"/>
            <w:vAlign w:val="center"/>
          </w:tcPr>
          <w:p>
            <w:pPr>
              <w:spacing w:after="0"/>
            </w:pPr>
            <w:r/>
            <w:r>
              <w:rPr>
                <w:rFonts w:ascii="Aptos" w:hAnsi="Aptos"/>
                <w:b w:val="0"/>
                <w:sz w:val="15"/>
              </w:rPr>
              <w:t>Modelo de material futuro</w:t>
            </w:r>
          </w:p>
        </w:tc>
        <w:tc>
          <w:tcPr>
            <w:tcW w:type="dxa" w:w="4422"/>
            <w:vAlign w:val="center"/>
          </w:tcPr>
          <w:p>
            <w:pPr>
              <w:spacing w:after="0"/>
            </w:pPr>
            <w:r/>
            <w:r>
              <w:rPr>
                <w:rFonts w:ascii="Aptos" w:hAnsi="Aptos"/>
                <w:b w:val="0"/>
                <w:sz w:val="15"/>
              </w:rPr>
              <w:t>Separado del peso propio</w:t>
            </w:r>
          </w:p>
        </w:tc>
      </w:tr>
    </w:tbl>
    <w:p>
      <w:pPr>
        <w:spacing w:after="0"/>
      </w:pPr>
    </w:p>
    <w:p>
      <w:pPr>
        <w:pStyle w:val="Requirement"/>
      </w:pPr>
      <w:r>
        <w:rPr>
          <w:b/>
        </w:rPr>
        <w:t xml:space="preserve">PER-001 [MUST] </w:t>
      </w:r>
      <w:r>
        <w:t>Toda masa deberá indicar si incluye tornillería, cableado, soporte y tolerancia de fabricación.</w:t>
      </w:r>
    </w:p>
    <w:p>
      <w:pPr>
        <w:pStyle w:val="Requirement"/>
      </w:pPr>
      <w:r>
        <w:rPr>
          <w:b/>
        </w:rPr>
        <w:t xml:space="preserve">PER-002 [MUST] </w:t>
      </w:r>
      <w:r>
        <w:t>El usuario podrá aplicar un factor de masa adicional por proyecto, identificado como margen de carga, no como coeficiente normativo.</w:t>
      </w:r>
    </w:p>
    <w:p>
      <w:pPr>
        <w:pStyle w:val="Heading1"/>
        <w:spacing w:after="80"/>
      </w:pPr>
      <w:r>
        <w:t>13. Cables de catenaria</w:t>
      </w:r>
    </w:p>
    <w:p>
      <w:pPr>
        <w:spacing w:after="80"/>
      </w:pPr>
      <w:r>
        <w:t>En la primera versión, el usuario introducirá la tensión de cada cable y su dirección. Se admitirán hasta seis cables en cualquier azimut, aplicados a cotas independientes. El sistema calculará el vector transmitido a la columna y sus efectos, pero no el herraje ni la tensión originada por la geometría de la catenaria.</w:t>
      </w:r>
    </w:p>
    <w:p>
      <w:pPr>
        <w:pStyle w:val="Heading2"/>
        <w:spacing w:after="80"/>
      </w:pPr>
      <w:r>
        <w:t>13.1 Datos por cable</w:t>
      </w:r>
    </w:p>
    <w:tbl>
      <w:tblPr>
        <w:tblStyle w:val="TableGrid"/>
        <w:tblW w:type="auto" w:w="0"/>
        <w:jc w:val="center"/>
        <w:tblLook w:firstColumn="1" w:firstRow="1" w:lastColumn="0" w:lastRow="0" w:noHBand="0" w:noVBand="1" w:val="04A0"/>
      </w:tblPr>
      <w:tblGrid>
        <w:gridCol w:w="3438"/>
        <w:gridCol w:w="3438"/>
        <w:gridCol w:w="3438"/>
      </w:tblGrid>
      <w:tr>
        <w:tc>
          <w:tcPr>
            <w:tcW w:type="dxa" w:w="1701"/>
            <w:vAlign w:val="center"/>
            <w:shd w:fill="111111"/>
          </w:tcPr>
          <w:p>
            <w:pPr>
              <w:spacing w:after="0"/>
            </w:pPr>
            <w:r/>
            <w:r>
              <w:rPr>
                <w:rFonts w:ascii="Aptos" w:hAnsi="Aptos"/>
                <w:b/>
                <w:color w:val="FFFFFF"/>
                <w:sz w:val="15"/>
              </w:rPr>
              <w:t>Dato</w:t>
            </w:r>
          </w:p>
        </w:tc>
        <w:tc>
          <w:tcPr>
            <w:tcW w:type="dxa" w:w="1304"/>
            <w:vAlign w:val="center"/>
            <w:shd w:fill="111111"/>
          </w:tcPr>
          <w:p>
            <w:pPr>
              <w:spacing w:after="0"/>
            </w:pPr>
            <w:r/>
            <w:r>
              <w:rPr>
                <w:rFonts w:ascii="Aptos" w:hAnsi="Aptos"/>
                <w:b/>
                <w:color w:val="FFFFFF"/>
                <w:sz w:val="15"/>
              </w:rPr>
              <w:t>Obligatorio</w:t>
            </w:r>
          </w:p>
        </w:tc>
        <w:tc>
          <w:tcPr>
            <w:tcW w:type="dxa" w:w="5102"/>
            <w:vAlign w:val="center"/>
            <w:shd w:fill="111111"/>
          </w:tcPr>
          <w:p>
            <w:pPr>
              <w:spacing w:after="0"/>
            </w:pPr>
            <w:r/>
            <w:r>
              <w:rPr>
                <w:rFonts w:ascii="Aptos" w:hAnsi="Aptos"/>
                <w:b/>
                <w:color w:val="FFFFFF"/>
                <w:sz w:val="15"/>
              </w:rPr>
              <w:t>Definición</w:t>
            </w:r>
          </w:p>
        </w:tc>
      </w:tr>
      <w:tr>
        <w:tc>
          <w:tcPr>
            <w:tcW w:type="dxa" w:w="1701"/>
            <w:vAlign w:val="center"/>
          </w:tcPr>
          <w:p>
            <w:pPr>
              <w:spacing w:after="0"/>
            </w:pPr>
            <w:r/>
            <w:r>
              <w:rPr>
                <w:rFonts w:ascii="Aptos" w:hAnsi="Aptos"/>
                <w:b w:val="0"/>
                <w:sz w:val="15"/>
              </w:rPr>
              <w:t>Identificador</w:t>
            </w:r>
          </w:p>
        </w:tc>
        <w:tc>
          <w:tcPr>
            <w:tcW w:type="dxa" w:w="1304"/>
            <w:vAlign w:val="center"/>
          </w:tcPr>
          <w:p>
            <w:pPr>
              <w:spacing w:after="0"/>
            </w:pPr>
            <w:r/>
            <w:r>
              <w:rPr>
                <w:rFonts w:ascii="Aptos" w:hAnsi="Aptos"/>
                <w:b w:val="0"/>
                <w:sz w:val="15"/>
              </w:rPr>
              <w:t>Sí</w:t>
            </w:r>
          </w:p>
        </w:tc>
        <w:tc>
          <w:tcPr>
            <w:tcW w:type="dxa" w:w="5102"/>
            <w:vAlign w:val="center"/>
          </w:tcPr>
          <w:p>
            <w:pPr>
              <w:spacing w:after="0"/>
            </w:pPr>
            <w:r/>
            <w:r>
              <w:rPr>
                <w:rFonts w:ascii="Aptos" w:hAnsi="Aptos"/>
                <w:b w:val="0"/>
                <w:sz w:val="15"/>
              </w:rPr>
              <w:t>Código y UUID</w:t>
            </w:r>
          </w:p>
        </w:tc>
      </w:tr>
      <w:tr>
        <w:tc>
          <w:tcPr>
            <w:tcW w:type="dxa" w:w="1701"/>
            <w:vAlign w:val="center"/>
            <w:shd w:fill="F2F2F2"/>
          </w:tcPr>
          <w:p>
            <w:pPr>
              <w:spacing w:after="0"/>
            </w:pPr>
            <w:r/>
            <w:r>
              <w:rPr>
                <w:rFonts w:ascii="Aptos" w:hAnsi="Aptos"/>
                <w:b w:val="0"/>
                <w:sz w:val="15"/>
              </w:rPr>
              <w:t>Cota de anclaje</w:t>
            </w:r>
          </w:p>
        </w:tc>
        <w:tc>
          <w:tcPr>
            <w:tcW w:type="dxa" w:w="1304"/>
            <w:vAlign w:val="center"/>
            <w:shd w:fill="F2F2F2"/>
          </w:tcPr>
          <w:p>
            <w:pPr>
              <w:spacing w:after="0"/>
            </w:pPr>
            <w:r/>
            <w:r>
              <w:rPr>
                <w:rFonts w:ascii="Aptos" w:hAnsi="Aptos"/>
                <w:b w:val="0"/>
                <w:sz w:val="15"/>
              </w:rPr>
              <w:t>Sí</w:t>
            </w:r>
          </w:p>
        </w:tc>
        <w:tc>
          <w:tcPr>
            <w:tcW w:type="dxa" w:w="5102"/>
            <w:vAlign w:val="center"/>
            <w:shd w:fill="F2F2F2"/>
          </w:tcPr>
          <w:p>
            <w:pPr>
              <w:spacing w:after="0"/>
            </w:pPr>
            <w:r/>
            <w:r>
              <w:rPr>
                <w:rFonts w:ascii="Aptos" w:hAnsi="Aptos"/>
                <w:b w:val="0"/>
                <w:sz w:val="15"/>
              </w:rPr>
              <w:t>Z global</w:t>
            </w:r>
          </w:p>
        </w:tc>
      </w:tr>
      <w:tr>
        <w:tc>
          <w:tcPr>
            <w:tcW w:type="dxa" w:w="1701"/>
            <w:vAlign w:val="center"/>
          </w:tcPr>
          <w:p>
            <w:pPr>
              <w:spacing w:after="0"/>
            </w:pPr>
            <w:r/>
            <w:r>
              <w:rPr>
                <w:rFonts w:ascii="Aptos" w:hAnsi="Aptos"/>
                <w:b w:val="0"/>
                <w:sz w:val="15"/>
              </w:rPr>
              <w:t>Punto/excentricidad</w:t>
            </w:r>
          </w:p>
        </w:tc>
        <w:tc>
          <w:tcPr>
            <w:tcW w:type="dxa" w:w="1304"/>
            <w:vAlign w:val="center"/>
          </w:tcPr>
          <w:p>
            <w:pPr>
              <w:spacing w:after="0"/>
            </w:pPr>
            <w:r/>
            <w:r>
              <w:rPr>
                <w:rFonts w:ascii="Aptos" w:hAnsi="Aptos"/>
                <w:b w:val="0"/>
                <w:sz w:val="15"/>
              </w:rPr>
              <w:t>Sí</w:t>
            </w:r>
          </w:p>
        </w:tc>
        <w:tc>
          <w:tcPr>
            <w:tcW w:type="dxa" w:w="5102"/>
            <w:vAlign w:val="center"/>
          </w:tcPr>
          <w:p>
            <w:pPr>
              <w:spacing w:after="0"/>
            </w:pPr>
            <w:r/>
            <w:r>
              <w:rPr>
                <w:rFonts w:ascii="Aptos" w:hAnsi="Aptos"/>
                <w:b w:val="0"/>
                <w:sz w:val="15"/>
              </w:rPr>
              <w:t>Coordenada local o interfaz</w:t>
            </w:r>
          </w:p>
        </w:tc>
      </w:tr>
      <w:tr>
        <w:tc>
          <w:tcPr>
            <w:tcW w:type="dxa" w:w="1701"/>
            <w:vAlign w:val="center"/>
            <w:shd w:fill="F2F2F2"/>
          </w:tcPr>
          <w:p>
            <w:pPr>
              <w:spacing w:after="0"/>
            </w:pPr>
            <w:r/>
            <w:r>
              <w:rPr>
                <w:rFonts w:ascii="Aptos" w:hAnsi="Aptos"/>
                <w:b w:val="0"/>
                <w:sz w:val="15"/>
              </w:rPr>
              <w:t>Tensión característica</w:t>
            </w:r>
          </w:p>
        </w:tc>
        <w:tc>
          <w:tcPr>
            <w:tcW w:type="dxa" w:w="1304"/>
            <w:vAlign w:val="center"/>
            <w:shd w:fill="F2F2F2"/>
          </w:tcPr>
          <w:p>
            <w:pPr>
              <w:spacing w:after="0"/>
            </w:pPr>
            <w:r/>
            <w:r>
              <w:rPr>
                <w:rFonts w:ascii="Aptos" w:hAnsi="Aptos"/>
                <w:b w:val="0"/>
                <w:sz w:val="15"/>
              </w:rPr>
              <w:t>Sí</w:t>
            </w:r>
          </w:p>
        </w:tc>
        <w:tc>
          <w:tcPr>
            <w:tcW w:type="dxa" w:w="5102"/>
            <w:vAlign w:val="center"/>
            <w:shd w:fill="F2F2F2"/>
          </w:tcPr>
          <w:p>
            <w:pPr>
              <w:spacing w:after="0"/>
            </w:pPr>
            <w:r/>
            <w:r>
              <w:rPr>
                <w:rFonts w:ascii="Aptos" w:hAnsi="Aptos"/>
                <w:b w:val="0"/>
                <w:sz w:val="15"/>
              </w:rPr>
              <w:t>Magnitud positiva</w:t>
            </w:r>
          </w:p>
        </w:tc>
      </w:tr>
      <w:tr>
        <w:tc>
          <w:tcPr>
            <w:tcW w:type="dxa" w:w="1701"/>
            <w:vAlign w:val="center"/>
          </w:tcPr>
          <w:p>
            <w:pPr>
              <w:spacing w:after="0"/>
            </w:pPr>
            <w:r/>
            <w:r>
              <w:rPr>
                <w:rFonts w:ascii="Aptos" w:hAnsi="Aptos"/>
                <w:b w:val="0"/>
                <w:sz w:val="15"/>
              </w:rPr>
              <w:t>Azimut</w:t>
            </w:r>
          </w:p>
        </w:tc>
        <w:tc>
          <w:tcPr>
            <w:tcW w:type="dxa" w:w="1304"/>
            <w:vAlign w:val="center"/>
          </w:tcPr>
          <w:p>
            <w:pPr>
              <w:spacing w:after="0"/>
            </w:pPr>
            <w:r/>
            <w:r>
              <w:rPr>
                <w:rFonts w:ascii="Aptos" w:hAnsi="Aptos"/>
                <w:b w:val="0"/>
                <w:sz w:val="15"/>
              </w:rPr>
              <w:t>Sí</w:t>
            </w:r>
          </w:p>
        </w:tc>
        <w:tc>
          <w:tcPr>
            <w:tcW w:type="dxa" w:w="5102"/>
            <w:vAlign w:val="center"/>
          </w:tcPr>
          <w:p>
            <w:pPr>
              <w:spacing w:after="0"/>
            </w:pPr>
            <w:r/>
            <w:r>
              <w:rPr>
                <w:rFonts w:ascii="Aptos" w:hAnsi="Aptos"/>
                <w:b w:val="0"/>
                <w:sz w:val="15"/>
              </w:rPr>
              <w:t>Dirección horizontal del vector saliente</w:t>
            </w:r>
          </w:p>
        </w:tc>
      </w:tr>
      <w:tr>
        <w:tc>
          <w:tcPr>
            <w:tcW w:type="dxa" w:w="1701"/>
            <w:vAlign w:val="center"/>
            <w:shd w:fill="F2F2F2"/>
          </w:tcPr>
          <w:p>
            <w:pPr>
              <w:spacing w:after="0"/>
            </w:pPr>
            <w:r/>
            <w:r>
              <w:rPr>
                <w:rFonts w:ascii="Aptos" w:hAnsi="Aptos"/>
                <w:b w:val="0"/>
                <w:sz w:val="15"/>
              </w:rPr>
              <w:t>Ángulo de elevación</w:t>
            </w:r>
          </w:p>
        </w:tc>
        <w:tc>
          <w:tcPr>
            <w:tcW w:type="dxa" w:w="1304"/>
            <w:vAlign w:val="center"/>
            <w:shd w:fill="F2F2F2"/>
          </w:tcPr>
          <w:p>
            <w:pPr>
              <w:spacing w:after="0"/>
            </w:pPr>
            <w:r/>
            <w:r>
              <w:rPr>
                <w:rFonts w:ascii="Aptos" w:hAnsi="Aptos"/>
                <w:b w:val="0"/>
                <w:sz w:val="15"/>
              </w:rPr>
              <w:t>Sí</w:t>
            </w:r>
          </w:p>
        </w:tc>
        <w:tc>
          <w:tcPr>
            <w:tcW w:type="dxa" w:w="5102"/>
            <w:vAlign w:val="center"/>
            <w:shd w:fill="F2F2F2"/>
          </w:tcPr>
          <w:p>
            <w:pPr>
              <w:spacing w:after="0"/>
            </w:pPr>
            <w:r/>
            <w:r>
              <w:rPr>
                <w:rFonts w:ascii="Aptos" w:hAnsi="Aptos"/>
                <w:b w:val="0"/>
                <w:sz w:val="15"/>
              </w:rPr>
              <w:t>Positivo ascendente; 0° horizontal</w:t>
            </w:r>
          </w:p>
        </w:tc>
      </w:tr>
      <w:tr>
        <w:tc>
          <w:tcPr>
            <w:tcW w:type="dxa" w:w="1701"/>
            <w:vAlign w:val="center"/>
          </w:tcPr>
          <w:p>
            <w:pPr>
              <w:spacing w:after="0"/>
            </w:pPr>
            <w:r/>
            <w:r>
              <w:rPr>
                <w:rFonts w:ascii="Aptos" w:hAnsi="Aptos"/>
                <w:b w:val="0"/>
                <w:sz w:val="15"/>
              </w:rPr>
              <w:t>Tipo de cable</w:t>
            </w:r>
          </w:p>
        </w:tc>
        <w:tc>
          <w:tcPr>
            <w:tcW w:type="dxa" w:w="1304"/>
            <w:vAlign w:val="center"/>
          </w:tcPr>
          <w:p>
            <w:pPr>
              <w:spacing w:after="0"/>
            </w:pPr>
            <w:r/>
            <w:r>
              <w:rPr>
                <w:rFonts w:ascii="Aptos" w:hAnsi="Aptos"/>
                <w:b w:val="0"/>
                <w:sz w:val="15"/>
              </w:rPr>
              <w:t>Recomendado</w:t>
            </w:r>
          </w:p>
        </w:tc>
        <w:tc>
          <w:tcPr>
            <w:tcW w:type="dxa" w:w="5102"/>
            <w:vAlign w:val="center"/>
          </w:tcPr>
          <w:p>
            <w:pPr>
              <w:spacing w:after="0"/>
            </w:pPr>
            <w:r/>
            <w:r>
              <w:rPr>
                <w:rFonts w:ascii="Aptos" w:hAnsi="Aptos"/>
                <w:b w:val="0"/>
                <w:sz w:val="15"/>
              </w:rPr>
              <w:t>Para futura ampliación</w:t>
            </w:r>
          </w:p>
        </w:tc>
      </w:tr>
      <w:tr>
        <w:tc>
          <w:tcPr>
            <w:tcW w:type="dxa" w:w="1701"/>
            <w:vAlign w:val="center"/>
            <w:shd w:fill="F2F2F2"/>
          </w:tcPr>
          <w:p>
            <w:pPr>
              <w:spacing w:after="0"/>
            </w:pPr>
            <w:r/>
            <w:r>
              <w:rPr>
                <w:rFonts w:ascii="Aptos" w:hAnsi="Aptos"/>
                <w:b w:val="0"/>
                <w:sz w:val="15"/>
              </w:rPr>
              <w:t>Estado</w:t>
            </w:r>
          </w:p>
        </w:tc>
        <w:tc>
          <w:tcPr>
            <w:tcW w:type="dxa" w:w="1304"/>
            <w:vAlign w:val="center"/>
            <w:shd w:fill="F2F2F2"/>
          </w:tcPr>
          <w:p>
            <w:r>
              <w:t>Borrador ampliado y consolidado para revisión</w:t>
            </w:r>
          </w:p>
        </w:tc>
        <w:tc>
          <w:tcPr>
            <w:tcW w:type="dxa" w:w="5102"/>
            <w:vAlign w:val="center"/>
            <w:shd w:fill="F2F2F2"/>
          </w:tcPr>
          <w:p>
            <w:pPr>
              <w:spacing w:after="0"/>
            </w:pPr>
            <w:r/>
            <w:r>
              <w:rPr>
                <w:rFonts w:ascii="Aptos" w:hAnsi="Aptos"/>
                <w:b w:val="0"/>
                <w:sz w:val="15"/>
              </w:rPr>
              <w:t>Activo, ausente, roto accidental, montaje</w:t>
            </w:r>
          </w:p>
        </w:tc>
      </w:tr>
      <w:tr>
        <w:tc>
          <w:tcPr>
            <w:tcW w:type="dxa" w:w="1701"/>
            <w:vAlign w:val="center"/>
          </w:tcPr>
          <w:p>
            <w:pPr>
              <w:spacing w:after="0"/>
            </w:pPr>
            <w:r/>
            <w:r>
              <w:rPr>
                <w:rFonts w:ascii="Aptos" w:hAnsi="Aptos"/>
                <w:b w:val="0"/>
                <w:sz w:val="15"/>
              </w:rPr>
              <w:t>Fuente</w:t>
            </w:r>
          </w:p>
        </w:tc>
        <w:tc>
          <w:tcPr>
            <w:tcW w:type="dxa" w:w="1304"/>
            <w:vAlign w:val="center"/>
          </w:tcPr>
          <w:p>
            <w:pPr>
              <w:spacing w:after="0"/>
            </w:pPr>
            <w:r/>
            <w:r>
              <w:rPr>
                <w:rFonts w:ascii="Aptos" w:hAnsi="Aptos"/>
                <w:b w:val="0"/>
                <w:sz w:val="15"/>
              </w:rPr>
              <w:t>Sí</w:t>
            </w:r>
          </w:p>
        </w:tc>
        <w:tc>
          <w:tcPr>
            <w:tcW w:type="dxa" w:w="5102"/>
            <w:vAlign w:val="center"/>
          </w:tcPr>
          <w:p>
            <w:pPr>
              <w:spacing w:after="0"/>
            </w:pPr>
            <w:r/>
            <w:r>
              <w:rPr>
                <w:rFonts w:ascii="Aptos" w:hAnsi="Aptos"/>
                <w:b w:val="0"/>
                <w:sz w:val="15"/>
              </w:rPr>
              <w:t>Proyecto, cálculo externo, medición</w:t>
            </w:r>
          </w:p>
        </w:tc>
      </w:tr>
      <w:tr>
        <w:tc>
          <w:tcPr>
            <w:tcW w:type="dxa" w:w="1701"/>
            <w:vAlign w:val="center"/>
            <w:shd w:fill="F2F2F2"/>
          </w:tcPr>
          <w:p>
            <w:pPr>
              <w:spacing w:after="0"/>
            </w:pPr>
            <w:r/>
            <w:r>
              <w:rPr>
                <w:rFonts w:ascii="Aptos" w:hAnsi="Aptos"/>
                <w:b w:val="0"/>
                <w:sz w:val="15"/>
              </w:rPr>
              <w:t>Incertidumbre</w:t>
            </w:r>
          </w:p>
        </w:tc>
        <w:tc>
          <w:tcPr>
            <w:tcW w:type="dxa" w:w="1304"/>
            <w:vAlign w:val="center"/>
            <w:shd w:fill="F2F2F2"/>
          </w:tcPr>
          <w:p>
            <w:pPr>
              <w:spacing w:after="0"/>
            </w:pPr>
            <w:r/>
            <w:r>
              <w:rPr>
                <w:rFonts w:ascii="Aptos" w:hAnsi="Aptos"/>
                <w:b w:val="0"/>
                <w:sz w:val="15"/>
              </w:rPr>
              <w:t>Recomendado</w:t>
            </w:r>
          </w:p>
        </w:tc>
        <w:tc>
          <w:tcPr>
            <w:tcW w:type="dxa" w:w="5102"/>
            <w:vAlign w:val="center"/>
            <w:shd w:fill="F2F2F2"/>
          </w:tcPr>
          <w:p>
            <w:pPr>
              <w:spacing w:after="0"/>
            </w:pPr>
            <w:r/>
            <w:r>
              <w:rPr>
                <w:rFonts w:ascii="Aptos" w:hAnsi="Aptos"/>
                <w:b w:val="0"/>
                <w:sz w:val="15"/>
              </w:rPr>
              <w:t>±% o intervalo</w:t>
            </w:r>
          </w:p>
        </w:tc>
      </w:tr>
    </w:tbl>
    <w:p>
      <w:pPr>
        <w:spacing w:after="0"/>
      </w:pPr>
    </w:p>
    <w:p>
      <w:pPr>
        <w:pStyle w:val="Heading2"/>
        <w:spacing w:after="80"/>
      </w:pPr>
      <w:r>
        <w:t>13.2 Convención vectorial</w:t>
      </w:r>
    </w:p>
    <w:p>
      <w:pPr>
        <w:spacing w:after="80"/>
      </w:pPr>
      <w:r>
        <w:t>El vector de carga aplicado a la columna será opuesto al vector geométrico desde el anclaje hacia el vano, salvo que la interfaz muestre explícitamente la dirección de fuerza. La pantalla debe representar ambas flechas para evitar errores. El sistema validará que la suma vectorial y el sentido coinciden con la vista 3D.</w:t>
      </w:r>
    </w:p>
    <w:p>
      <w:pPr>
        <w:pStyle w:val="Requirement"/>
      </w:pPr>
      <w:r>
        <w:rPr>
          <w:b/>
        </w:rPr>
        <w:t xml:space="preserve">CAT-001 [MUST] </w:t>
      </w:r>
      <w:r>
        <w:t>No se permitirá introducir “dirección” solo mediante texto cardinal; deberá existir azimut numérico.</w:t>
      </w:r>
    </w:p>
    <w:p>
      <w:pPr>
        <w:pStyle w:val="Requirement"/>
      </w:pPr>
      <w:r>
        <w:rPr>
          <w:b/>
        </w:rPr>
        <w:t xml:space="preserve">CAT-002 [MUST] </w:t>
      </w:r>
      <w:r>
        <w:t>La tensión se almacenará como valor característico sin factor parcial. Los factores se aplicarán en combinaciones.</w:t>
      </w:r>
    </w:p>
    <w:p>
      <w:pPr>
        <w:pStyle w:val="Requirement"/>
      </w:pPr>
      <w:r>
        <w:rPr>
          <w:b/>
        </w:rPr>
        <w:t xml:space="preserve">CAT-003 [MUST] </w:t>
      </w:r>
      <w:r>
        <w:t>La rotura accidental de un cable se representará como estado de escenario y no como valor negativo de tensión.</w:t>
      </w:r>
    </w:p>
    <w:p>
      <w:pPr>
        <w:pStyle w:val="Requirement"/>
      </w:pPr>
      <w:r>
        <w:rPr>
          <w:b/>
        </w:rPr>
        <w:t xml:space="preserve">CAT-004 [MUST] </w:t>
      </w:r>
      <w:r>
        <w:t>El modelo admitirá combinaciones con todos los cables activos, subconjuntos de montaje y pérdida accidental de uno, aunque la política final se parametrizará por proyecto.</w:t>
      </w:r>
    </w:p>
    <w:p>
      <w:pPr>
        <w:pStyle w:val="Heading1"/>
        <w:spacing w:after="80"/>
      </w:pPr>
      <w:r>
        <w:t>14. Nieve, hielo y acumulaciones</w:t>
      </w:r>
    </w:p>
    <w:p>
      <w:pPr>
        <w:spacing w:after="80"/>
      </w:pPr>
      <w:r>
        <w:t>La ubicación propondrá carga de nieve y condiciones de hielo cuando existan mapas o reglas aplicables. El usuario podrá activar acumulación sobre paneles, luminarias, brazos y cables. La aplicación deberá evitar aplicar simultáneamente hipótesis incompatibles.</w:t>
      </w:r>
    </w:p>
    <w:tbl>
      <w:tblPr>
        <w:tblStyle w:val="TableGrid"/>
        <w:tblW w:type="auto" w:w="0"/>
        <w:jc w:val="center"/>
        <w:tblLook w:firstColumn="1" w:firstRow="1" w:lastColumn="0" w:lastRow="0" w:noHBand="0" w:noVBand="1" w:val="04A0"/>
      </w:tblPr>
      <w:tblGrid>
        <w:gridCol w:w="3438"/>
        <w:gridCol w:w="3438"/>
        <w:gridCol w:w="3438"/>
      </w:tblGrid>
      <w:tr>
        <w:tc>
          <w:tcPr>
            <w:tcW w:type="dxa" w:w="2324"/>
            <w:vAlign w:val="center"/>
            <w:shd w:fill="111111"/>
          </w:tcPr>
          <w:p>
            <w:pPr>
              <w:spacing w:after="0"/>
            </w:pPr>
            <w:r/>
            <w:r>
              <w:rPr>
                <w:rFonts w:ascii="Aptos" w:hAnsi="Aptos"/>
                <w:b/>
                <w:color w:val="FFFFFF"/>
                <w:sz w:val="15"/>
              </w:rPr>
              <w:t>Fenómeno</w:t>
            </w:r>
          </w:p>
        </w:tc>
        <w:tc>
          <w:tcPr>
            <w:tcW w:type="dxa" w:w="3628"/>
            <w:vAlign w:val="center"/>
            <w:shd w:fill="111111"/>
          </w:tcPr>
          <w:p>
            <w:pPr>
              <w:spacing w:after="0"/>
            </w:pPr>
            <w:r/>
            <w:r>
              <w:rPr>
                <w:rFonts w:ascii="Aptos" w:hAnsi="Aptos"/>
                <w:b/>
                <w:color w:val="FFFFFF"/>
                <w:sz w:val="15"/>
              </w:rPr>
              <w:t>Modelo inicial</w:t>
            </w:r>
          </w:p>
        </w:tc>
        <w:tc>
          <w:tcPr>
            <w:tcW w:type="dxa" w:w="3855"/>
            <w:vAlign w:val="center"/>
            <w:shd w:fill="111111"/>
          </w:tcPr>
          <w:p>
            <w:pPr>
              <w:spacing w:after="0"/>
            </w:pPr>
            <w:r/>
            <w:r>
              <w:rPr>
                <w:rFonts w:ascii="Aptos" w:hAnsi="Aptos"/>
                <w:b/>
                <w:color w:val="FFFFFF"/>
                <w:sz w:val="15"/>
              </w:rPr>
              <w:t>Salida</w:t>
            </w:r>
          </w:p>
        </w:tc>
      </w:tr>
      <w:tr>
        <w:tc>
          <w:tcPr>
            <w:tcW w:type="dxa" w:w="2324"/>
            <w:vAlign w:val="center"/>
          </w:tcPr>
          <w:p>
            <w:pPr>
              <w:spacing w:after="0"/>
            </w:pPr>
            <w:r/>
            <w:r>
              <w:rPr>
                <w:rFonts w:ascii="Aptos" w:hAnsi="Aptos"/>
                <w:b w:val="0"/>
                <w:sz w:val="15"/>
              </w:rPr>
              <w:t>Nieve sobre superficies inclinadas</w:t>
            </w:r>
          </w:p>
        </w:tc>
        <w:tc>
          <w:tcPr>
            <w:tcW w:type="dxa" w:w="3628"/>
            <w:vAlign w:val="center"/>
          </w:tcPr>
          <w:p>
            <w:pPr>
              <w:spacing w:after="0"/>
            </w:pPr>
            <w:r/>
            <w:r>
              <w:rPr>
                <w:rFonts w:ascii="Aptos" w:hAnsi="Aptos"/>
                <w:b w:val="0"/>
                <w:sz w:val="15"/>
              </w:rPr>
              <w:t>Carga superficial × coeficiente de forma</w:t>
            </w:r>
          </w:p>
        </w:tc>
        <w:tc>
          <w:tcPr>
            <w:tcW w:type="dxa" w:w="3855"/>
            <w:vAlign w:val="center"/>
          </w:tcPr>
          <w:p>
            <w:pPr>
              <w:spacing w:after="0"/>
            </w:pPr>
            <w:r/>
            <w:r>
              <w:rPr>
                <w:rFonts w:ascii="Aptos" w:hAnsi="Aptos"/>
                <w:b w:val="0"/>
                <w:sz w:val="15"/>
              </w:rPr>
              <w:t>Peso adicional y posible área de viento modificada</w:t>
            </w:r>
          </w:p>
        </w:tc>
      </w:tr>
      <w:tr>
        <w:tc>
          <w:tcPr>
            <w:tcW w:type="dxa" w:w="2324"/>
            <w:vAlign w:val="center"/>
            <w:shd w:fill="F2F2F2"/>
          </w:tcPr>
          <w:p>
            <w:pPr>
              <w:spacing w:after="0"/>
            </w:pPr>
            <w:r/>
            <w:r>
              <w:rPr>
                <w:rFonts w:ascii="Aptos" w:hAnsi="Aptos"/>
                <w:b w:val="0"/>
                <w:sz w:val="15"/>
              </w:rPr>
              <w:t>Hielo radial en cables/brazos</w:t>
            </w:r>
          </w:p>
        </w:tc>
        <w:tc>
          <w:tcPr>
            <w:tcW w:type="dxa" w:w="3628"/>
            <w:vAlign w:val="center"/>
            <w:shd w:fill="F2F2F2"/>
          </w:tcPr>
          <w:p>
            <w:pPr>
              <w:spacing w:after="0"/>
            </w:pPr>
            <w:r/>
            <w:r>
              <w:rPr>
                <w:rFonts w:ascii="Aptos" w:hAnsi="Aptos"/>
                <w:b w:val="0"/>
                <w:sz w:val="15"/>
              </w:rPr>
              <w:t>Espesor o masa lineal prescrita</w:t>
            </w:r>
          </w:p>
        </w:tc>
        <w:tc>
          <w:tcPr>
            <w:tcW w:type="dxa" w:w="3855"/>
            <w:vAlign w:val="center"/>
            <w:shd w:fill="F2F2F2"/>
          </w:tcPr>
          <w:p>
            <w:pPr>
              <w:spacing w:after="0"/>
            </w:pPr>
            <w:r/>
            <w:r>
              <w:rPr>
                <w:rFonts w:ascii="Aptos" w:hAnsi="Aptos"/>
                <w:b w:val="0"/>
                <w:sz w:val="15"/>
              </w:rPr>
              <w:t>Peso y diámetro aerodinámico aumentado</w:t>
            </w:r>
          </w:p>
        </w:tc>
      </w:tr>
      <w:tr>
        <w:tc>
          <w:tcPr>
            <w:tcW w:type="dxa" w:w="2324"/>
            <w:vAlign w:val="center"/>
          </w:tcPr>
          <w:p>
            <w:pPr>
              <w:spacing w:after="0"/>
            </w:pPr>
            <w:r/>
            <w:r>
              <w:rPr>
                <w:rFonts w:ascii="Aptos" w:hAnsi="Aptos"/>
                <w:b w:val="0"/>
                <w:sz w:val="15"/>
              </w:rPr>
              <w:t>Hielo sobre luminaria/panel</w:t>
            </w:r>
          </w:p>
        </w:tc>
        <w:tc>
          <w:tcPr>
            <w:tcW w:type="dxa" w:w="3628"/>
            <w:vAlign w:val="center"/>
          </w:tcPr>
          <w:p>
            <w:pPr>
              <w:spacing w:after="0"/>
            </w:pPr>
            <w:r/>
            <w:r>
              <w:rPr>
                <w:rFonts w:ascii="Aptos" w:hAnsi="Aptos"/>
                <w:b w:val="0"/>
                <w:sz w:val="15"/>
              </w:rPr>
              <w:t>Factor o capa equivalente</w:t>
            </w:r>
          </w:p>
        </w:tc>
        <w:tc>
          <w:tcPr>
            <w:tcW w:type="dxa" w:w="3855"/>
            <w:vAlign w:val="center"/>
          </w:tcPr>
          <w:p>
            <w:pPr>
              <w:spacing w:after="0"/>
            </w:pPr>
            <w:r/>
            <w:r>
              <w:rPr>
                <w:rFonts w:ascii="Aptos" w:hAnsi="Aptos"/>
                <w:b w:val="0"/>
                <w:sz w:val="15"/>
              </w:rPr>
              <w:t>Masa y área proyectada</w:t>
            </w:r>
          </w:p>
        </w:tc>
      </w:tr>
      <w:tr>
        <w:tc>
          <w:tcPr>
            <w:tcW w:type="dxa" w:w="2324"/>
            <w:vAlign w:val="center"/>
            <w:shd w:fill="F2F2F2"/>
          </w:tcPr>
          <w:p>
            <w:pPr>
              <w:spacing w:after="0"/>
            </w:pPr>
            <w:r/>
            <w:r>
              <w:rPr>
                <w:rFonts w:ascii="Aptos" w:hAnsi="Aptos"/>
                <w:b w:val="0"/>
                <w:sz w:val="15"/>
              </w:rPr>
              <w:t>Combinación viento-hielo</w:t>
            </w:r>
          </w:p>
        </w:tc>
        <w:tc>
          <w:tcPr>
            <w:tcW w:type="dxa" w:w="3628"/>
            <w:vAlign w:val="center"/>
            <w:shd w:fill="F2F2F2"/>
          </w:tcPr>
          <w:p>
            <w:pPr>
              <w:spacing w:after="0"/>
            </w:pPr>
            <w:r/>
            <w:r>
              <w:rPr>
                <w:rFonts w:ascii="Aptos" w:hAnsi="Aptos"/>
                <w:b w:val="0"/>
                <w:sz w:val="15"/>
              </w:rPr>
              <w:t>Según regla normativa/proyecto</w:t>
            </w:r>
          </w:p>
        </w:tc>
        <w:tc>
          <w:tcPr>
            <w:tcW w:type="dxa" w:w="3855"/>
            <w:vAlign w:val="center"/>
            <w:shd w:fill="F2F2F2"/>
          </w:tcPr>
          <w:p>
            <w:pPr>
              <w:spacing w:after="0"/>
            </w:pPr>
            <w:r/>
            <w:r>
              <w:rPr>
                <w:rFonts w:ascii="Aptos" w:hAnsi="Aptos"/>
                <w:b w:val="0"/>
                <w:sz w:val="15"/>
              </w:rPr>
              <w:t>Caso específico con coeficientes propios</w:t>
            </w:r>
          </w:p>
        </w:tc>
      </w:tr>
      <w:tr>
        <w:tc>
          <w:tcPr>
            <w:tcW w:type="dxa" w:w="2324"/>
            <w:vAlign w:val="center"/>
          </w:tcPr>
          <w:p>
            <w:pPr>
              <w:spacing w:after="0"/>
            </w:pPr>
            <w:r/>
            <w:r>
              <w:rPr>
                <w:rFonts w:ascii="Aptos" w:hAnsi="Aptos"/>
                <w:b w:val="0"/>
                <w:sz w:val="15"/>
              </w:rPr>
              <w:t>Deshielo asimétrico</w:t>
            </w:r>
          </w:p>
        </w:tc>
        <w:tc>
          <w:tcPr>
            <w:tcW w:type="dxa" w:w="3628"/>
            <w:vAlign w:val="center"/>
          </w:tcPr>
          <w:p>
            <w:pPr>
              <w:spacing w:after="0"/>
            </w:pPr>
            <w:r/>
            <w:r>
              <w:rPr>
                <w:rFonts w:ascii="Aptos" w:hAnsi="Aptos"/>
                <w:b w:val="0"/>
                <w:sz w:val="15"/>
              </w:rPr>
              <w:t>Opcional/accidental</w:t>
            </w:r>
          </w:p>
        </w:tc>
        <w:tc>
          <w:tcPr>
            <w:tcW w:type="dxa" w:w="3855"/>
            <w:vAlign w:val="center"/>
          </w:tcPr>
          <w:p>
            <w:pPr>
              <w:spacing w:after="0"/>
            </w:pPr>
            <w:r/>
            <w:r>
              <w:rPr>
                <w:rFonts w:ascii="Aptos" w:hAnsi="Aptos"/>
                <w:b w:val="0"/>
                <w:sz w:val="15"/>
              </w:rPr>
              <w:t>Caso desequilibrado</w:t>
            </w:r>
          </w:p>
        </w:tc>
      </w:tr>
    </w:tbl>
    <w:p>
      <w:pPr>
        <w:spacing w:after="0"/>
      </w:pPr>
    </w:p>
    <w:p>
      <w:pPr>
        <w:pStyle w:val="Requirement"/>
      </w:pPr>
      <w:r>
        <w:rPr>
          <w:b/>
        </w:rPr>
        <w:t xml:space="preserve">SNW-001 [MUST] </w:t>
      </w:r>
      <w:r>
        <w:t>El sistema documentará si la nieve/hielo afecta solo a masa, solo a área o a ambas.</w:t>
      </w:r>
    </w:p>
    <w:p>
      <w:pPr>
        <w:pStyle w:val="Requirement"/>
      </w:pPr>
      <w:r>
        <w:rPr>
          <w:b/>
        </w:rPr>
        <w:t xml:space="preserve">SNW-002 [MUST] </w:t>
      </w:r>
      <w:r>
        <w:t>Las capas de hielo se modelarán como transformación de la geometría aerodinámica, no como modificación permanente de la geometría nominal.</w:t>
      </w:r>
    </w:p>
    <w:p>
      <w:pPr>
        <w:pStyle w:val="Heading1"/>
        <w:spacing w:after="80"/>
      </w:pPr>
      <w:r>
        <w:t>15. Acciones sísmicas</w:t>
      </w:r>
    </w:p>
    <w:p>
      <w:pPr>
        <w:spacing w:after="80"/>
      </w:pPr>
      <w:r>
        <w:t>La ubicación deberá proponer zona sísmica y parámetros del anexo nacional o fuente seleccionada. La Fase 3 generará el espectro o parámetros de acción y la distribución de masas; el análisis modal o dinámico detallado se ejecutará en el motor estructural.</w:t>
      </w:r>
    </w:p>
    <w:p>
      <w:pPr>
        <w:pStyle w:val="Heading2"/>
        <w:spacing w:after="80"/>
      </w:pPr>
      <w:r>
        <w:t>15.1 Entradas</w:t>
      </w:r>
    </w:p>
    <w:p>
      <w:pPr>
        <w:pStyle w:val="ListBullet"/>
        <w:spacing w:after="30"/>
      </w:pPr>
      <w:r>
        <w:t>Aceleración de referencia</w:t>
      </w:r>
    </w:p>
    <w:p>
      <w:pPr>
        <w:pStyle w:val="ListBullet"/>
        <w:spacing w:after="30"/>
      </w:pPr>
      <w:r>
        <w:t>Clase/importancia y vida de proyecto</w:t>
      </w:r>
    </w:p>
    <w:p>
      <w:pPr>
        <w:pStyle w:val="ListBullet"/>
        <w:spacing w:after="30"/>
      </w:pPr>
      <w:r>
        <w:t>Tipo de terreno o parámetro equivalente</w:t>
      </w:r>
    </w:p>
    <w:p>
      <w:pPr>
        <w:pStyle w:val="ListBullet"/>
        <w:spacing w:after="30"/>
      </w:pPr>
      <w:r>
        <w:t>Factor de comportamiento adoptado</w:t>
      </w:r>
    </w:p>
    <w:p>
      <w:pPr>
        <w:pStyle w:val="ListBullet"/>
        <w:spacing w:after="30"/>
      </w:pPr>
      <w:r>
        <w:t>Amortiguamiento</w:t>
      </w:r>
    </w:p>
    <w:p>
      <w:pPr>
        <w:pStyle w:val="ListBullet"/>
        <w:spacing w:after="30"/>
      </w:pPr>
      <w:r>
        <w:t>Espectro horizontal y, si procede, vertical</w:t>
      </w:r>
    </w:p>
    <w:p>
      <w:pPr>
        <w:pStyle w:val="ListBullet"/>
        <w:spacing w:after="30"/>
      </w:pPr>
      <w:r>
        <w:t>Masa de todos los componentes y porcentaje de cargas variables participante</w:t>
      </w:r>
    </w:p>
    <w:p>
      <w:pPr>
        <w:pStyle w:val="ListBullet"/>
        <w:spacing w:after="30"/>
      </w:pPr>
      <w:r>
        <w:t>Direcciones sísmicas y combinaciones ortogonales</w:t>
      </w:r>
    </w:p>
    <w:p>
      <w:pPr>
        <w:pStyle w:val="Requirement"/>
      </w:pPr>
      <w:r>
        <w:rPr>
          <w:b/>
        </w:rPr>
        <w:t xml:space="preserve">SEI-001 [MUST] </w:t>
      </w:r>
      <w:r>
        <w:t>La selección automática de suelo sísmico no se hará a partir de una simple categoría visual; requerirá dato geotécnico o hipótesis conservadora explícita.</w:t>
      </w:r>
    </w:p>
    <w:p>
      <w:pPr>
        <w:pStyle w:val="Requirement"/>
      </w:pPr>
      <w:r>
        <w:rPr>
          <w:b/>
        </w:rPr>
        <w:t xml:space="preserve">SEI-002 [MUST] </w:t>
      </w:r>
      <w:r>
        <w:t>En modo preliminar sin suelo conocido se ofrecerán escenarios comparativos, no un único valor oculto.</w:t>
      </w:r>
    </w:p>
    <w:p>
      <w:pPr>
        <w:pStyle w:val="Requirement"/>
      </w:pPr>
      <w:r>
        <w:rPr>
          <w:b/>
        </w:rPr>
        <w:t xml:space="preserve">SEI-003 [MUST] </w:t>
      </w:r>
      <w:r>
        <w:t>Las masas se exportarán por nodo/elemento y por componente para permitir verificación del modelo modal.</w:t>
      </w:r>
    </w:p>
    <w:p>
      <w:pPr>
        <w:pStyle w:val="Heading1"/>
        <w:spacing w:after="80"/>
      </w:pPr>
      <w:r>
        <w:t>16. Temperatura y efectos impuestos</w:t>
      </w:r>
    </w:p>
    <w:p>
      <w:pPr>
        <w:spacing w:after="80"/>
      </w:pPr>
      <w:r>
        <w:t>La temperatura puede afectar a columnas metálicas largas, brazos, cables y juntas. El sistema admitirá temperatura uniforme, gradiente y rango de montaje cuando la norma o el proyecto lo requieran.</w:t>
      </w:r>
    </w:p>
    <w:tbl>
      <w:tblPr>
        <w:tblStyle w:val="TableGrid"/>
        <w:tblW w:type="auto" w:w="0"/>
        <w:jc w:val="center"/>
        <w:tblLook w:firstColumn="1" w:firstRow="1" w:lastColumn="0" w:lastRow="0" w:noHBand="0" w:noVBand="1" w:val="04A0"/>
      </w:tblPr>
      <w:tblGrid>
        <w:gridCol w:w="5156"/>
        <w:gridCol w:w="5156"/>
      </w:tblGrid>
      <w:tr>
        <w:tc>
          <w:tcPr>
            <w:tcW w:type="dxa" w:w="2835"/>
            <w:vAlign w:val="center"/>
            <w:shd w:fill="111111"/>
          </w:tcPr>
          <w:p>
            <w:pPr>
              <w:spacing w:after="0"/>
            </w:pPr>
            <w:r/>
            <w:r>
              <w:rPr>
                <w:rFonts w:ascii="Aptos" w:hAnsi="Aptos"/>
                <w:b/>
                <w:color w:val="FFFFFF"/>
                <w:sz w:val="15"/>
              </w:rPr>
              <w:t>Entrada</w:t>
            </w:r>
          </w:p>
        </w:tc>
        <w:tc>
          <w:tcPr>
            <w:tcW w:type="dxa" w:w="6236"/>
            <w:vAlign w:val="center"/>
            <w:shd w:fill="111111"/>
          </w:tcPr>
          <w:p>
            <w:pPr>
              <w:spacing w:after="0"/>
            </w:pPr>
            <w:r/>
            <w:r>
              <w:rPr>
                <w:rFonts w:ascii="Aptos" w:hAnsi="Aptos"/>
                <w:b/>
                <w:color w:val="FFFFFF"/>
                <w:sz w:val="15"/>
              </w:rPr>
              <w:t>Uso</w:t>
            </w:r>
          </w:p>
        </w:tc>
      </w:tr>
      <w:tr>
        <w:tc>
          <w:tcPr>
            <w:tcW w:type="dxa" w:w="2835"/>
            <w:vAlign w:val="center"/>
          </w:tcPr>
          <w:p>
            <w:pPr>
              <w:spacing w:after="0"/>
            </w:pPr>
            <w:r/>
            <w:r>
              <w:rPr>
                <w:rFonts w:ascii="Aptos" w:hAnsi="Aptos"/>
                <w:b w:val="0"/>
                <w:sz w:val="15"/>
              </w:rPr>
              <w:t>Temperatura mínima/máxima de aire</w:t>
            </w:r>
          </w:p>
        </w:tc>
        <w:tc>
          <w:tcPr>
            <w:tcW w:type="dxa" w:w="6236"/>
            <w:vAlign w:val="center"/>
          </w:tcPr>
          <w:p>
            <w:pPr>
              <w:spacing w:after="0"/>
            </w:pPr>
            <w:r/>
            <w:r>
              <w:rPr>
                <w:rFonts w:ascii="Aptos" w:hAnsi="Aptos"/>
                <w:b w:val="0"/>
                <w:sz w:val="15"/>
              </w:rPr>
              <w:t>Rango ambiental</w:t>
            </w:r>
          </w:p>
        </w:tc>
      </w:tr>
      <w:tr>
        <w:tc>
          <w:tcPr>
            <w:tcW w:type="dxa" w:w="2835"/>
            <w:vAlign w:val="center"/>
            <w:shd w:fill="F2F2F2"/>
          </w:tcPr>
          <w:p>
            <w:pPr>
              <w:spacing w:after="0"/>
            </w:pPr>
            <w:r/>
            <w:r>
              <w:rPr>
                <w:rFonts w:ascii="Aptos" w:hAnsi="Aptos"/>
                <w:b w:val="0"/>
                <w:sz w:val="15"/>
              </w:rPr>
              <w:t>Temperatura de referencia de montaje</w:t>
            </w:r>
          </w:p>
        </w:tc>
        <w:tc>
          <w:tcPr>
            <w:tcW w:type="dxa" w:w="6236"/>
            <w:vAlign w:val="center"/>
            <w:shd w:fill="F2F2F2"/>
          </w:tcPr>
          <w:p>
            <w:pPr>
              <w:spacing w:after="0"/>
            </w:pPr>
            <w:r/>
            <w:r>
              <w:rPr>
                <w:rFonts w:ascii="Aptos" w:hAnsi="Aptos"/>
                <w:b w:val="0"/>
                <w:sz w:val="15"/>
              </w:rPr>
              <w:t>Deformación impuesta</w:t>
            </w:r>
          </w:p>
        </w:tc>
      </w:tr>
      <w:tr>
        <w:tc>
          <w:tcPr>
            <w:tcW w:type="dxa" w:w="2835"/>
            <w:vAlign w:val="center"/>
          </w:tcPr>
          <w:p>
            <w:pPr>
              <w:spacing w:after="0"/>
            </w:pPr>
            <w:r/>
            <w:r>
              <w:rPr>
                <w:rFonts w:ascii="Aptos" w:hAnsi="Aptos"/>
                <w:b w:val="0"/>
                <w:sz w:val="15"/>
              </w:rPr>
              <w:t>Coeficiente de dilatación por material</w:t>
            </w:r>
          </w:p>
        </w:tc>
        <w:tc>
          <w:tcPr>
            <w:tcW w:type="dxa" w:w="6236"/>
            <w:vAlign w:val="center"/>
          </w:tcPr>
          <w:p>
            <w:pPr>
              <w:spacing w:after="0"/>
            </w:pPr>
            <w:r/>
            <w:r>
              <w:rPr>
                <w:rFonts w:ascii="Aptos" w:hAnsi="Aptos"/>
                <w:b w:val="0"/>
                <w:sz w:val="15"/>
              </w:rPr>
              <w:t>De biblioteca de material</w:t>
            </w:r>
          </w:p>
        </w:tc>
      </w:tr>
      <w:tr>
        <w:tc>
          <w:tcPr>
            <w:tcW w:type="dxa" w:w="2835"/>
            <w:vAlign w:val="center"/>
            <w:shd w:fill="F2F2F2"/>
          </w:tcPr>
          <w:p>
            <w:pPr>
              <w:spacing w:after="0"/>
            </w:pPr>
            <w:r/>
            <w:r>
              <w:rPr>
                <w:rFonts w:ascii="Aptos" w:hAnsi="Aptos"/>
                <w:b w:val="0"/>
                <w:sz w:val="15"/>
              </w:rPr>
              <w:t>Restricción en base/uniones</w:t>
            </w:r>
          </w:p>
        </w:tc>
        <w:tc>
          <w:tcPr>
            <w:tcW w:type="dxa" w:w="6236"/>
            <w:vAlign w:val="center"/>
            <w:shd w:fill="F2F2F2"/>
          </w:tcPr>
          <w:p>
            <w:pPr>
              <w:spacing w:after="0"/>
            </w:pPr>
            <w:r/>
            <w:r>
              <w:rPr>
                <w:rFonts w:ascii="Aptos" w:hAnsi="Aptos"/>
                <w:b w:val="0"/>
                <w:sz w:val="15"/>
              </w:rPr>
              <w:t>Determina esfuerzo o desplazamiento libre</w:t>
            </w:r>
          </w:p>
        </w:tc>
      </w:tr>
      <w:tr>
        <w:tc>
          <w:tcPr>
            <w:tcW w:type="dxa" w:w="2835"/>
            <w:vAlign w:val="center"/>
          </w:tcPr>
          <w:p>
            <w:pPr>
              <w:spacing w:after="0"/>
            </w:pPr>
            <w:r/>
            <w:r>
              <w:rPr>
                <w:rFonts w:ascii="Aptos" w:hAnsi="Aptos"/>
                <w:b w:val="0"/>
                <w:sz w:val="15"/>
              </w:rPr>
              <w:t>Gradiente solar</w:t>
            </w:r>
          </w:p>
        </w:tc>
        <w:tc>
          <w:tcPr>
            <w:tcW w:type="dxa" w:w="6236"/>
            <w:vAlign w:val="center"/>
          </w:tcPr>
          <w:p>
            <w:pPr>
              <w:spacing w:after="0"/>
            </w:pPr>
            <w:r/>
            <w:r>
              <w:rPr>
                <w:rFonts w:ascii="Aptos" w:hAnsi="Aptos"/>
                <w:b w:val="0"/>
                <w:sz w:val="15"/>
              </w:rPr>
              <w:t>Caso especial en elementos expuestos</w:t>
            </w:r>
          </w:p>
        </w:tc>
      </w:tr>
      <w:tr>
        <w:tc>
          <w:tcPr>
            <w:tcW w:type="dxa" w:w="2835"/>
            <w:vAlign w:val="center"/>
            <w:shd w:fill="F2F2F2"/>
          </w:tcPr>
          <w:p>
            <w:pPr>
              <w:spacing w:after="0"/>
            </w:pPr>
            <w:r/>
            <w:r>
              <w:rPr>
                <w:rFonts w:ascii="Aptos" w:hAnsi="Aptos"/>
                <w:b w:val="0"/>
                <w:sz w:val="15"/>
              </w:rPr>
              <w:t>Temperatura de cable</w:t>
            </w:r>
          </w:p>
        </w:tc>
        <w:tc>
          <w:tcPr>
            <w:tcW w:type="dxa" w:w="6236"/>
            <w:vAlign w:val="center"/>
            <w:shd w:fill="F2F2F2"/>
          </w:tcPr>
          <w:p>
            <w:pPr>
              <w:spacing w:after="0"/>
            </w:pPr>
            <w:r/>
            <w:r>
              <w:rPr>
                <w:rFonts w:ascii="Aptos" w:hAnsi="Aptos"/>
                <w:b w:val="0"/>
                <w:sz w:val="15"/>
              </w:rPr>
              <w:t>Futuro cálculo automático de tensión</w:t>
            </w:r>
          </w:p>
        </w:tc>
      </w:tr>
    </w:tbl>
    <w:p>
      <w:pPr>
        <w:spacing w:after="0"/>
      </w:pPr>
    </w:p>
    <w:p>
      <w:pPr>
        <w:pStyle w:val="Requirement"/>
      </w:pPr>
      <w:r>
        <w:rPr>
          <w:b/>
        </w:rPr>
        <w:t xml:space="preserve">TMP-001 [MUST] </w:t>
      </w:r>
      <w:r>
        <w:t>Una acción térmica no se aplicará si el modelo permite expansión libre sin generar esfuerzo; se documentará la condición de apoyo.</w:t>
      </w:r>
    </w:p>
    <w:p>
      <w:pPr>
        <w:pStyle w:val="Heading1"/>
        <w:spacing w:after="80"/>
      </w:pPr>
      <w:r>
        <w:t>17. Acciones de mantenimiento y montaje</w:t>
      </w:r>
    </w:p>
    <w:p>
      <w:pPr>
        <w:spacing w:after="80"/>
      </w:pPr>
      <w:r>
        <w:t>El sistema admitirá acciones temporales definidas por proyecto: operario, plataforma, polipasto, izado, apoyo intermedio, montaje por tramos o sustitución de luminaria. No se propondrán valores normativos sin biblioteca validada.</w:t>
      </w:r>
    </w:p>
    <w:tbl>
      <w:tblPr>
        <w:tblStyle w:val="TableGrid"/>
        <w:tblW w:type="auto" w:w="0"/>
        <w:jc w:val="center"/>
        <w:tblLook w:firstColumn="1" w:firstRow="1" w:lastColumn="0" w:lastRow="0" w:noHBand="0" w:noVBand="1" w:val="04A0"/>
      </w:tblPr>
      <w:tblGrid>
        <w:gridCol w:w="3438"/>
        <w:gridCol w:w="3438"/>
        <w:gridCol w:w="3438"/>
      </w:tblGrid>
      <w:tr>
        <w:tc>
          <w:tcPr>
            <w:tcW w:type="dxa" w:w="2268"/>
            <w:vAlign w:val="center"/>
            <w:shd w:fill="111111"/>
          </w:tcPr>
          <w:p>
            <w:pPr>
              <w:spacing w:after="0"/>
            </w:pPr>
            <w:r/>
            <w:r>
              <w:rPr>
                <w:rFonts w:ascii="Aptos" w:hAnsi="Aptos"/>
                <w:b/>
                <w:color w:val="FFFFFF"/>
                <w:sz w:val="15"/>
              </w:rPr>
              <w:t>Caso</w:t>
            </w:r>
          </w:p>
        </w:tc>
        <w:tc>
          <w:tcPr>
            <w:tcW w:type="dxa" w:w="3685"/>
            <w:vAlign w:val="center"/>
            <w:shd w:fill="111111"/>
          </w:tcPr>
          <w:p>
            <w:pPr>
              <w:spacing w:after="0"/>
            </w:pPr>
            <w:r/>
            <w:r>
              <w:rPr>
                <w:rFonts w:ascii="Aptos" w:hAnsi="Aptos"/>
                <w:b/>
                <w:color w:val="FFFFFF"/>
                <w:sz w:val="15"/>
              </w:rPr>
              <w:t>Datos mínimos</w:t>
            </w:r>
          </w:p>
        </w:tc>
        <w:tc>
          <w:tcPr>
            <w:tcW w:type="dxa" w:w="3118"/>
            <w:vAlign w:val="center"/>
            <w:shd w:fill="111111"/>
          </w:tcPr>
          <w:p>
            <w:pPr>
              <w:spacing w:after="0"/>
            </w:pPr>
            <w:r/>
            <w:r>
              <w:rPr>
                <w:rFonts w:ascii="Aptos" w:hAnsi="Aptos"/>
                <w:b/>
                <w:color w:val="FFFFFF"/>
                <w:sz w:val="15"/>
              </w:rPr>
              <w:t>Estado</w:t>
            </w:r>
          </w:p>
        </w:tc>
      </w:tr>
      <w:tr>
        <w:tc>
          <w:tcPr>
            <w:tcW w:type="dxa" w:w="2268"/>
            <w:vAlign w:val="center"/>
          </w:tcPr>
          <w:p>
            <w:pPr>
              <w:spacing w:after="0"/>
            </w:pPr>
            <w:r/>
            <w:r>
              <w:rPr>
                <w:rFonts w:ascii="Aptos" w:hAnsi="Aptos"/>
                <w:b w:val="0"/>
                <w:sz w:val="15"/>
              </w:rPr>
              <w:t>Operario y herramientas</w:t>
            </w:r>
          </w:p>
        </w:tc>
        <w:tc>
          <w:tcPr>
            <w:tcW w:type="dxa" w:w="3685"/>
            <w:vAlign w:val="center"/>
          </w:tcPr>
          <w:p>
            <w:pPr>
              <w:spacing w:after="0"/>
            </w:pPr>
            <w:r/>
            <w:r>
              <w:rPr>
                <w:rFonts w:ascii="Aptos" w:hAnsi="Aptos"/>
                <w:b w:val="0"/>
                <w:sz w:val="15"/>
              </w:rPr>
              <w:t>Peso, posición, superficie de apoyo</w:t>
            </w:r>
          </w:p>
        </w:tc>
        <w:tc>
          <w:tcPr>
            <w:tcW w:type="dxa" w:w="3118"/>
            <w:vAlign w:val="center"/>
          </w:tcPr>
          <w:p>
            <w:pPr>
              <w:spacing w:after="0"/>
            </w:pPr>
            <w:r/>
            <w:r>
              <w:rPr>
                <w:rFonts w:ascii="Aptos" w:hAnsi="Aptos"/>
                <w:b w:val="0"/>
                <w:sz w:val="15"/>
              </w:rPr>
              <w:t>Variable de mantenimiento</w:t>
            </w:r>
          </w:p>
        </w:tc>
      </w:tr>
      <w:tr>
        <w:tc>
          <w:tcPr>
            <w:tcW w:type="dxa" w:w="2268"/>
            <w:vAlign w:val="center"/>
            <w:shd w:fill="F2F2F2"/>
          </w:tcPr>
          <w:p>
            <w:pPr>
              <w:spacing w:after="0"/>
            </w:pPr>
            <w:r/>
            <w:r>
              <w:rPr>
                <w:rFonts w:ascii="Aptos" w:hAnsi="Aptos"/>
                <w:b w:val="0"/>
                <w:sz w:val="15"/>
              </w:rPr>
              <w:t>Plataforma/cesta</w:t>
            </w:r>
          </w:p>
        </w:tc>
        <w:tc>
          <w:tcPr>
            <w:tcW w:type="dxa" w:w="3685"/>
            <w:vAlign w:val="center"/>
            <w:shd w:fill="F2F2F2"/>
          </w:tcPr>
          <w:p>
            <w:pPr>
              <w:spacing w:after="0"/>
            </w:pPr>
            <w:r/>
            <w:r>
              <w:rPr>
                <w:rFonts w:ascii="Aptos" w:hAnsi="Aptos"/>
                <w:b w:val="0"/>
                <w:sz w:val="15"/>
              </w:rPr>
              <w:t>Carga y punto de contacto</w:t>
            </w:r>
          </w:p>
        </w:tc>
        <w:tc>
          <w:tcPr>
            <w:tcW w:type="dxa" w:w="3118"/>
            <w:vAlign w:val="center"/>
            <w:shd w:fill="F2F2F2"/>
          </w:tcPr>
          <w:p>
            <w:pPr>
              <w:spacing w:after="0"/>
            </w:pPr>
            <w:r/>
            <w:r>
              <w:rPr>
                <w:rFonts w:ascii="Aptos" w:hAnsi="Aptos"/>
                <w:b w:val="0"/>
                <w:sz w:val="15"/>
              </w:rPr>
              <w:t>Temporal</w:t>
            </w:r>
          </w:p>
        </w:tc>
      </w:tr>
      <w:tr>
        <w:tc>
          <w:tcPr>
            <w:tcW w:type="dxa" w:w="2268"/>
            <w:vAlign w:val="center"/>
          </w:tcPr>
          <w:p>
            <w:pPr>
              <w:spacing w:after="0"/>
            </w:pPr>
            <w:r/>
            <w:r>
              <w:rPr>
                <w:rFonts w:ascii="Aptos" w:hAnsi="Aptos"/>
                <w:b w:val="0"/>
                <w:sz w:val="15"/>
              </w:rPr>
              <w:t>Izado de tramo</w:t>
            </w:r>
          </w:p>
        </w:tc>
        <w:tc>
          <w:tcPr>
            <w:tcW w:type="dxa" w:w="3685"/>
            <w:vAlign w:val="center"/>
          </w:tcPr>
          <w:p>
            <w:pPr>
              <w:spacing w:after="0"/>
            </w:pPr>
            <w:r/>
            <w:r>
              <w:rPr>
                <w:rFonts w:ascii="Aptos" w:hAnsi="Aptos"/>
                <w:b w:val="0"/>
                <w:sz w:val="15"/>
              </w:rPr>
              <w:t>Puntos de eslinga, orientación, factor dinámico</w:t>
            </w:r>
          </w:p>
        </w:tc>
        <w:tc>
          <w:tcPr>
            <w:tcW w:type="dxa" w:w="3118"/>
            <w:vAlign w:val="center"/>
          </w:tcPr>
          <w:p>
            <w:pPr>
              <w:spacing w:after="0"/>
            </w:pPr>
            <w:r/>
            <w:r>
              <w:rPr>
                <w:rFonts w:ascii="Aptos" w:hAnsi="Aptos"/>
                <w:b w:val="0"/>
                <w:sz w:val="15"/>
              </w:rPr>
              <w:t>Montaje</w:t>
            </w:r>
          </w:p>
        </w:tc>
      </w:tr>
      <w:tr>
        <w:tc>
          <w:tcPr>
            <w:tcW w:type="dxa" w:w="2268"/>
            <w:vAlign w:val="center"/>
            <w:shd w:fill="F2F2F2"/>
          </w:tcPr>
          <w:p>
            <w:pPr>
              <w:spacing w:after="0"/>
            </w:pPr>
            <w:r/>
            <w:r>
              <w:rPr>
                <w:rFonts w:ascii="Aptos" w:hAnsi="Aptos"/>
                <w:b w:val="0"/>
                <w:sz w:val="15"/>
              </w:rPr>
              <w:t>Columna horizontal</w:t>
            </w:r>
          </w:p>
        </w:tc>
        <w:tc>
          <w:tcPr>
            <w:tcW w:type="dxa" w:w="3685"/>
            <w:vAlign w:val="center"/>
            <w:shd w:fill="F2F2F2"/>
          </w:tcPr>
          <w:p>
            <w:pPr>
              <w:spacing w:after="0"/>
            </w:pPr>
            <w:r/>
            <w:r>
              <w:rPr>
                <w:rFonts w:ascii="Aptos" w:hAnsi="Aptos"/>
                <w:b w:val="0"/>
                <w:sz w:val="15"/>
              </w:rPr>
              <w:t>Apoyos y peso propio</w:t>
            </w:r>
          </w:p>
        </w:tc>
        <w:tc>
          <w:tcPr>
            <w:tcW w:type="dxa" w:w="3118"/>
            <w:vAlign w:val="center"/>
            <w:shd w:fill="F2F2F2"/>
          </w:tcPr>
          <w:p>
            <w:pPr>
              <w:spacing w:after="0"/>
            </w:pPr>
            <w:r/>
            <w:r>
              <w:rPr>
                <w:rFonts w:ascii="Aptos" w:hAnsi="Aptos"/>
                <w:b w:val="0"/>
                <w:sz w:val="15"/>
              </w:rPr>
              <w:t>Transporte/almacenamiento</w:t>
            </w:r>
          </w:p>
        </w:tc>
      </w:tr>
      <w:tr>
        <w:tc>
          <w:tcPr>
            <w:tcW w:type="dxa" w:w="2268"/>
            <w:vAlign w:val="center"/>
          </w:tcPr>
          <w:p>
            <w:pPr>
              <w:spacing w:after="0"/>
            </w:pPr>
            <w:r/>
            <w:r>
              <w:rPr>
                <w:rFonts w:ascii="Aptos" w:hAnsi="Aptos"/>
                <w:b w:val="0"/>
                <w:sz w:val="15"/>
              </w:rPr>
              <w:t>Montaje de cable</w:t>
            </w:r>
          </w:p>
        </w:tc>
        <w:tc>
          <w:tcPr>
            <w:tcW w:type="dxa" w:w="3685"/>
            <w:vAlign w:val="center"/>
          </w:tcPr>
          <w:p>
            <w:pPr>
              <w:spacing w:after="0"/>
            </w:pPr>
            <w:r/>
            <w:r>
              <w:rPr>
                <w:rFonts w:ascii="Aptos" w:hAnsi="Aptos"/>
                <w:b w:val="0"/>
                <w:sz w:val="15"/>
              </w:rPr>
              <w:t>Secuencia de tensado</w:t>
            </w:r>
          </w:p>
        </w:tc>
        <w:tc>
          <w:tcPr>
            <w:tcW w:type="dxa" w:w="3118"/>
            <w:vAlign w:val="center"/>
          </w:tcPr>
          <w:p>
            <w:pPr>
              <w:spacing w:after="0"/>
            </w:pPr>
            <w:r/>
            <w:r>
              <w:rPr>
                <w:rFonts w:ascii="Aptos" w:hAnsi="Aptos"/>
                <w:b w:val="0"/>
                <w:sz w:val="15"/>
              </w:rPr>
              <w:t>Temporal asimétrico</w:t>
            </w:r>
          </w:p>
        </w:tc>
      </w:tr>
      <w:tr>
        <w:tc>
          <w:tcPr>
            <w:tcW w:type="dxa" w:w="2268"/>
            <w:vAlign w:val="center"/>
            <w:shd w:fill="F2F2F2"/>
          </w:tcPr>
          <w:p>
            <w:pPr>
              <w:spacing w:after="0"/>
            </w:pPr>
            <w:r/>
            <w:r>
              <w:rPr>
                <w:rFonts w:ascii="Aptos" w:hAnsi="Aptos"/>
                <w:b w:val="0"/>
                <w:sz w:val="15"/>
              </w:rPr>
              <w:t>Sustitución de luminaria</w:t>
            </w:r>
          </w:p>
        </w:tc>
        <w:tc>
          <w:tcPr>
            <w:tcW w:type="dxa" w:w="3685"/>
            <w:vAlign w:val="center"/>
            <w:shd w:fill="F2F2F2"/>
          </w:tcPr>
          <w:p>
            <w:pPr>
              <w:spacing w:after="0"/>
            </w:pPr>
            <w:r/>
            <w:r>
              <w:rPr>
                <w:rFonts w:ascii="Aptos" w:hAnsi="Aptos"/>
                <w:b w:val="0"/>
                <w:sz w:val="15"/>
              </w:rPr>
              <w:t>Componente ausente/presente</w:t>
            </w:r>
          </w:p>
        </w:tc>
        <w:tc>
          <w:tcPr>
            <w:tcW w:type="dxa" w:w="3118"/>
            <w:vAlign w:val="center"/>
            <w:shd w:fill="F2F2F2"/>
          </w:tcPr>
          <w:p>
            <w:pPr>
              <w:spacing w:after="0"/>
            </w:pPr>
            <w:r/>
            <w:r>
              <w:rPr>
                <w:rFonts w:ascii="Aptos" w:hAnsi="Aptos"/>
                <w:b w:val="0"/>
                <w:sz w:val="15"/>
              </w:rPr>
              <w:t>Temporal</w:t>
            </w:r>
          </w:p>
        </w:tc>
      </w:tr>
    </w:tbl>
    <w:p>
      <w:pPr>
        <w:spacing w:after="0"/>
      </w:pPr>
    </w:p>
    <w:p>
      <w:pPr>
        <w:pStyle w:val="Heading1"/>
        <w:spacing w:after="80"/>
      </w:pPr>
      <w:r>
        <w:t>18. Acciones accidentales y configuraciones especiales</w:t>
      </w:r>
    </w:p>
    <w:p>
      <w:pPr>
        <w:spacing w:after="80"/>
      </w:pPr>
      <w:r>
        <w:t>Las situaciones accidentales se habilitarán mediante plantillas y no formarán parte automática de todos los proyectos. Podrán incluir pérdida de cable, rotura de brazo, impacto menor especificado, caída de elemento, fallo de soporte o carga excepcional del cliente.</w:t>
      </w:r>
    </w:p>
    <w:p>
      <w:pPr>
        <w:pStyle w:val="Requirement"/>
      </w:pPr>
      <w:r>
        <w:rPr>
          <w:b/>
        </w:rPr>
        <w:t xml:space="preserve">ACC-001 [MUST] </w:t>
      </w:r>
      <w:r>
        <w:t>Cada escenario accidental indicará probabilidad/clase, duración, combinación aplicable y si se exige deformación residual o solo resistencia.</w:t>
      </w:r>
    </w:p>
    <w:p>
      <w:pPr>
        <w:pStyle w:val="Requirement"/>
      </w:pPr>
      <w:r>
        <w:rPr>
          <w:b/>
        </w:rPr>
        <w:t xml:space="preserve">ACC-002 [MUST] </w:t>
      </w:r>
      <w:r>
        <w:t>La seguridad pasiva frente a impacto de vehículo se gestionará como requisito de producto y ensayo, no mediante una carga estática simplificada salvo criterio aprobado.</w:t>
      </w:r>
    </w:p>
    <w:p>
      <w:pPr>
        <w:pStyle w:val="Heading1"/>
        <w:spacing w:after="80"/>
      </w:pPr>
      <w:r>
        <w:t>19. Casos y combinaciones ELU, ELS y fatiga</w:t>
      </w:r>
    </w:p>
    <w:p>
      <w:pPr>
        <w:spacing w:after="80"/>
      </w:pPr>
      <w:r>
        <w:t>Las combinaciones se generarán desde plantillas normativas versionadas. El usuario no editará directamente fórmulas en un proyecto oficial; seleccionará una plantilla y podrá añadir requisitos contractuales mediante parámetros controlados.</w:t>
      </w:r>
    </w:p>
    <w:p>
      <w:pPr>
        <w:pStyle w:val="Heading2"/>
        <w:spacing w:after="80"/>
      </w:pPr>
      <w:r>
        <w:t>19.1 Estados límite</w:t>
      </w:r>
    </w:p>
    <w:tbl>
      <w:tblPr>
        <w:tblStyle w:val="TableGrid"/>
        <w:tblW w:type="auto" w:w="0"/>
        <w:jc w:val="center"/>
        <w:tblLook w:firstColumn="1" w:firstRow="1" w:lastColumn="0" w:lastRow="0" w:noHBand="0" w:noVBand="1" w:val="04A0"/>
      </w:tblPr>
      <w:tblGrid>
        <w:gridCol w:w="3438"/>
        <w:gridCol w:w="3438"/>
        <w:gridCol w:w="3438"/>
      </w:tblGrid>
      <w:tr>
        <w:tc>
          <w:tcPr>
            <w:tcW w:type="dxa" w:w="2324"/>
            <w:vAlign w:val="center"/>
            <w:shd w:fill="111111"/>
          </w:tcPr>
          <w:p>
            <w:pPr>
              <w:spacing w:after="0"/>
            </w:pPr>
            <w:r/>
            <w:r>
              <w:rPr>
                <w:rFonts w:ascii="Aptos" w:hAnsi="Aptos"/>
                <w:b/>
                <w:color w:val="FFFFFF"/>
                <w:sz w:val="15"/>
              </w:rPr>
              <w:t>Grupo</w:t>
            </w:r>
          </w:p>
        </w:tc>
        <w:tc>
          <w:tcPr>
            <w:tcW w:type="dxa" w:w="3628"/>
            <w:vAlign w:val="center"/>
            <w:shd w:fill="111111"/>
          </w:tcPr>
          <w:p>
            <w:pPr>
              <w:spacing w:after="0"/>
            </w:pPr>
            <w:r/>
            <w:r>
              <w:rPr>
                <w:rFonts w:ascii="Aptos" w:hAnsi="Aptos"/>
                <w:b/>
                <w:color w:val="FFFFFF"/>
                <w:sz w:val="15"/>
              </w:rPr>
              <w:t>Objetivo</w:t>
            </w:r>
          </w:p>
        </w:tc>
        <w:tc>
          <w:tcPr>
            <w:tcW w:type="dxa" w:w="3515"/>
            <w:vAlign w:val="center"/>
            <w:shd w:fill="111111"/>
          </w:tcPr>
          <w:p>
            <w:pPr>
              <w:spacing w:after="0"/>
            </w:pPr>
            <w:r/>
            <w:r>
              <w:rPr>
                <w:rFonts w:ascii="Aptos" w:hAnsi="Aptos"/>
                <w:b/>
                <w:color w:val="FFFFFF"/>
                <w:sz w:val="15"/>
              </w:rPr>
              <w:t>Resultados posteriores</w:t>
            </w:r>
          </w:p>
        </w:tc>
      </w:tr>
      <w:tr>
        <w:tc>
          <w:tcPr>
            <w:tcW w:type="dxa" w:w="2324"/>
            <w:vAlign w:val="center"/>
          </w:tcPr>
          <w:p>
            <w:pPr>
              <w:spacing w:after="0"/>
            </w:pPr>
            <w:r/>
            <w:r>
              <w:rPr>
                <w:rFonts w:ascii="Aptos" w:hAnsi="Aptos"/>
                <w:b w:val="0"/>
                <w:sz w:val="15"/>
              </w:rPr>
              <w:t>ELU persistente/transitorio</w:t>
            </w:r>
          </w:p>
        </w:tc>
        <w:tc>
          <w:tcPr>
            <w:tcW w:type="dxa" w:w="3628"/>
            <w:vAlign w:val="center"/>
          </w:tcPr>
          <w:p>
            <w:pPr>
              <w:spacing w:after="0"/>
            </w:pPr>
            <w:r/>
            <w:r>
              <w:rPr>
                <w:rFonts w:ascii="Aptos" w:hAnsi="Aptos"/>
                <w:b w:val="0"/>
                <w:sz w:val="15"/>
              </w:rPr>
              <w:t>Resistencia y estabilidad</w:t>
            </w:r>
          </w:p>
        </w:tc>
        <w:tc>
          <w:tcPr>
            <w:tcW w:type="dxa" w:w="3515"/>
            <w:vAlign w:val="center"/>
          </w:tcPr>
          <w:p>
            <w:pPr>
              <w:spacing w:after="0"/>
            </w:pPr>
            <w:r/>
            <w:r>
              <w:rPr>
                <w:rFonts w:ascii="Aptos" w:hAnsi="Aptos"/>
                <w:b w:val="0"/>
                <w:sz w:val="15"/>
              </w:rPr>
              <w:t>Utilización, pandeo, anclajes</w:t>
            </w:r>
          </w:p>
        </w:tc>
      </w:tr>
      <w:tr>
        <w:tc>
          <w:tcPr>
            <w:tcW w:type="dxa" w:w="2324"/>
            <w:vAlign w:val="center"/>
            <w:shd w:fill="F2F2F2"/>
          </w:tcPr>
          <w:p>
            <w:pPr>
              <w:spacing w:after="0"/>
            </w:pPr>
            <w:r/>
            <w:r>
              <w:rPr>
                <w:rFonts w:ascii="Aptos" w:hAnsi="Aptos"/>
                <w:b w:val="0"/>
                <w:sz w:val="15"/>
              </w:rPr>
              <w:t>ELU accidental</w:t>
            </w:r>
          </w:p>
        </w:tc>
        <w:tc>
          <w:tcPr>
            <w:tcW w:type="dxa" w:w="3628"/>
            <w:vAlign w:val="center"/>
            <w:shd w:fill="F2F2F2"/>
          </w:tcPr>
          <w:p>
            <w:pPr>
              <w:spacing w:after="0"/>
            </w:pPr>
            <w:r/>
            <w:r>
              <w:rPr>
                <w:rFonts w:ascii="Aptos" w:hAnsi="Aptos"/>
                <w:b w:val="0"/>
                <w:sz w:val="15"/>
              </w:rPr>
              <w:t>Resistencia en situación excepcional</w:t>
            </w:r>
          </w:p>
        </w:tc>
        <w:tc>
          <w:tcPr>
            <w:tcW w:type="dxa" w:w="3515"/>
            <w:vAlign w:val="center"/>
            <w:shd w:fill="F2F2F2"/>
          </w:tcPr>
          <w:p>
            <w:pPr>
              <w:spacing w:after="0"/>
            </w:pPr>
            <w:r/>
            <w:r>
              <w:rPr>
                <w:rFonts w:ascii="Aptos" w:hAnsi="Aptos"/>
                <w:b w:val="0"/>
                <w:sz w:val="15"/>
              </w:rPr>
              <w:t>Conformidad accidental</w:t>
            </w:r>
          </w:p>
        </w:tc>
      </w:tr>
      <w:tr>
        <w:tc>
          <w:tcPr>
            <w:tcW w:type="dxa" w:w="2324"/>
            <w:vAlign w:val="center"/>
          </w:tcPr>
          <w:p>
            <w:pPr>
              <w:spacing w:after="0"/>
            </w:pPr>
            <w:r/>
            <w:r>
              <w:rPr>
                <w:rFonts w:ascii="Aptos" w:hAnsi="Aptos"/>
                <w:b w:val="0"/>
                <w:sz w:val="15"/>
              </w:rPr>
              <w:t>ELU sísmico</w:t>
            </w:r>
          </w:p>
        </w:tc>
        <w:tc>
          <w:tcPr>
            <w:tcW w:type="dxa" w:w="3628"/>
            <w:vAlign w:val="center"/>
          </w:tcPr>
          <w:p>
            <w:pPr>
              <w:spacing w:after="0"/>
            </w:pPr>
            <w:r/>
            <w:r>
              <w:rPr>
                <w:rFonts w:ascii="Aptos" w:hAnsi="Aptos"/>
                <w:b w:val="0"/>
                <w:sz w:val="15"/>
              </w:rPr>
              <w:t>Respuesta sísmica</w:t>
            </w:r>
          </w:p>
        </w:tc>
        <w:tc>
          <w:tcPr>
            <w:tcW w:type="dxa" w:w="3515"/>
            <w:vAlign w:val="center"/>
          </w:tcPr>
          <w:p>
            <w:pPr>
              <w:spacing w:after="0"/>
            </w:pPr>
            <w:r/>
            <w:r>
              <w:rPr>
                <w:rFonts w:ascii="Aptos" w:hAnsi="Aptos"/>
                <w:b w:val="0"/>
                <w:sz w:val="15"/>
              </w:rPr>
              <w:t>Esfuerzos combinados</w:t>
            </w:r>
          </w:p>
        </w:tc>
      </w:tr>
      <w:tr>
        <w:tc>
          <w:tcPr>
            <w:tcW w:type="dxa" w:w="2324"/>
            <w:vAlign w:val="center"/>
            <w:shd w:fill="F2F2F2"/>
          </w:tcPr>
          <w:p>
            <w:pPr>
              <w:spacing w:after="0"/>
            </w:pPr>
            <w:r/>
            <w:r>
              <w:rPr>
                <w:rFonts w:ascii="Aptos" w:hAnsi="Aptos"/>
                <w:b w:val="0"/>
                <w:sz w:val="15"/>
              </w:rPr>
              <w:t>ELS característico</w:t>
            </w:r>
          </w:p>
        </w:tc>
        <w:tc>
          <w:tcPr>
            <w:tcW w:type="dxa" w:w="3628"/>
            <w:vAlign w:val="center"/>
            <w:shd w:fill="F2F2F2"/>
          </w:tcPr>
          <w:p>
            <w:pPr>
              <w:spacing w:after="0"/>
            </w:pPr>
            <w:r/>
            <w:r>
              <w:rPr>
                <w:rFonts w:ascii="Aptos" w:hAnsi="Aptos"/>
                <w:b w:val="0"/>
                <w:sz w:val="15"/>
              </w:rPr>
              <w:t>Deformación máxima</w:t>
            </w:r>
          </w:p>
        </w:tc>
        <w:tc>
          <w:tcPr>
            <w:tcW w:type="dxa" w:w="3515"/>
            <w:vAlign w:val="center"/>
            <w:shd w:fill="F2F2F2"/>
          </w:tcPr>
          <w:p>
            <w:pPr>
              <w:spacing w:after="0"/>
            </w:pPr>
            <w:r/>
            <w:r>
              <w:rPr>
                <w:rFonts w:ascii="Aptos" w:hAnsi="Aptos"/>
                <w:b w:val="0"/>
                <w:sz w:val="15"/>
              </w:rPr>
              <w:t>Flecha y giro</w:t>
            </w:r>
          </w:p>
        </w:tc>
      </w:tr>
      <w:tr>
        <w:tc>
          <w:tcPr>
            <w:tcW w:type="dxa" w:w="2324"/>
            <w:vAlign w:val="center"/>
          </w:tcPr>
          <w:p>
            <w:pPr>
              <w:spacing w:after="0"/>
            </w:pPr>
            <w:r/>
            <w:r>
              <w:rPr>
                <w:rFonts w:ascii="Aptos" w:hAnsi="Aptos"/>
                <w:b w:val="0"/>
                <w:sz w:val="15"/>
              </w:rPr>
              <w:t>ELS frecuente/cuasi permanente</w:t>
            </w:r>
          </w:p>
        </w:tc>
        <w:tc>
          <w:tcPr>
            <w:tcW w:type="dxa" w:w="3628"/>
            <w:vAlign w:val="center"/>
          </w:tcPr>
          <w:p>
            <w:pPr>
              <w:spacing w:after="0"/>
            </w:pPr>
            <w:r/>
            <w:r>
              <w:rPr>
                <w:rFonts w:ascii="Aptos" w:hAnsi="Aptos"/>
                <w:b w:val="0"/>
                <w:sz w:val="15"/>
              </w:rPr>
              <w:t>Servicio cuando aplique</w:t>
            </w:r>
          </w:p>
        </w:tc>
        <w:tc>
          <w:tcPr>
            <w:tcW w:type="dxa" w:w="3515"/>
            <w:vAlign w:val="center"/>
          </w:tcPr>
          <w:p>
            <w:pPr>
              <w:spacing w:after="0"/>
            </w:pPr>
            <w:r/>
            <w:r>
              <w:rPr>
                <w:rFonts w:ascii="Aptos" w:hAnsi="Aptos"/>
                <w:b w:val="0"/>
                <w:sz w:val="15"/>
              </w:rPr>
              <w:t>Comportamiento prolongado</w:t>
            </w:r>
          </w:p>
        </w:tc>
      </w:tr>
      <w:tr>
        <w:tc>
          <w:tcPr>
            <w:tcW w:type="dxa" w:w="2324"/>
            <w:vAlign w:val="center"/>
            <w:shd w:fill="F2F2F2"/>
          </w:tcPr>
          <w:p>
            <w:pPr>
              <w:spacing w:after="0"/>
            </w:pPr>
            <w:r/>
            <w:r>
              <w:rPr>
                <w:rFonts w:ascii="Aptos" w:hAnsi="Aptos"/>
                <w:b w:val="0"/>
                <w:sz w:val="15"/>
              </w:rPr>
              <w:t>Fatiga</w:t>
            </w:r>
          </w:p>
        </w:tc>
        <w:tc>
          <w:tcPr>
            <w:tcW w:type="dxa" w:w="3628"/>
            <w:vAlign w:val="center"/>
            <w:shd w:fill="F2F2F2"/>
          </w:tcPr>
          <w:p>
            <w:pPr>
              <w:spacing w:after="0"/>
            </w:pPr>
            <w:r/>
            <w:r>
              <w:rPr>
                <w:rFonts w:ascii="Aptos" w:hAnsi="Aptos"/>
                <w:b w:val="0"/>
                <w:sz w:val="15"/>
              </w:rPr>
              <w:t>Rangos/ciclos de tensión</w:t>
            </w:r>
          </w:p>
        </w:tc>
        <w:tc>
          <w:tcPr>
            <w:tcW w:type="dxa" w:w="3515"/>
            <w:vAlign w:val="center"/>
            <w:shd w:fill="F2F2F2"/>
          </w:tcPr>
          <w:p>
            <w:pPr>
              <w:spacing w:after="0"/>
            </w:pPr>
            <w:r/>
            <w:r>
              <w:rPr>
                <w:rFonts w:ascii="Aptos" w:hAnsi="Aptos"/>
                <w:b w:val="0"/>
                <w:sz w:val="15"/>
              </w:rPr>
              <w:t>Daño acumulado y detalle</w:t>
            </w:r>
          </w:p>
        </w:tc>
      </w:tr>
    </w:tbl>
    <w:p>
      <w:pPr>
        <w:spacing w:after="0"/>
      </w:pPr>
    </w:p>
    <w:p>
      <w:pPr>
        <w:pStyle w:val="Heading2"/>
        <w:spacing w:after="80"/>
      </w:pPr>
      <w:r>
        <w:t>19.2 Motor de combinaciones</w:t>
      </w:r>
    </w:p>
    <w:p>
      <w:pPr>
        <w:pStyle w:val="Requirement"/>
      </w:pPr>
      <w:r>
        <w:rPr>
          <w:b/>
        </w:rPr>
        <w:t xml:space="preserve">COM-001 [MUST] </w:t>
      </w:r>
      <w:r>
        <w:t>La definición de combinación almacenará acciones participantes, factores parciales, factores de simultaneidad, acción principal, signo y regla de exclusión.</w:t>
      </w:r>
    </w:p>
    <w:p>
      <w:pPr>
        <w:pStyle w:val="Requirement"/>
      </w:pPr>
      <w:r>
        <w:rPr>
          <w:b/>
        </w:rPr>
        <w:t xml:space="preserve">COM-002 [MUST] </w:t>
      </w:r>
      <w:r>
        <w:t>Las combinaciones incompatibles se excluirán mediante grupos: por ejemplo, direcciones de viento mutuamente excluyentes.</w:t>
      </w:r>
    </w:p>
    <w:p>
      <w:pPr>
        <w:pStyle w:val="Requirement"/>
      </w:pPr>
      <w:r>
        <w:rPr>
          <w:b/>
        </w:rPr>
        <w:t xml:space="preserve">COM-003 [MUST] </w:t>
      </w:r>
      <w:r>
        <w:t>Los cables podrán pertenecer a grupos de estado para representar secuencias o pérdida de uno.</w:t>
      </w:r>
    </w:p>
    <w:p>
      <w:pPr>
        <w:pStyle w:val="Requirement"/>
      </w:pPr>
      <w:r>
        <w:rPr>
          <w:b/>
        </w:rPr>
        <w:t xml:space="preserve">COM-004 [MUST] </w:t>
      </w:r>
      <w:r>
        <w:t>Cada combinación tendrá un nombre humano y un identificador canónico reproducible.</w:t>
      </w:r>
    </w:p>
    <w:p>
      <w:pPr>
        <w:pStyle w:val="Requirement"/>
      </w:pPr>
      <w:r>
        <w:rPr>
          <w:b/>
        </w:rPr>
        <w:t xml:space="preserve">COM-005 [MUST] </w:t>
      </w:r>
      <w:r>
        <w:t>La generación masiva evitará duplicados equivalentes mediante normalización algebraica y hash.</w:t>
      </w:r>
    </w:p>
    <w:p>
      <w:pPr>
        <w:pStyle w:val="Heading2"/>
        <w:spacing w:after="80"/>
      </w:pPr>
      <w:r>
        <w:t>19.3 Fatiga y vibración</w:t>
      </w:r>
    </w:p>
    <w:p>
      <w:pPr>
        <w:spacing w:after="80"/>
      </w:pPr>
      <w:r>
        <w:t>La Fase 3 deberá producir los espectros, rangos o casos necesarios para las verificaciones de fatiga de EN 40-3-3 y reglas subsidiarias. Se diferenciará fatiga por viento natural, excitación por desprendimiento de vórtices, vibración de accesorios y ciclos impuestos por cables. El cálculo de tensiones y daño se ejecutará en la fase estructural, pero el origen de ciclos y amplitudes debe quedar definido aquí.</w:t>
      </w:r>
    </w:p>
    <w:p>
      <w:pPr>
        <w:pStyle w:val="Requirement"/>
      </w:pPr>
      <w:r>
        <w:rPr>
          <w:b/>
        </w:rPr>
        <w:t xml:space="preserve">FAT-001 [MUST] </w:t>
      </w:r>
      <w:r>
        <w:t>Los parámetros de fatiga deberán conservar vida objetivo, número de ciclos, distribución direccional y fuente.</w:t>
      </w:r>
    </w:p>
    <w:p>
      <w:pPr>
        <w:pStyle w:val="Requirement"/>
      </w:pPr>
      <w:r>
        <w:rPr>
          <w:b/>
        </w:rPr>
        <w:t xml:space="preserve">FAT-002 [MUST] </w:t>
      </w:r>
      <w:r>
        <w:t>Una advertencia de riesgo de vórtices podrá activar análisis refinado; no se considerará resuelta únicamente por el barrido estático.</w:t>
      </w:r>
    </w:p>
    <w:p>
      <w:pPr>
        <w:pStyle w:val="Heading1"/>
        <w:spacing w:after="80"/>
      </w:pPr>
      <w:r>
        <w:t>20. Aplicación espacial de cargas</w:t>
      </w:r>
    </w:p>
    <w:p>
      <w:pPr>
        <w:spacing w:after="80"/>
      </w:pPr>
      <w:r>
        <w:t>La salida se expresará como cargas nodales, distribuidas y masas vinculadas a entidades geométricas. Se evitará generar fuerzas sin referencia a un UUID y a un sistema de coordenadas.</w:t>
      </w:r>
    </w:p>
    <w:tbl>
      <w:tblPr>
        <w:tblStyle w:val="TableGrid"/>
        <w:tblW w:type="auto" w:w="0"/>
        <w:jc w:val="center"/>
        <w:tblLook w:firstColumn="1" w:firstRow="1" w:lastColumn="0" w:lastRow="0" w:noHBand="0" w:noVBand="1" w:val="04A0"/>
      </w:tblPr>
      <w:tblGrid>
        <w:gridCol w:w="5156"/>
        <w:gridCol w:w="5156"/>
      </w:tblGrid>
      <w:tr>
        <w:tc>
          <w:tcPr>
            <w:tcW w:type="dxa" w:w="1701"/>
            <w:vAlign w:val="center"/>
            <w:shd w:fill="111111"/>
          </w:tcPr>
          <w:p>
            <w:pPr>
              <w:spacing w:after="0"/>
            </w:pPr>
            <w:r/>
            <w:r>
              <w:rPr>
                <w:rFonts w:ascii="Aptos" w:hAnsi="Aptos"/>
                <w:b/>
                <w:color w:val="FFFFFF"/>
                <w:sz w:val="15"/>
              </w:rPr>
              <w:t>Tipo</w:t>
            </w:r>
          </w:p>
        </w:tc>
        <w:tc>
          <w:tcPr>
            <w:tcW w:type="dxa" w:w="6803"/>
            <w:vAlign w:val="center"/>
            <w:shd w:fill="111111"/>
          </w:tcPr>
          <w:p>
            <w:pPr>
              <w:spacing w:after="0"/>
            </w:pPr>
            <w:r/>
            <w:r>
              <w:rPr>
                <w:rFonts w:ascii="Aptos" w:hAnsi="Aptos"/>
                <w:b/>
                <w:color w:val="FFFFFF"/>
                <w:sz w:val="15"/>
              </w:rPr>
              <w:t>Campos mínimos</w:t>
            </w:r>
          </w:p>
        </w:tc>
      </w:tr>
      <w:tr>
        <w:tc>
          <w:tcPr>
            <w:tcW w:type="dxa" w:w="1701"/>
            <w:vAlign w:val="center"/>
          </w:tcPr>
          <w:p>
            <w:pPr>
              <w:spacing w:after="0"/>
            </w:pPr>
            <w:r/>
            <w:r>
              <w:rPr>
                <w:rFonts w:ascii="Aptos" w:hAnsi="Aptos"/>
                <w:b w:val="0"/>
                <w:sz w:val="15"/>
              </w:rPr>
              <w:t>Carga nodal</w:t>
            </w:r>
          </w:p>
        </w:tc>
        <w:tc>
          <w:tcPr>
            <w:tcW w:type="dxa" w:w="6803"/>
            <w:vAlign w:val="center"/>
          </w:tcPr>
          <w:p>
            <w:pPr>
              <w:spacing w:after="0"/>
            </w:pPr>
            <w:r/>
            <w:r>
              <w:rPr>
                <w:rFonts w:ascii="Aptos" w:hAnsi="Aptos"/>
                <w:b w:val="0"/>
                <w:sz w:val="15"/>
              </w:rPr>
              <w:t>node/station id, Fx Fy Fz, Mx My Mz, sistema, origen</w:t>
            </w:r>
          </w:p>
        </w:tc>
      </w:tr>
      <w:tr>
        <w:tc>
          <w:tcPr>
            <w:tcW w:type="dxa" w:w="1701"/>
            <w:vAlign w:val="center"/>
            <w:shd w:fill="F2F2F2"/>
          </w:tcPr>
          <w:p>
            <w:pPr>
              <w:spacing w:after="0"/>
            </w:pPr>
            <w:r/>
            <w:r>
              <w:rPr>
                <w:rFonts w:ascii="Aptos" w:hAnsi="Aptos"/>
                <w:b w:val="0"/>
                <w:sz w:val="15"/>
              </w:rPr>
              <w:t>Carga distribuida</w:t>
            </w:r>
          </w:p>
        </w:tc>
        <w:tc>
          <w:tcPr>
            <w:tcW w:type="dxa" w:w="6803"/>
            <w:vAlign w:val="center"/>
            <w:shd w:fill="F2F2F2"/>
          </w:tcPr>
          <w:p>
            <w:pPr>
              <w:spacing w:after="0"/>
            </w:pPr>
            <w:r/>
            <w:r>
              <w:rPr>
                <w:rFonts w:ascii="Aptos" w:hAnsi="Aptos"/>
                <w:b w:val="0"/>
                <w:sz w:val="15"/>
              </w:rPr>
              <w:t>element/segment id, s0 s1, ley, vector inicial/final, sistema</w:t>
            </w:r>
          </w:p>
        </w:tc>
      </w:tr>
      <w:tr>
        <w:tc>
          <w:tcPr>
            <w:tcW w:type="dxa" w:w="1701"/>
            <w:vAlign w:val="center"/>
          </w:tcPr>
          <w:p>
            <w:pPr>
              <w:spacing w:after="0"/>
            </w:pPr>
            <w:r/>
            <w:r>
              <w:rPr>
                <w:rFonts w:ascii="Aptos" w:hAnsi="Aptos"/>
                <w:b w:val="0"/>
                <w:sz w:val="15"/>
              </w:rPr>
              <w:t>Presión superficial</w:t>
            </w:r>
          </w:p>
        </w:tc>
        <w:tc>
          <w:tcPr>
            <w:tcW w:type="dxa" w:w="6803"/>
            <w:vAlign w:val="center"/>
          </w:tcPr>
          <w:p>
            <w:pPr>
              <w:spacing w:after="0"/>
            </w:pPr>
            <w:r/>
            <w:r>
              <w:rPr>
                <w:rFonts w:ascii="Aptos" w:hAnsi="Aptos"/>
                <w:b w:val="0"/>
                <w:sz w:val="15"/>
              </w:rPr>
              <w:t>surface/component id, presión, normal, área, centro</w:t>
            </w:r>
          </w:p>
        </w:tc>
      </w:tr>
      <w:tr>
        <w:tc>
          <w:tcPr>
            <w:tcW w:type="dxa" w:w="1701"/>
            <w:vAlign w:val="center"/>
            <w:shd w:fill="F2F2F2"/>
          </w:tcPr>
          <w:p>
            <w:pPr>
              <w:spacing w:after="0"/>
            </w:pPr>
            <w:r/>
            <w:r>
              <w:rPr>
                <w:rFonts w:ascii="Aptos" w:hAnsi="Aptos"/>
                <w:b w:val="0"/>
                <w:sz w:val="15"/>
              </w:rPr>
              <w:t>Masa</w:t>
            </w:r>
          </w:p>
        </w:tc>
        <w:tc>
          <w:tcPr>
            <w:tcW w:type="dxa" w:w="6803"/>
            <w:vAlign w:val="center"/>
            <w:shd w:fill="F2F2F2"/>
          </w:tcPr>
          <w:p>
            <w:pPr>
              <w:spacing w:after="0"/>
            </w:pPr>
            <w:r/>
            <w:r>
              <w:rPr>
                <w:rFonts w:ascii="Aptos" w:hAnsi="Aptos"/>
                <w:b w:val="0"/>
                <w:sz w:val="15"/>
              </w:rPr>
              <w:t>component id, masa, CG, inercia opcional</w:t>
            </w:r>
          </w:p>
        </w:tc>
      </w:tr>
      <w:tr>
        <w:tc>
          <w:tcPr>
            <w:tcW w:type="dxa" w:w="1701"/>
            <w:vAlign w:val="center"/>
          </w:tcPr>
          <w:p>
            <w:pPr>
              <w:spacing w:after="0"/>
            </w:pPr>
            <w:r/>
            <w:r>
              <w:rPr>
                <w:rFonts w:ascii="Aptos" w:hAnsi="Aptos"/>
                <w:b w:val="0"/>
                <w:sz w:val="15"/>
              </w:rPr>
              <w:t>Desplazamiento impuesto</w:t>
            </w:r>
          </w:p>
        </w:tc>
        <w:tc>
          <w:tcPr>
            <w:tcW w:type="dxa" w:w="6803"/>
            <w:vAlign w:val="center"/>
          </w:tcPr>
          <w:p>
            <w:pPr>
              <w:spacing w:after="0"/>
            </w:pPr>
            <w:r/>
            <w:r>
              <w:rPr>
                <w:rFonts w:ascii="Aptos" w:hAnsi="Aptos"/>
                <w:b w:val="0"/>
                <w:sz w:val="15"/>
              </w:rPr>
              <w:t>dof, valor, nodo/interfaz</w:t>
            </w:r>
          </w:p>
        </w:tc>
      </w:tr>
      <w:tr>
        <w:tc>
          <w:tcPr>
            <w:tcW w:type="dxa" w:w="1701"/>
            <w:vAlign w:val="center"/>
            <w:shd w:fill="F2F2F2"/>
          </w:tcPr>
          <w:p>
            <w:pPr>
              <w:spacing w:after="0"/>
            </w:pPr>
            <w:r/>
            <w:r>
              <w:rPr>
                <w:rFonts w:ascii="Aptos" w:hAnsi="Aptos"/>
                <w:b w:val="0"/>
                <w:sz w:val="15"/>
              </w:rPr>
              <w:t>Temperatura</w:t>
            </w:r>
          </w:p>
        </w:tc>
        <w:tc>
          <w:tcPr>
            <w:tcW w:type="dxa" w:w="6803"/>
            <w:vAlign w:val="center"/>
            <w:shd w:fill="F2F2F2"/>
          </w:tcPr>
          <w:p>
            <w:pPr>
              <w:spacing w:after="0"/>
            </w:pPr>
            <w:r/>
            <w:r>
              <w:rPr>
                <w:rFonts w:ascii="Aptos" w:hAnsi="Aptos"/>
                <w:b w:val="0"/>
                <w:sz w:val="15"/>
              </w:rPr>
              <w:t>element id, uniforme/gradiente, referencia</w:t>
            </w:r>
          </w:p>
        </w:tc>
      </w:tr>
    </w:tbl>
    <w:p>
      <w:pPr>
        <w:spacing w:after="0"/>
      </w:pPr>
    </w:p>
    <w:p>
      <w:pPr>
        <w:pStyle w:val="Requirement"/>
      </w:pPr>
      <w:r>
        <w:rPr>
          <w:b/>
        </w:rPr>
        <w:t xml:space="preserve">LOD-001 [MUST] </w:t>
      </w:r>
      <w:r>
        <w:t>Las resultantes de cargas discretizadas deberán reconciliarse con las resultantes físicas antes de exportar.</w:t>
      </w:r>
    </w:p>
    <w:p>
      <w:pPr>
        <w:pStyle w:val="Requirement"/>
      </w:pPr>
      <w:r>
        <w:rPr>
          <w:b/>
        </w:rPr>
        <w:t xml:space="preserve">LOD-002 [MUST] </w:t>
      </w:r>
      <w:r>
        <w:t>La transformación global-local se validará mediante invariantes de fuerza y momento.</w:t>
      </w:r>
    </w:p>
    <w:p>
      <w:pPr>
        <w:pStyle w:val="Heading1"/>
        <w:spacing w:after="80"/>
      </w:pPr>
      <w:r>
        <w:t>21. Validaciones, advertencias e incertidumbre</w:t>
      </w:r>
    </w:p>
    <w:p>
      <w:pPr>
        <w:spacing w:after="80"/>
      </w:pPr>
      <w:r>
        <w:t>Las validaciones se ejecutarán en cuatro niveles: esquema, coherencia física, adecuación normativa y completitud para el nivel de madurez. Los errores críticos bloquearán; las advertencias requerirán aceptación o aprobación según el rol.</w:t>
      </w:r>
    </w:p>
    <w:tbl>
      <w:tblPr>
        <w:tblStyle w:val="TableGrid"/>
        <w:tblW w:type="auto" w:w="0"/>
        <w:jc w:val="center"/>
        <w:tblLook w:firstColumn="1" w:firstRow="1" w:lastColumn="0" w:lastRow="0" w:noHBand="0" w:noVBand="1" w:val="04A0"/>
      </w:tblPr>
      <w:tblGrid>
        <w:gridCol w:w="3438"/>
        <w:gridCol w:w="3438"/>
        <w:gridCol w:w="3438"/>
      </w:tblGrid>
      <w:tr>
        <w:tc>
          <w:tcPr>
            <w:tcW w:type="dxa" w:w="1701"/>
            <w:vAlign w:val="center"/>
            <w:shd w:fill="111111"/>
          </w:tcPr>
          <w:p>
            <w:pPr>
              <w:spacing w:after="0"/>
            </w:pPr>
            <w:r/>
            <w:r>
              <w:rPr>
                <w:rFonts w:ascii="Aptos" w:hAnsi="Aptos"/>
                <w:b/>
                <w:color w:val="FFFFFF"/>
                <w:sz w:val="15"/>
              </w:rPr>
              <w:t>Código ejemplo</w:t>
            </w:r>
          </w:p>
        </w:tc>
        <w:tc>
          <w:tcPr>
            <w:tcW w:type="dxa" w:w="1134"/>
            <w:vAlign w:val="center"/>
            <w:shd w:fill="111111"/>
          </w:tcPr>
          <w:p>
            <w:pPr>
              <w:spacing w:after="0"/>
            </w:pPr>
            <w:r/>
            <w:r>
              <w:rPr>
                <w:rFonts w:ascii="Aptos" w:hAnsi="Aptos"/>
                <w:b/>
                <w:color w:val="FFFFFF"/>
                <w:sz w:val="15"/>
              </w:rPr>
              <w:t>Severidad</w:t>
            </w:r>
          </w:p>
        </w:tc>
        <w:tc>
          <w:tcPr>
            <w:tcW w:type="dxa" w:w="6236"/>
            <w:vAlign w:val="center"/>
            <w:shd w:fill="111111"/>
          </w:tcPr>
          <w:p>
            <w:pPr>
              <w:spacing w:after="0"/>
            </w:pPr>
            <w:r/>
            <w:r>
              <w:rPr>
                <w:rFonts w:ascii="Aptos" w:hAnsi="Aptos"/>
                <w:b/>
                <w:color w:val="FFFFFF"/>
                <w:sz w:val="15"/>
              </w:rPr>
              <w:t>Condición</w:t>
            </w:r>
          </w:p>
        </w:tc>
      </w:tr>
      <w:tr>
        <w:tc>
          <w:tcPr>
            <w:tcW w:type="dxa" w:w="1701"/>
            <w:vAlign w:val="center"/>
          </w:tcPr>
          <w:p>
            <w:pPr>
              <w:spacing w:after="0"/>
            </w:pPr>
            <w:r/>
            <w:r>
              <w:rPr>
                <w:rFonts w:ascii="Aptos" w:hAnsi="Aptos"/>
                <w:b w:val="0"/>
                <w:sz w:val="15"/>
              </w:rPr>
              <w:t>ACT-E-001</w:t>
            </w:r>
          </w:p>
        </w:tc>
        <w:tc>
          <w:tcPr>
            <w:tcW w:type="dxa" w:w="1134"/>
            <w:vAlign w:val="center"/>
          </w:tcPr>
          <w:p>
            <w:pPr>
              <w:spacing w:after="0"/>
            </w:pPr>
            <w:r/>
            <w:r>
              <w:rPr>
                <w:rFonts w:ascii="Aptos" w:hAnsi="Aptos"/>
                <w:b w:val="0"/>
                <w:sz w:val="15"/>
              </w:rPr>
              <w:t>Error</w:t>
            </w:r>
          </w:p>
        </w:tc>
        <w:tc>
          <w:tcPr>
            <w:tcW w:type="dxa" w:w="6236"/>
            <w:vAlign w:val="center"/>
          </w:tcPr>
          <w:p>
            <w:pPr>
              <w:spacing w:after="0"/>
            </w:pPr>
            <w:r/>
            <w:r>
              <w:rPr>
                <w:rFonts w:ascii="Aptos" w:hAnsi="Aptos"/>
                <w:b w:val="0"/>
                <w:sz w:val="15"/>
              </w:rPr>
              <w:t>No hay ubicación ni parámetros manuales suficientes</w:t>
            </w:r>
          </w:p>
        </w:tc>
      </w:tr>
      <w:tr>
        <w:tc>
          <w:tcPr>
            <w:tcW w:type="dxa" w:w="1701"/>
            <w:vAlign w:val="center"/>
            <w:shd w:fill="F2F2F2"/>
          </w:tcPr>
          <w:p>
            <w:pPr>
              <w:spacing w:after="0"/>
            </w:pPr>
            <w:r/>
            <w:r>
              <w:rPr>
                <w:rFonts w:ascii="Aptos" w:hAnsi="Aptos"/>
                <w:b w:val="0"/>
                <w:sz w:val="15"/>
              </w:rPr>
              <w:t>ACT-E-002</w:t>
            </w:r>
          </w:p>
        </w:tc>
        <w:tc>
          <w:tcPr>
            <w:tcW w:type="dxa" w:w="1134"/>
            <w:vAlign w:val="center"/>
            <w:shd w:fill="F2F2F2"/>
          </w:tcPr>
          <w:p>
            <w:pPr>
              <w:spacing w:after="0"/>
            </w:pPr>
            <w:r/>
            <w:r>
              <w:rPr>
                <w:rFonts w:ascii="Aptos" w:hAnsi="Aptos"/>
                <w:b w:val="0"/>
                <w:sz w:val="15"/>
              </w:rPr>
              <w:t>Error</w:t>
            </w:r>
          </w:p>
        </w:tc>
        <w:tc>
          <w:tcPr>
            <w:tcW w:type="dxa" w:w="6236"/>
            <w:vAlign w:val="center"/>
            <w:shd w:fill="F2F2F2"/>
          </w:tcPr>
          <w:p>
            <w:pPr>
              <w:spacing w:after="0"/>
            </w:pPr>
            <w:r/>
            <w:r>
              <w:rPr>
                <w:rFonts w:ascii="Aptos" w:hAnsi="Aptos"/>
                <w:b w:val="0"/>
                <w:sz w:val="15"/>
              </w:rPr>
              <w:t>Componente expuesto sin área/Cd o aproximación autorizada</w:t>
            </w:r>
          </w:p>
        </w:tc>
      </w:tr>
      <w:tr>
        <w:tc>
          <w:tcPr>
            <w:tcW w:type="dxa" w:w="1701"/>
            <w:vAlign w:val="center"/>
          </w:tcPr>
          <w:p>
            <w:pPr>
              <w:spacing w:after="0"/>
            </w:pPr>
            <w:r/>
            <w:r>
              <w:rPr>
                <w:rFonts w:ascii="Aptos" w:hAnsi="Aptos"/>
                <w:b w:val="0"/>
                <w:sz w:val="15"/>
              </w:rPr>
              <w:t>ACT-E-003</w:t>
            </w:r>
          </w:p>
        </w:tc>
        <w:tc>
          <w:tcPr>
            <w:tcW w:type="dxa" w:w="1134"/>
            <w:vAlign w:val="center"/>
          </w:tcPr>
          <w:p>
            <w:pPr>
              <w:spacing w:after="0"/>
            </w:pPr>
            <w:r/>
            <w:r>
              <w:rPr>
                <w:rFonts w:ascii="Aptos" w:hAnsi="Aptos"/>
                <w:b w:val="0"/>
                <w:sz w:val="15"/>
              </w:rPr>
              <w:t>Error</w:t>
            </w:r>
          </w:p>
        </w:tc>
        <w:tc>
          <w:tcPr>
            <w:tcW w:type="dxa" w:w="6236"/>
            <w:vAlign w:val="center"/>
          </w:tcPr>
          <w:p>
            <w:pPr>
              <w:spacing w:after="0"/>
            </w:pPr>
            <w:r/>
            <w:r>
              <w:rPr>
                <w:rFonts w:ascii="Aptos" w:hAnsi="Aptos"/>
                <w:b w:val="0"/>
                <w:sz w:val="15"/>
              </w:rPr>
              <w:t>Cable con tensión pero sin dirección/cota</w:t>
            </w:r>
          </w:p>
        </w:tc>
      </w:tr>
      <w:tr>
        <w:tc>
          <w:tcPr>
            <w:tcW w:type="dxa" w:w="1701"/>
            <w:vAlign w:val="center"/>
            <w:shd w:fill="F2F2F2"/>
          </w:tcPr>
          <w:p>
            <w:pPr>
              <w:spacing w:after="0"/>
            </w:pPr>
            <w:r/>
            <w:r>
              <w:rPr>
                <w:rFonts w:ascii="Aptos" w:hAnsi="Aptos"/>
                <w:b w:val="0"/>
                <w:sz w:val="15"/>
              </w:rPr>
              <w:t>ACT-E-004</w:t>
            </w:r>
          </w:p>
        </w:tc>
        <w:tc>
          <w:tcPr>
            <w:tcW w:type="dxa" w:w="1134"/>
            <w:vAlign w:val="center"/>
            <w:shd w:fill="F2F2F2"/>
          </w:tcPr>
          <w:p>
            <w:pPr>
              <w:spacing w:after="0"/>
            </w:pPr>
            <w:r/>
            <w:r>
              <w:rPr>
                <w:rFonts w:ascii="Aptos" w:hAnsi="Aptos"/>
                <w:b w:val="0"/>
                <w:sz w:val="15"/>
              </w:rPr>
              <w:t>Error</w:t>
            </w:r>
          </w:p>
        </w:tc>
        <w:tc>
          <w:tcPr>
            <w:tcW w:type="dxa" w:w="6236"/>
            <w:vAlign w:val="center"/>
            <w:shd w:fill="F2F2F2"/>
          </w:tcPr>
          <w:p>
            <w:pPr>
              <w:spacing w:after="0"/>
            </w:pPr>
            <w:r/>
            <w:r>
              <w:rPr>
                <w:rFonts w:ascii="Aptos" w:hAnsi="Aptos"/>
                <w:b w:val="0"/>
                <w:sz w:val="15"/>
              </w:rPr>
              <w:t>Combinación sin factores o acciones incompatibles</w:t>
            </w:r>
          </w:p>
        </w:tc>
      </w:tr>
      <w:tr>
        <w:tc>
          <w:tcPr>
            <w:tcW w:type="dxa" w:w="1701"/>
            <w:vAlign w:val="center"/>
          </w:tcPr>
          <w:p>
            <w:pPr>
              <w:spacing w:after="0"/>
            </w:pPr>
            <w:r/>
            <w:r>
              <w:rPr>
                <w:rFonts w:ascii="Aptos" w:hAnsi="Aptos"/>
                <w:b w:val="0"/>
                <w:sz w:val="15"/>
              </w:rPr>
              <w:t>ACT-W-001</w:t>
            </w:r>
          </w:p>
        </w:tc>
        <w:tc>
          <w:tcPr>
            <w:tcW w:type="dxa" w:w="1134"/>
            <w:vAlign w:val="center"/>
          </w:tcPr>
          <w:p>
            <w:pPr>
              <w:spacing w:after="0"/>
            </w:pPr>
            <w:r/>
            <w:r>
              <w:rPr>
                <w:rFonts w:ascii="Aptos" w:hAnsi="Aptos"/>
                <w:b w:val="0"/>
                <w:sz w:val="15"/>
              </w:rPr>
              <w:t>Advertencia</w:t>
            </w:r>
          </w:p>
        </w:tc>
        <w:tc>
          <w:tcPr>
            <w:tcW w:type="dxa" w:w="6236"/>
            <w:vAlign w:val="center"/>
          </w:tcPr>
          <w:p>
            <w:pPr>
              <w:spacing w:after="0"/>
            </w:pPr>
            <w:r/>
            <w:r>
              <w:rPr>
                <w:rFonts w:ascii="Aptos" w:hAnsi="Aptos"/>
                <w:b w:val="0"/>
                <w:sz w:val="15"/>
              </w:rPr>
              <w:t>Dato de viento de confianza C</w:t>
            </w:r>
          </w:p>
        </w:tc>
      </w:tr>
      <w:tr>
        <w:tc>
          <w:tcPr>
            <w:tcW w:type="dxa" w:w="1701"/>
            <w:vAlign w:val="center"/>
            <w:shd w:fill="F2F2F2"/>
          </w:tcPr>
          <w:p>
            <w:pPr>
              <w:spacing w:after="0"/>
            </w:pPr>
            <w:r/>
            <w:r>
              <w:rPr>
                <w:rFonts w:ascii="Aptos" w:hAnsi="Aptos"/>
                <w:b w:val="0"/>
                <w:sz w:val="15"/>
              </w:rPr>
              <w:t>ACT-W-002</w:t>
            </w:r>
          </w:p>
        </w:tc>
        <w:tc>
          <w:tcPr>
            <w:tcW w:type="dxa" w:w="1134"/>
            <w:vAlign w:val="center"/>
            <w:shd w:fill="F2F2F2"/>
          </w:tcPr>
          <w:p>
            <w:pPr>
              <w:spacing w:after="0"/>
            </w:pPr>
            <w:r/>
            <w:r>
              <w:rPr>
                <w:rFonts w:ascii="Aptos" w:hAnsi="Aptos"/>
                <w:b w:val="0"/>
                <w:sz w:val="15"/>
              </w:rPr>
              <w:t>Advertencia</w:t>
            </w:r>
          </w:p>
        </w:tc>
        <w:tc>
          <w:tcPr>
            <w:tcW w:type="dxa" w:w="6236"/>
            <w:vAlign w:val="center"/>
            <w:shd w:fill="F2F2F2"/>
          </w:tcPr>
          <w:p>
            <w:pPr>
              <w:spacing w:after="0"/>
            </w:pPr>
            <w:r/>
            <w:r>
              <w:rPr>
                <w:rFonts w:ascii="Aptos" w:hAnsi="Aptos"/>
                <w:b w:val="0"/>
                <w:sz w:val="15"/>
              </w:rPr>
              <w:t>Terreno seleccionado manualmente</w:t>
            </w:r>
          </w:p>
        </w:tc>
      </w:tr>
      <w:tr>
        <w:tc>
          <w:tcPr>
            <w:tcW w:type="dxa" w:w="1701"/>
            <w:vAlign w:val="center"/>
          </w:tcPr>
          <w:p>
            <w:pPr>
              <w:spacing w:after="0"/>
            </w:pPr>
            <w:r/>
            <w:r>
              <w:rPr>
                <w:rFonts w:ascii="Aptos" w:hAnsi="Aptos"/>
                <w:b w:val="0"/>
                <w:sz w:val="15"/>
              </w:rPr>
              <w:t>ACT-W-003</w:t>
            </w:r>
          </w:p>
        </w:tc>
        <w:tc>
          <w:tcPr>
            <w:tcW w:type="dxa" w:w="1134"/>
            <w:vAlign w:val="center"/>
          </w:tcPr>
          <w:p>
            <w:pPr>
              <w:spacing w:after="0"/>
            </w:pPr>
            <w:r/>
            <w:r>
              <w:rPr>
                <w:rFonts w:ascii="Aptos" w:hAnsi="Aptos"/>
                <w:b w:val="0"/>
                <w:sz w:val="15"/>
              </w:rPr>
              <w:t>Advertencia</w:t>
            </w:r>
          </w:p>
        </w:tc>
        <w:tc>
          <w:tcPr>
            <w:tcW w:type="dxa" w:w="6236"/>
            <w:vAlign w:val="center"/>
          </w:tcPr>
          <w:p>
            <w:pPr>
              <w:spacing w:after="0"/>
            </w:pPr>
            <w:r/>
            <w:r>
              <w:rPr>
                <w:rFonts w:ascii="Aptos" w:hAnsi="Aptos"/>
                <w:b w:val="0"/>
                <w:sz w:val="15"/>
              </w:rPr>
              <w:t>No se ha evaluado hielo en zona potencial</w:t>
            </w:r>
          </w:p>
        </w:tc>
      </w:tr>
      <w:tr>
        <w:tc>
          <w:tcPr>
            <w:tcW w:type="dxa" w:w="1701"/>
            <w:vAlign w:val="center"/>
            <w:shd w:fill="F2F2F2"/>
          </w:tcPr>
          <w:p>
            <w:pPr>
              <w:spacing w:after="0"/>
            </w:pPr>
            <w:r/>
            <w:r>
              <w:rPr>
                <w:rFonts w:ascii="Aptos" w:hAnsi="Aptos"/>
                <w:b w:val="0"/>
                <w:sz w:val="15"/>
              </w:rPr>
              <w:t>ACT-W-004</w:t>
            </w:r>
          </w:p>
        </w:tc>
        <w:tc>
          <w:tcPr>
            <w:tcW w:type="dxa" w:w="1134"/>
            <w:vAlign w:val="center"/>
            <w:shd w:fill="F2F2F2"/>
          </w:tcPr>
          <w:p>
            <w:pPr>
              <w:spacing w:after="0"/>
            </w:pPr>
            <w:r/>
            <w:r>
              <w:rPr>
                <w:rFonts w:ascii="Aptos" w:hAnsi="Aptos"/>
                <w:b w:val="0"/>
                <w:sz w:val="15"/>
              </w:rPr>
              <w:t>Advertencia</w:t>
            </w:r>
          </w:p>
        </w:tc>
        <w:tc>
          <w:tcPr>
            <w:tcW w:type="dxa" w:w="6236"/>
            <w:vAlign w:val="center"/>
            <w:shd w:fill="F2F2F2"/>
          </w:tcPr>
          <w:p>
            <w:pPr>
              <w:spacing w:after="0"/>
            </w:pPr>
            <w:r/>
            <w:r>
              <w:rPr>
                <w:rFonts w:ascii="Aptos" w:hAnsi="Aptos"/>
                <w:b w:val="0"/>
                <w:sz w:val="15"/>
              </w:rPr>
              <w:t>Refinamiento direccional desactivado</w:t>
            </w:r>
          </w:p>
        </w:tc>
      </w:tr>
      <w:tr>
        <w:tc>
          <w:tcPr>
            <w:tcW w:type="dxa" w:w="1701"/>
            <w:vAlign w:val="center"/>
          </w:tcPr>
          <w:p>
            <w:pPr>
              <w:spacing w:after="0"/>
            </w:pPr>
            <w:r/>
            <w:r>
              <w:rPr>
                <w:rFonts w:ascii="Aptos" w:hAnsi="Aptos"/>
                <w:b w:val="0"/>
                <w:sz w:val="15"/>
              </w:rPr>
              <w:t>ACT-I-001</w:t>
            </w:r>
          </w:p>
        </w:tc>
        <w:tc>
          <w:tcPr>
            <w:tcW w:type="dxa" w:w="1134"/>
            <w:vAlign w:val="center"/>
          </w:tcPr>
          <w:p>
            <w:pPr>
              <w:spacing w:after="0"/>
            </w:pPr>
            <w:r/>
            <w:r>
              <w:rPr>
                <w:rFonts w:ascii="Aptos" w:hAnsi="Aptos"/>
                <w:b w:val="0"/>
                <w:sz w:val="15"/>
              </w:rPr>
              <w:t>Información</w:t>
            </w:r>
          </w:p>
        </w:tc>
        <w:tc>
          <w:tcPr>
            <w:tcW w:type="dxa" w:w="6236"/>
            <w:vAlign w:val="center"/>
          </w:tcPr>
          <w:p>
            <w:pPr>
              <w:spacing w:after="0"/>
            </w:pPr>
            <w:r/>
            <w:r>
              <w:rPr>
                <w:rFonts w:ascii="Aptos" w:hAnsi="Aptos"/>
                <w:b w:val="0"/>
                <w:sz w:val="15"/>
              </w:rPr>
              <w:t>Valor automático confirmado sin cambios</w:t>
            </w:r>
          </w:p>
        </w:tc>
      </w:tr>
    </w:tbl>
    <w:p>
      <w:pPr>
        <w:spacing w:after="0"/>
      </w:pPr>
    </w:p>
    <w:p>
      <w:pPr>
        <w:pStyle w:val="Heading2"/>
        <w:spacing w:after="80"/>
      </w:pPr>
      <w:r>
        <w:t>21.1 Sensibilidad</w:t>
      </w:r>
    </w:p>
    <w:p>
      <w:pPr>
        <w:spacing w:after="80"/>
      </w:pPr>
      <w:r>
        <w:t>Para variables críticas se permitirá un análisis de sensibilidad simple: viento ±x %, tensión de cables ±x %, masa ±x %, Cd y categoría de terreno. El resultado no sustituye el cálculo de diseño, pero muestra qué hipótesis dominan y ayuda a priorizar datos.</w:t>
      </w:r>
    </w:p>
    <w:p>
      <w:pPr>
        <w:pStyle w:val="Heading1"/>
        <w:spacing w:after="80"/>
      </w:pPr>
      <w:r>
        <w:t>22. Resultados y contratos de salida</w:t>
      </w:r>
    </w:p>
    <w:p>
      <w:pPr>
        <w:spacing w:after="80"/>
      </w:pPr>
      <w:r>
        <w:t>Cada ejecución generará un paquete inmutable con entradas, reglas, casos, combinaciones, cargas y diagnósticos. El motor estructural consumirá el paquete sin consultar datos mutables externos.</w:t>
      </w:r>
    </w:p>
    <w:tbl>
      <w:tblPr>
        <w:tblStyle w:val="TableGrid"/>
        <w:tblW w:type="auto" w:w="0"/>
        <w:jc w:val="center"/>
        <w:tblLook w:firstColumn="1" w:firstRow="1" w:lastColumn="0" w:lastRow="0" w:noHBand="0" w:noVBand="1" w:val="04A0"/>
      </w:tblPr>
      <w:tblGrid>
        <w:gridCol w:w="5156"/>
        <w:gridCol w:w="5156"/>
      </w:tblGrid>
      <w:tr>
        <w:tc>
          <w:tcPr>
            <w:tcW w:type="dxa" w:w="2268"/>
            <w:vAlign w:val="center"/>
            <w:shd w:fill="111111"/>
          </w:tcPr>
          <w:p>
            <w:pPr>
              <w:spacing w:after="0"/>
            </w:pPr>
            <w:r/>
            <w:r>
              <w:rPr>
                <w:rFonts w:ascii="Aptos" w:hAnsi="Aptos"/>
                <w:b/>
                <w:color w:val="FFFFFF"/>
                <w:sz w:val="15"/>
              </w:rPr>
              <w:t>Salida</w:t>
            </w:r>
          </w:p>
        </w:tc>
        <w:tc>
          <w:tcPr>
            <w:tcW w:type="dxa" w:w="6803"/>
            <w:vAlign w:val="center"/>
            <w:shd w:fill="111111"/>
          </w:tcPr>
          <w:p>
            <w:pPr>
              <w:spacing w:after="0"/>
            </w:pPr>
            <w:r/>
            <w:r>
              <w:rPr>
                <w:rFonts w:ascii="Aptos" w:hAnsi="Aptos"/>
                <w:b/>
                <w:color w:val="FFFFFF"/>
                <w:sz w:val="15"/>
              </w:rPr>
              <w:t>Contenido</w:t>
            </w:r>
          </w:p>
        </w:tc>
      </w:tr>
      <w:tr>
        <w:tc>
          <w:tcPr>
            <w:tcW w:type="dxa" w:w="2268"/>
            <w:vAlign w:val="center"/>
          </w:tcPr>
          <w:p>
            <w:pPr>
              <w:spacing w:after="0"/>
            </w:pPr>
            <w:r/>
            <w:r>
              <w:rPr>
                <w:rFonts w:ascii="Aptos" w:hAnsi="Aptos"/>
                <w:b w:val="0"/>
                <w:sz w:val="15"/>
              </w:rPr>
              <w:t>ActionRunManifest</w:t>
            </w:r>
          </w:p>
        </w:tc>
        <w:tc>
          <w:tcPr>
            <w:tcW w:type="dxa" w:w="6803"/>
            <w:vAlign w:val="center"/>
          </w:tcPr>
          <w:p>
            <w:pPr>
              <w:spacing w:after="0"/>
            </w:pPr>
            <w:r/>
            <w:r>
              <w:rPr>
                <w:rFonts w:ascii="Aptos" w:hAnsi="Aptos"/>
                <w:b w:val="0"/>
                <w:sz w:val="15"/>
              </w:rPr>
              <w:t>IDs, hashes, versiones, fecha, motor y estado</w:t>
            </w:r>
          </w:p>
        </w:tc>
      </w:tr>
      <w:tr>
        <w:tc>
          <w:tcPr>
            <w:tcW w:type="dxa" w:w="2268"/>
            <w:vAlign w:val="center"/>
            <w:shd w:fill="F2F2F2"/>
          </w:tcPr>
          <w:p>
            <w:pPr>
              <w:spacing w:after="0"/>
            </w:pPr>
            <w:r/>
            <w:r>
              <w:rPr>
                <w:rFonts w:ascii="Aptos" w:hAnsi="Aptos"/>
                <w:b w:val="0"/>
                <w:sz w:val="15"/>
              </w:rPr>
              <w:t>LocationSnapshot</w:t>
            </w:r>
          </w:p>
        </w:tc>
        <w:tc>
          <w:tcPr>
            <w:tcW w:type="dxa" w:w="6803"/>
            <w:vAlign w:val="center"/>
            <w:shd w:fill="F2F2F2"/>
          </w:tcPr>
          <w:p>
            <w:pPr>
              <w:spacing w:after="0"/>
            </w:pPr>
            <w:r/>
            <w:r>
              <w:rPr>
                <w:rFonts w:ascii="Aptos" w:hAnsi="Aptos"/>
                <w:b w:val="0"/>
                <w:sz w:val="15"/>
              </w:rPr>
              <w:t>Ubicación y parámetros adoptados</w:t>
            </w:r>
          </w:p>
        </w:tc>
      </w:tr>
      <w:tr>
        <w:tc>
          <w:tcPr>
            <w:tcW w:type="dxa" w:w="2268"/>
            <w:vAlign w:val="center"/>
          </w:tcPr>
          <w:p>
            <w:pPr>
              <w:spacing w:after="0"/>
            </w:pPr>
            <w:r/>
            <w:r>
              <w:rPr>
                <w:rFonts w:ascii="Aptos" w:hAnsi="Aptos"/>
                <w:b w:val="0"/>
                <w:sz w:val="15"/>
              </w:rPr>
              <w:t>ElementaryLoads</w:t>
            </w:r>
          </w:p>
        </w:tc>
        <w:tc>
          <w:tcPr>
            <w:tcW w:type="dxa" w:w="6803"/>
            <w:vAlign w:val="center"/>
          </w:tcPr>
          <w:p>
            <w:pPr>
              <w:spacing w:after="0"/>
            </w:pPr>
            <w:r/>
            <w:r>
              <w:rPr>
                <w:rFonts w:ascii="Aptos" w:hAnsi="Aptos"/>
                <w:b w:val="0"/>
                <w:sz w:val="15"/>
              </w:rPr>
              <w:t>Acciones por componente y dirección</w:t>
            </w:r>
          </w:p>
        </w:tc>
      </w:tr>
      <w:tr>
        <w:tc>
          <w:tcPr>
            <w:tcW w:type="dxa" w:w="2268"/>
            <w:vAlign w:val="center"/>
            <w:shd w:fill="F2F2F2"/>
          </w:tcPr>
          <w:p>
            <w:pPr>
              <w:spacing w:after="0"/>
            </w:pPr>
            <w:r/>
            <w:r>
              <w:rPr>
                <w:rFonts w:ascii="Aptos" w:hAnsi="Aptos"/>
                <w:b w:val="0"/>
                <w:sz w:val="15"/>
              </w:rPr>
              <w:t>LoadCases</w:t>
            </w:r>
          </w:p>
        </w:tc>
        <w:tc>
          <w:tcPr>
            <w:tcW w:type="dxa" w:w="6803"/>
            <w:vAlign w:val="center"/>
            <w:shd w:fill="F2F2F2"/>
          </w:tcPr>
          <w:p>
            <w:pPr>
              <w:spacing w:after="0"/>
            </w:pPr>
            <w:r/>
            <w:r>
              <w:rPr>
                <w:rFonts w:ascii="Aptos" w:hAnsi="Aptos"/>
                <w:b w:val="0"/>
                <w:sz w:val="15"/>
              </w:rPr>
              <w:t>Casos coherentes y estados de componentes</w:t>
            </w:r>
          </w:p>
        </w:tc>
      </w:tr>
      <w:tr>
        <w:tc>
          <w:tcPr>
            <w:tcW w:type="dxa" w:w="2268"/>
            <w:vAlign w:val="center"/>
          </w:tcPr>
          <w:p>
            <w:pPr>
              <w:spacing w:after="0"/>
            </w:pPr>
            <w:r/>
            <w:r>
              <w:rPr>
                <w:rFonts w:ascii="Aptos" w:hAnsi="Aptos"/>
                <w:b w:val="0"/>
                <w:sz w:val="15"/>
              </w:rPr>
              <w:t>Combinations</w:t>
            </w:r>
          </w:p>
        </w:tc>
        <w:tc>
          <w:tcPr>
            <w:tcW w:type="dxa" w:w="6803"/>
            <w:vAlign w:val="center"/>
          </w:tcPr>
          <w:p>
            <w:pPr>
              <w:spacing w:after="0"/>
            </w:pPr>
            <w:r/>
            <w:r>
              <w:rPr>
                <w:rFonts w:ascii="Aptos" w:hAnsi="Aptos"/>
                <w:b w:val="0"/>
                <w:sz w:val="15"/>
              </w:rPr>
              <w:t>Expresiones normalizadas y factores</w:t>
            </w:r>
          </w:p>
        </w:tc>
      </w:tr>
      <w:tr>
        <w:tc>
          <w:tcPr>
            <w:tcW w:type="dxa" w:w="2268"/>
            <w:vAlign w:val="center"/>
            <w:shd w:fill="F2F2F2"/>
          </w:tcPr>
          <w:p>
            <w:pPr>
              <w:spacing w:after="0"/>
            </w:pPr>
            <w:r/>
            <w:r>
              <w:rPr>
                <w:rFonts w:ascii="Aptos" w:hAnsi="Aptos"/>
                <w:b w:val="0"/>
                <w:sz w:val="15"/>
              </w:rPr>
              <w:t>SpatialLoads</w:t>
            </w:r>
          </w:p>
        </w:tc>
        <w:tc>
          <w:tcPr>
            <w:tcW w:type="dxa" w:w="6803"/>
            <w:vAlign w:val="center"/>
            <w:shd w:fill="F2F2F2"/>
          </w:tcPr>
          <w:p>
            <w:pPr>
              <w:spacing w:after="0"/>
            </w:pPr>
            <w:r/>
            <w:r>
              <w:rPr>
                <w:rFonts w:ascii="Aptos" w:hAnsi="Aptos"/>
                <w:b w:val="0"/>
                <w:sz w:val="15"/>
              </w:rPr>
              <w:t>Vectores/cargas distribuidas/masas</w:t>
            </w:r>
          </w:p>
        </w:tc>
      </w:tr>
      <w:tr>
        <w:tc>
          <w:tcPr>
            <w:tcW w:type="dxa" w:w="2268"/>
            <w:vAlign w:val="center"/>
          </w:tcPr>
          <w:p>
            <w:pPr>
              <w:spacing w:after="0"/>
            </w:pPr>
            <w:r/>
            <w:r>
              <w:rPr>
                <w:rFonts w:ascii="Aptos" w:hAnsi="Aptos"/>
                <w:b w:val="0"/>
                <w:sz w:val="15"/>
              </w:rPr>
              <w:t>EnvelopesIndex</w:t>
            </w:r>
          </w:p>
        </w:tc>
        <w:tc>
          <w:tcPr>
            <w:tcW w:type="dxa" w:w="6803"/>
            <w:vAlign w:val="center"/>
          </w:tcPr>
          <w:p>
            <w:pPr>
              <w:spacing w:after="0"/>
            </w:pPr>
            <w:r/>
            <w:r>
              <w:rPr>
                <w:rFonts w:ascii="Aptos" w:hAnsi="Aptos"/>
                <w:b w:val="0"/>
                <w:sz w:val="15"/>
              </w:rPr>
              <w:t>Magnitudes y casos candidatos; envolvente final tras análisis</w:t>
            </w:r>
          </w:p>
        </w:tc>
      </w:tr>
      <w:tr>
        <w:tc>
          <w:tcPr>
            <w:tcW w:type="dxa" w:w="2268"/>
            <w:vAlign w:val="center"/>
            <w:shd w:fill="F2F2F2"/>
          </w:tcPr>
          <w:p>
            <w:pPr>
              <w:spacing w:after="0"/>
            </w:pPr>
            <w:r/>
            <w:r>
              <w:rPr>
                <w:rFonts w:ascii="Aptos" w:hAnsi="Aptos"/>
                <w:b w:val="0"/>
                <w:sz w:val="15"/>
              </w:rPr>
              <w:t>Diagnostics</w:t>
            </w:r>
          </w:p>
        </w:tc>
        <w:tc>
          <w:tcPr>
            <w:tcW w:type="dxa" w:w="6803"/>
            <w:vAlign w:val="center"/>
            <w:shd w:fill="F2F2F2"/>
          </w:tcPr>
          <w:p>
            <w:pPr>
              <w:spacing w:after="0"/>
            </w:pPr>
            <w:r/>
            <w:r>
              <w:rPr>
                <w:rFonts w:ascii="Aptos" w:hAnsi="Aptos"/>
                <w:b w:val="0"/>
                <w:sz w:val="15"/>
              </w:rPr>
              <w:t>Errores, advertencias, aceptaciones y calidad</w:t>
            </w:r>
          </w:p>
        </w:tc>
      </w:tr>
      <w:tr>
        <w:tc>
          <w:tcPr>
            <w:tcW w:type="dxa" w:w="2268"/>
            <w:vAlign w:val="center"/>
          </w:tcPr>
          <w:p>
            <w:pPr>
              <w:spacing w:after="0"/>
            </w:pPr>
            <w:r/>
            <w:r>
              <w:rPr>
                <w:rFonts w:ascii="Aptos" w:hAnsi="Aptos"/>
                <w:b w:val="0"/>
                <w:sz w:val="15"/>
              </w:rPr>
              <w:t>HumanSummary</w:t>
            </w:r>
          </w:p>
        </w:tc>
        <w:tc>
          <w:tcPr>
            <w:tcW w:type="dxa" w:w="6803"/>
            <w:vAlign w:val="center"/>
          </w:tcPr>
          <w:p>
            <w:pPr>
              <w:spacing w:after="0"/>
            </w:pPr>
            <w:r/>
            <w:r>
              <w:rPr>
                <w:rFonts w:ascii="Aptos" w:hAnsi="Aptos"/>
                <w:b w:val="0"/>
                <w:sz w:val="15"/>
              </w:rPr>
              <w:t>Tabla de hipótesis y cargas para interfaz/informe</w:t>
            </w:r>
          </w:p>
        </w:tc>
      </w:tr>
    </w:tbl>
    <w:p>
      <w:pPr>
        <w:spacing w:after="0"/>
      </w:pPr>
    </w:p>
    <w:p>
      <w:pPr>
        <w:pStyle w:val="Heading1"/>
        <w:spacing w:after="80"/>
      </w:pPr>
      <w:r>
        <w:t>23. Modelo de datos</w:t>
      </w:r>
    </w:p>
    <w:p>
      <w:pPr>
        <w:spacing w:after="80"/>
      </w:pPr>
      <w:r>
        <w:t>Entidades principales: Location, GeoSource, GeoParameter, NormativeActionRule, ExposureProfile, WindSector, AerodynamicProperty, ActionComponent, CableAction, LoadCase, CombinationTemplate, CombinationInstance, SpatialLoad, MassItem, ActionRun, ActionDiagnostic y UserOverride.</w:t>
      </w:r>
    </w:p>
    <w:tbl>
      <w:tblPr>
        <w:tblStyle w:val="TableGrid"/>
        <w:tblW w:type="auto" w:w="0"/>
        <w:jc w:val="center"/>
        <w:tblLook w:firstColumn="1" w:firstRow="1" w:lastColumn="0" w:lastRow="0" w:noHBand="0" w:noVBand="1" w:val="04A0"/>
      </w:tblPr>
      <w:tblGrid>
        <w:gridCol w:w="5156"/>
        <w:gridCol w:w="5156"/>
      </w:tblGrid>
      <w:tr>
        <w:tc>
          <w:tcPr>
            <w:tcW w:type="dxa" w:w="1984"/>
            <w:vAlign w:val="center"/>
            <w:shd w:fill="111111"/>
          </w:tcPr>
          <w:p>
            <w:pPr>
              <w:spacing w:after="0"/>
            </w:pPr>
            <w:r/>
            <w:r>
              <w:rPr>
                <w:rFonts w:ascii="Aptos" w:hAnsi="Aptos"/>
                <w:b/>
                <w:color w:val="FFFFFF"/>
                <w:sz w:val="15"/>
              </w:rPr>
              <w:t>Entidad</w:t>
            </w:r>
          </w:p>
        </w:tc>
        <w:tc>
          <w:tcPr>
            <w:tcW w:type="dxa" w:w="7087"/>
            <w:vAlign w:val="center"/>
            <w:shd w:fill="111111"/>
          </w:tcPr>
          <w:p>
            <w:pPr>
              <w:spacing w:after="0"/>
            </w:pPr>
            <w:r/>
            <w:r>
              <w:rPr>
                <w:rFonts w:ascii="Aptos" w:hAnsi="Aptos"/>
                <w:b/>
                <w:color w:val="FFFFFF"/>
                <w:sz w:val="15"/>
              </w:rPr>
              <w:t>Campos clave</w:t>
            </w:r>
          </w:p>
        </w:tc>
      </w:tr>
      <w:tr>
        <w:tc>
          <w:tcPr>
            <w:tcW w:type="dxa" w:w="1984"/>
            <w:vAlign w:val="center"/>
          </w:tcPr>
          <w:p>
            <w:pPr>
              <w:spacing w:after="0"/>
            </w:pPr>
            <w:r/>
            <w:r>
              <w:rPr>
                <w:rFonts w:ascii="Aptos" w:hAnsi="Aptos"/>
                <w:b w:val="0"/>
                <w:sz w:val="15"/>
              </w:rPr>
              <w:t>Location</w:t>
            </w:r>
          </w:p>
        </w:tc>
        <w:tc>
          <w:tcPr>
            <w:tcW w:type="dxa" w:w="7087"/>
            <w:vAlign w:val="center"/>
          </w:tcPr>
          <w:p>
            <w:pPr>
              <w:spacing w:after="0"/>
            </w:pPr>
            <w:r/>
            <w:r>
              <w:rPr>
                <w:rFonts w:ascii="Aptos" w:hAnsi="Aptos"/>
                <w:b w:val="0"/>
                <w:sz w:val="15"/>
              </w:rPr>
              <w:t>id, coordinates, CRS, jurisdiction, altitude, environment</w:t>
            </w:r>
          </w:p>
        </w:tc>
      </w:tr>
      <w:tr>
        <w:tc>
          <w:tcPr>
            <w:tcW w:type="dxa" w:w="1984"/>
            <w:vAlign w:val="center"/>
            <w:shd w:fill="F2F2F2"/>
          </w:tcPr>
          <w:p>
            <w:pPr>
              <w:spacing w:after="0"/>
            </w:pPr>
            <w:r/>
            <w:r>
              <w:rPr>
                <w:rFonts w:ascii="Aptos" w:hAnsi="Aptos"/>
                <w:b w:val="0"/>
                <w:sz w:val="15"/>
              </w:rPr>
              <w:t>GeoParameter</w:t>
            </w:r>
          </w:p>
        </w:tc>
        <w:tc>
          <w:tcPr>
            <w:tcW w:type="dxa" w:w="7087"/>
            <w:vAlign w:val="center"/>
            <w:shd w:fill="F2F2F2"/>
          </w:tcPr>
          <w:p>
            <w:pPr>
              <w:spacing w:after="0"/>
            </w:pPr>
            <w:r/>
            <w:r>
              <w:rPr>
                <w:rFonts w:ascii="Aptos" w:hAnsi="Aptos"/>
                <w:b w:val="0"/>
                <w:sz w:val="15"/>
              </w:rPr>
              <w:t>type, value, unit, source, confidence, state, override</w:t>
            </w:r>
          </w:p>
        </w:tc>
      </w:tr>
      <w:tr>
        <w:tc>
          <w:tcPr>
            <w:tcW w:type="dxa" w:w="1984"/>
            <w:vAlign w:val="center"/>
          </w:tcPr>
          <w:p>
            <w:pPr>
              <w:spacing w:after="0"/>
            </w:pPr>
            <w:r/>
            <w:r>
              <w:rPr>
                <w:rFonts w:ascii="Aptos" w:hAnsi="Aptos"/>
                <w:b w:val="0"/>
                <w:sz w:val="15"/>
              </w:rPr>
              <w:t>AerodynamicProperty</w:t>
            </w:r>
          </w:p>
        </w:tc>
        <w:tc>
          <w:tcPr>
            <w:tcW w:type="dxa" w:w="7087"/>
            <w:vAlign w:val="center"/>
          </w:tcPr>
          <w:p>
            <w:pPr>
              <w:spacing w:after="0"/>
            </w:pPr>
            <w:r/>
            <w:r>
              <w:rPr>
                <w:rFonts w:ascii="Aptos" w:hAnsi="Aptos"/>
                <w:b w:val="0"/>
                <w:sz w:val="15"/>
              </w:rPr>
              <w:t>component_id, orientation, area, Cd, method, validity</w:t>
            </w:r>
          </w:p>
        </w:tc>
      </w:tr>
      <w:tr>
        <w:tc>
          <w:tcPr>
            <w:tcW w:type="dxa" w:w="1984"/>
            <w:vAlign w:val="center"/>
            <w:shd w:fill="F2F2F2"/>
          </w:tcPr>
          <w:p>
            <w:pPr>
              <w:spacing w:after="0"/>
            </w:pPr>
            <w:r/>
            <w:r>
              <w:rPr>
                <w:rFonts w:ascii="Aptos" w:hAnsi="Aptos"/>
                <w:b w:val="0"/>
                <w:sz w:val="15"/>
              </w:rPr>
              <w:t>ActionComponent</w:t>
            </w:r>
          </w:p>
        </w:tc>
        <w:tc>
          <w:tcPr>
            <w:tcW w:type="dxa" w:w="7087"/>
            <w:vAlign w:val="center"/>
            <w:shd w:fill="F2F2F2"/>
          </w:tcPr>
          <w:p>
            <w:pPr>
              <w:spacing w:after="0"/>
            </w:pPr>
            <w:r/>
            <w:r>
              <w:rPr>
                <w:rFonts w:ascii="Aptos" w:hAnsi="Aptos"/>
                <w:b w:val="0"/>
                <w:sz w:val="15"/>
              </w:rPr>
              <w:t>action_type, characteristic_value, distribution, source</w:t>
            </w:r>
          </w:p>
        </w:tc>
      </w:tr>
      <w:tr>
        <w:tc>
          <w:tcPr>
            <w:tcW w:type="dxa" w:w="1984"/>
            <w:vAlign w:val="center"/>
          </w:tcPr>
          <w:p>
            <w:pPr>
              <w:spacing w:after="0"/>
            </w:pPr>
            <w:r/>
            <w:r>
              <w:rPr>
                <w:rFonts w:ascii="Aptos" w:hAnsi="Aptos"/>
                <w:b w:val="0"/>
                <w:sz w:val="15"/>
              </w:rPr>
              <w:t>CableAction</w:t>
            </w:r>
          </w:p>
        </w:tc>
        <w:tc>
          <w:tcPr>
            <w:tcW w:type="dxa" w:w="7087"/>
            <w:vAlign w:val="center"/>
          </w:tcPr>
          <w:p>
            <w:pPr>
              <w:spacing w:after="0"/>
            </w:pPr>
            <w:r/>
            <w:r>
              <w:rPr>
                <w:rFonts w:ascii="Aptos" w:hAnsi="Aptos"/>
                <w:b w:val="0"/>
                <w:sz w:val="15"/>
              </w:rPr>
              <w:t>anchor, tension, azimuth, elevation, state, uncertainty</w:t>
            </w:r>
          </w:p>
        </w:tc>
      </w:tr>
      <w:tr>
        <w:tc>
          <w:tcPr>
            <w:tcW w:type="dxa" w:w="1984"/>
            <w:vAlign w:val="center"/>
            <w:shd w:fill="F2F2F2"/>
          </w:tcPr>
          <w:p>
            <w:pPr>
              <w:spacing w:after="0"/>
            </w:pPr>
            <w:r/>
            <w:r>
              <w:rPr>
                <w:rFonts w:ascii="Aptos" w:hAnsi="Aptos"/>
                <w:b w:val="0"/>
                <w:sz w:val="15"/>
              </w:rPr>
              <w:t>LoadCase</w:t>
            </w:r>
          </w:p>
        </w:tc>
        <w:tc>
          <w:tcPr>
            <w:tcW w:type="dxa" w:w="7087"/>
            <w:vAlign w:val="center"/>
            <w:shd w:fill="F2F2F2"/>
          </w:tcPr>
          <w:p>
            <w:pPr>
              <w:spacing w:after="0"/>
            </w:pPr>
            <w:r/>
            <w:r>
              <w:rPr>
                <w:rFonts w:ascii="Aptos" w:hAnsi="Aptos"/>
                <w:b w:val="0"/>
                <w:sz w:val="15"/>
              </w:rPr>
              <w:t>code, direction, active actions, component states</w:t>
            </w:r>
          </w:p>
        </w:tc>
      </w:tr>
      <w:tr>
        <w:tc>
          <w:tcPr>
            <w:tcW w:type="dxa" w:w="1984"/>
            <w:vAlign w:val="center"/>
          </w:tcPr>
          <w:p>
            <w:pPr>
              <w:spacing w:after="0"/>
            </w:pPr>
            <w:r/>
            <w:r>
              <w:rPr>
                <w:rFonts w:ascii="Aptos" w:hAnsi="Aptos"/>
                <w:b w:val="0"/>
                <w:sz w:val="15"/>
              </w:rPr>
              <w:t>CombinationTemplate</w:t>
            </w:r>
          </w:p>
        </w:tc>
        <w:tc>
          <w:tcPr>
            <w:tcW w:type="dxa" w:w="7087"/>
            <w:vAlign w:val="center"/>
          </w:tcPr>
          <w:p>
            <w:pPr>
              <w:spacing w:after="0"/>
            </w:pPr>
            <w:r/>
            <w:r>
              <w:rPr>
                <w:rFonts w:ascii="Aptos" w:hAnsi="Aptos"/>
                <w:b w:val="0"/>
                <w:sz w:val="15"/>
              </w:rPr>
              <w:t>edition, formula graph, factors, exclusions</w:t>
            </w:r>
          </w:p>
        </w:tc>
      </w:tr>
      <w:tr>
        <w:tc>
          <w:tcPr>
            <w:tcW w:type="dxa" w:w="1984"/>
            <w:vAlign w:val="center"/>
            <w:shd w:fill="F2F2F2"/>
          </w:tcPr>
          <w:p>
            <w:pPr>
              <w:spacing w:after="0"/>
            </w:pPr>
            <w:r/>
            <w:r>
              <w:rPr>
                <w:rFonts w:ascii="Aptos" w:hAnsi="Aptos"/>
                <w:b w:val="0"/>
                <w:sz w:val="15"/>
              </w:rPr>
              <w:t>CombinationInstance</w:t>
            </w:r>
          </w:p>
        </w:tc>
        <w:tc>
          <w:tcPr>
            <w:tcW w:type="dxa" w:w="7087"/>
            <w:vAlign w:val="center"/>
            <w:shd w:fill="F2F2F2"/>
          </w:tcPr>
          <w:p>
            <w:pPr>
              <w:spacing w:after="0"/>
            </w:pPr>
            <w:r/>
            <w:r>
              <w:rPr>
                <w:rFonts w:ascii="Aptos" w:hAnsi="Aptos"/>
                <w:b w:val="0"/>
                <w:sz w:val="15"/>
              </w:rPr>
              <w:t>template, leading action, normalized terms, hash</w:t>
            </w:r>
          </w:p>
        </w:tc>
      </w:tr>
      <w:tr>
        <w:tc>
          <w:tcPr>
            <w:tcW w:type="dxa" w:w="1984"/>
            <w:vAlign w:val="center"/>
          </w:tcPr>
          <w:p>
            <w:pPr>
              <w:spacing w:after="0"/>
            </w:pPr>
            <w:r/>
            <w:r>
              <w:rPr>
                <w:rFonts w:ascii="Aptos" w:hAnsi="Aptos"/>
                <w:b w:val="0"/>
                <w:sz w:val="15"/>
              </w:rPr>
              <w:t>SpatialLoad</w:t>
            </w:r>
          </w:p>
        </w:tc>
        <w:tc>
          <w:tcPr>
            <w:tcW w:type="dxa" w:w="7087"/>
            <w:vAlign w:val="center"/>
          </w:tcPr>
          <w:p>
            <w:pPr>
              <w:spacing w:after="0"/>
            </w:pPr>
            <w:r/>
            <w:r>
              <w:rPr>
                <w:rFonts w:ascii="Aptos" w:hAnsi="Aptos"/>
                <w:b w:val="0"/>
                <w:sz w:val="15"/>
              </w:rPr>
              <w:t>target, coordinate system, vector/law, provenance</w:t>
            </w:r>
          </w:p>
        </w:tc>
      </w:tr>
      <w:tr>
        <w:tc>
          <w:tcPr>
            <w:tcW w:type="dxa" w:w="1984"/>
            <w:vAlign w:val="center"/>
            <w:shd w:fill="F2F2F2"/>
          </w:tcPr>
          <w:p>
            <w:pPr>
              <w:spacing w:after="0"/>
            </w:pPr>
            <w:r/>
            <w:r>
              <w:rPr>
                <w:rFonts w:ascii="Aptos" w:hAnsi="Aptos"/>
                <w:b w:val="0"/>
                <w:sz w:val="15"/>
              </w:rPr>
              <w:t>ActionRun</w:t>
            </w:r>
          </w:p>
        </w:tc>
        <w:tc>
          <w:tcPr>
            <w:tcW w:type="dxa" w:w="7087"/>
            <w:vAlign w:val="center"/>
            <w:shd w:fill="F2F2F2"/>
          </w:tcPr>
          <w:p>
            <w:pPr>
              <w:spacing w:after="0"/>
            </w:pPr>
            <w:r/>
            <w:r>
              <w:rPr>
                <w:rFonts w:ascii="Aptos" w:hAnsi="Aptos"/>
                <w:b w:val="0"/>
                <w:sz w:val="15"/>
              </w:rPr>
              <w:t>snapshot_hash, engine_version, status, outputs_hash</w:t>
            </w:r>
          </w:p>
        </w:tc>
      </w:tr>
    </w:tbl>
    <w:p>
      <w:pPr>
        <w:spacing w:after="0"/>
      </w:pPr>
    </w:p>
    <w:p>
      <w:pPr>
        <w:pStyle w:val="Heading2"/>
        <w:spacing w:after="80"/>
      </w:pPr>
      <w:r>
        <w:t>23.1 Inmutabilidad</w:t>
      </w:r>
    </w:p>
    <w:p>
      <w:pPr>
        <w:pStyle w:val="Requirement"/>
      </w:pPr>
      <w:r>
        <w:rPr>
          <w:b/>
        </w:rPr>
        <w:t xml:space="preserve">DAT-301 [MUST] </w:t>
      </w:r>
      <w:r>
        <w:t>Las ejecuciones publicadas no se editarán. Un cambio de entrada crea una nueva ejecución.</w:t>
      </w:r>
    </w:p>
    <w:p>
      <w:pPr>
        <w:pStyle w:val="Requirement"/>
      </w:pPr>
      <w:r>
        <w:rPr>
          <w:b/>
        </w:rPr>
        <w:t xml:space="preserve">DAT-302 [MUST] </w:t>
      </w:r>
      <w:r>
        <w:t>Los overrides se almacenarán como objetos separados con motivo, autor, fecha y evidencia.</w:t>
      </w:r>
    </w:p>
    <w:p>
      <w:pPr>
        <w:pStyle w:val="Requirement"/>
      </w:pPr>
      <w:r>
        <w:rPr>
          <w:b/>
        </w:rPr>
        <w:t xml:space="preserve">DAT-303 [MUST] </w:t>
      </w:r>
      <w:r>
        <w:t>Las bibliotecas referenciadas se resolverán a versiones exactas y se copiarán al manifest de ejecución.</w:t>
      </w:r>
    </w:p>
    <w:p>
      <w:pPr>
        <w:pStyle w:val="Heading1"/>
        <w:spacing w:after="80"/>
      </w:pPr>
      <w:r>
        <w:t>24. Backend y servicios</w:t>
      </w:r>
    </w:p>
    <w:p>
      <w:pPr>
        <w:spacing w:after="80"/>
      </w:pPr>
      <w:r>
        <w:t>La Fase 3 se implementará como módulo de dominio dentro del monolito modular, con trabajadores asíncronos para geodatos, barridos y generación de combinaciones. Los servicios podrán separarse posteriormente sin cambiar contratos.</w:t>
      </w:r>
    </w:p>
    <w:tbl>
      <w:tblPr>
        <w:tblStyle w:val="TableGrid"/>
        <w:tblW w:type="auto" w:w="0"/>
        <w:jc w:val="center"/>
        <w:tblLook w:firstColumn="1" w:firstRow="1" w:lastColumn="0" w:lastRow="0" w:noHBand="0" w:noVBand="1" w:val="04A0"/>
      </w:tblPr>
      <w:tblGrid>
        <w:gridCol w:w="5156"/>
        <w:gridCol w:w="5156"/>
      </w:tblGrid>
      <w:tr>
        <w:tc>
          <w:tcPr>
            <w:tcW w:type="dxa" w:w="2551"/>
            <w:vAlign w:val="center"/>
            <w:shd w:fill="111111"/>
          </w:tcPr>
          <w:p>
            <w:pPr>
              <w:spacing w:after="0"/>
            </w:pPr>
            <w:r/>
            <w:r>
              <w:rPr>
                <w:rFonts w:ascii="Aptos" w:hAnsi="Aptos"/>
                <w:b/>
                <w:color w:val="FFFFFF"/>
                <w:sz w:val="15"/>
              </w:rPr>
              <w:t>Servicio</w:t>
            </w:r>
          </w:p>
        </w:tc>
        <w:tc>
          <w:tcPr>
            <w:tcW w:type="dxa" w:w="6520"/>
            <w:vAlign w:val="center"/>
            <w:shd w:fill="111111"/>
          </w:tcPr>
          <w:p>
            <w:pPr>
              <w:spacing w:after="0"/>
            </w:pPr>
            <w:r/>
            <w:r>
              <w:rPr>
                <w:rFonts w:ascii="Aptos" w:hAnsi="Aptos"/>
                <w:b/>
                <w:color w:val="FFFFFF"/>
                <w:sz w:val="15"/>
              </w:rPr>
              <w:t>Responsabilidad</w:t>
            </w:r>
          </w:p>
        </w:tc>
      </w:tr>
      <w:tr>
        <w:tc>
          <w:tcPr>
            <w:tcW w:type="dxa" w:w="2551"/>
            <w:vAlign w:val="center"/>
          </w:tcPr>
          <w:p>
            <w:pPr>
              <w:spacing w:after="0"/>
            </w:pPr>
            <w:r/>
            <w:r>
              <w:rPr>
                <w:rFonts w:ascii="Aptos" w:hAnsi="Aptos"/>
                <w:b w:val="0"/>
                <w:sz w:val="15"/>
              </w:rPr>
              <w:t>location-service</w:t>
            </w:r>
          </w:p>
        </w:tc>
        <w:tc>
          <w:tcPr>
            <w:tcW w:type="dxa" w:w="6520"/>
            <w:vAlign w:val="center"/>
          </w:tcPr>
          <w:p>
            <w:pPr>
              <w:spacing w:after="0"/>
            </w:pPr>
            <w:r/>
            <w:r>
              <w:rPr>
                <w:rFonts w:ascii="Aptos" w:hAnsi="Aptos"/>
                <w:b w:val="0"/>
                <w:sz w:val="15"/>
              </w:rPr>
              <w:t>Geocodificación, jurisdicción, altitud y capas</w:t>
            </w:r>
          </w:p>
        </w:tc>
      </w:tr>
      <w:tr>
        <w:tc>
          <w:tcPr>
            <w:tcW w:type="dxa" w:w="2551"/>
            <w:vAlign w:val="center"/>
            <w:shd w:fill="F2F2F2"/>
          </w:tcPr>
          <w:p>
            <w:pPr>
              <w:spacing w:after="0"/>
            </w:pPr>
            <w:r/>
            <w:r>
              <w:rPr>
                <w:rFonts w:ascii="Aptos" w:hAnsi="Aptos"/>
                <w:b w:val="0"/>
                <w:sz w:val="15"/>
              </w:rPr>
              <w:t>normative-resolver</w:t>
            </w:r>
          </w:p>
        </w:tc>
        <w:tc>
          <w:tcPr>
            <w:tcW w:type="dxa" w:w="6520"/>
            <w:vAlign w:val="center"/>
            <w:shd w:fill="F2F2F2"/>
          </w:tcPr>
          <w:p>
            <w:pPr>
              <w:spacing w:after="0"/>
            </w:pPr>
            <w:r/>
            <w:r>
              <w:rPr>
                <w:rFonts w:ascii="Aptos" w:hAnsi="Aptos"/>
                <w:b w:val="0"/>
                <w:sz w:val="15"/>
              </w:rPr>
              <w:t>Seleccionar biblioteca/anexo y parámetros</w:t>
            </w:r>
          </w:p>
        </w:tc>
      </w:tr>
      <w:tr>
        <w:tc>
          <w:tcPr>
            <w:tcW w:type="dxa" w:w="2551"/>
            <w:vAlign w:val="center"/>
          </w:tcPr>
          <w:p>
            <w:pPr>
              <w:spacing w:after="0"/>
            </w:pPr>
            <w:r/>
            <w:r>
              <w:rPr>
                <w:rFonts w:ascii="Aptos" w:hAnsi="Aptos"/>
                <w:b w:val="0"/>
                <w:sz w:val="15"/>
              </w:rPr>
              <w:t>wind-action-service</w:t>
            </w:r>
          </w:p>
        </w:tc>
        <w:tc>
          <w:tcPr>
            <w:tcW w:type="dxa" w:w="6520"/>
            <w:vAlign w:val="center"/>
          </w:tcPr>
          <w:p>
            <w:pPr>
              <w:spacing w:after="0"/>
            </w:pPr>
            <w:r/>
            <w:r>
              <w:rPr>
                <w:rFonts w:ascii="Aptos" w:hAnsi="Aptos"/>
                <w:b w:val="0"/>
                <w:sz w:val="15"/>
              </w:rPr>
              <w:t>Presión, áreas, Cd, cargas por dirección</w:t>
            </w:r>
          </w:p>
        </w:tc>
      </w:tr>
      <w:tr>
        <w:tc>
          <w:tcPr>
            <w:tcW w:type="dxa" w:w="2551"/>
            <w:vAlign w:val="center"/>
            <w:shd w:fill="F2F2F2"/>
          </w:tcPr>
          <w:p>
            <w:pPr>
              <w:spacing w:after="0"/>
            </w:pPr>
            <w:r/>
            <w:r>
              <w:rPr>
                <w:rFonts w:ascii="Aptos" w:hAnsi="Aptos"/>
                <w:b w:val="0"/>
                <w:sz w:val="15"/>
              </w:rPr>
              <w:t>gravity-action-service</w:t>
            </w:r>
          </w:p>
        </w:tc>
        <w:tc>
          <w:tcPr>
            <w:tcW w:type="dxa" w:w="6520"/>
            <w:vAlign w:val="center"/>
            <w:shd w:fill="F2F2F2"/>
          </w:tcPr>
          <w:p>
            <w:pPr>
              <w:spacing w:after="0"/>
            </w:pPr>
            <w:r/>
            <w:r>
              <w:rPr>
                <w:rFonts w:ascii="Aptos" w:hAnsi="Aptos"/>
                <w:b w:val="0"/>
                <w:sz w:val="15"/>
              </w:rPr>
              <w:t>Peso propio y masas</w:t>
            </w:r>
          </w:p>
        </w:tc>
      </w:tr>
      <w:tr>
        <w:tc>
          <w:tcPr>
            <w:tcW w:type="dxa" w:w="2551"/>
            <w:vAlign w:val="center"/>
          </w:tcPr>
          <w:p>
            <w:pPr>
              <w:spacing w:after="0"/>
            </w:pPr>
            <w:r/>
            <w:r>
              <w:rPr>
                <w:rFonts w:ascii="Aptos" w:hAnsi="Aptos"/>
                <w:b w:val="0"/>
                <w:sz w:val="15"/>
              </w:rPr>
              <w:t>cable-action-service</w:t>
            </w:r>
          </w:p>
        </w:tc>
        <w:tc>
          <w:tcPr>
            <w:tcW w:type="dxa" w:w="6520"/>
            <w:vAlign w:val="center"/>
          </w:tcPr>
          <w:p>
            <w:pPr>
              <w:spacing w:after="0"/>
            </w:pPr>
            <w:r/>
            <w:r>
              <w:rPr>
                <w:rFonts w:ascii="Aptos" w:hAnsi="Aptos"/>
                <w:b w:val="0"/>
                <w:sz w:val="15"/>
              </w:rPr>
              <w:t>Vectores y estados de cables</w:t>
            </w:r>
          </w:p>
        </w:tc>
      </w:tr>
      <w:tr>
        <w:tc>
          <w:tcPr>
            <w:tcW w:type="dxa" w:w="2551"/>
            <w:vAlign w:val="center"/>
            <w:shd w:fill="F2F2F2"/>
          </w:tcPr>
          <w:p>
            <w:pPr>
              <w:spacing w:after="0"/>
            </w:pPr>
            <w:r/>
            <w:r>
              <w:rPr>
                <w:rFonts w:ascii="Aptos" w:hAnsi="Aptos"/>
                <w:b w:val="0"/>
                <w:sz w:val="15"/>
              </w:rPr>
              <w:t>climate-action-service</w:t>
            </w:r>
          </w:p>
        </w:tc>
        <w:tc>
          <w:tcPr>
            <w:tcW w:type="dxa" w:w="6520"/>
            <w:vAlign w:val="center"/>
            <w:shd w:fill="F2F2F2"/>
          </w:tcPr>
          <w:p>
            <w:pPr>
              <w:spacing w:after="0"/>
            </w:pPr>
            <w:r/>
            <w:r>
              <w:rPr>
                <w:rFonts w:ascii="Aptos" w:hAnsi="Aptos"/>
                <w:b w:val="0"/>
                <w:sz w:val="15"/>
              </w:rPr>
              <w:t>Nieve, hielo y temperatura</w:t>
            </w:r>
          </w:p>
        </w:tc>
      </w:tr>
      <w:tr>
        <w:tc>
          <w:tcPr>
            <w:tcW w:type="dxa" w:w="2551"/>
            <w:vAlign w:val="center"/>
          </w:tcPr>
          <w:p>
            <w:pPr>
              <w:spacing w:after="0"/>
            </w:pPr>
            <w:r/>
            <w:r>
              <w:rPr>
                <w:rFonts w:ascii="Aptos" w:hAnsi="Aptos"/>
                <w:b w:val="0"/>
                <w:sz w:val="15"/>
              </w:rPr>
              <w:t>seismic-input-service</w:t>
            </w:r>
          </w:p>
        </w:tc>
        <w:tc>
          <w:tcPr>
            <w:tcW w:type="dxa" w:w="6520"/>
            <w:vAlign w:val="center"/>
          </w:tcPr>
          <w:p>
            <w:pPr>
              <w:spacing w:after="0"/>
            </w:pPr>
            <w:r/>
            <w:r>
              <w:rPr>
                <w:rFonts w:ascii="Aptos" w:hAnsi="Aptos"/>
                <w:b w:val="0"/>
                <w:sz w:val="15"/>
              </w:rPr>
              <w:t>Parámetros sísmicos, espectros y masas</w:t>
            </w:r>
          </w:p>
        </w:tc>
      </w:tr>
      <w:tr>
        <w:tc>
          <w:tcPr>
            <w:tcW w:type="dxa" w:w="2551"/>
            <w:vAlign w:val="center"/>
            <w:shd w:fill="F2F2F2"/>
          </w:tcPr>
          <w:p>
            <w:pPr>
              <w:spacing w:after="0"/>
            </w:pPr>
            <w:r/>
            <w:r>
              <w:rPr>
                <w:rFonts w:ascii="Aptos" w:hAnsi="Aptos"/>
                <w:b w:val="0"/>
                <w:sz w:val="15"/>
              </w:rPr>
              <w:t>combination-service</w:t>
            </w:r>
          </w:p>
        </w:tc>
        <w:tc>
          <w:tcPr>
            <w:tcW w:type="dxa" w:w="6520"/>
            <w:vAlign w:val="center"/>
            <w:shd w:fill="F2F2F2"/>
          </w:tcPr>
          <w:p>
            <w:pPr>
              <w:spacing w:after="0"/>
            </w:pPr>
            <w:r/>
            <w:r>
              <w:rPr>
                <w:rFonts w:ascii="Aptos" w:hAnsi="Aptos"/>
                <w:b w:val="0"/>
                <w:sz w:val="15"/>
              </w:rPr>
              <w:t>Casos, plantillas, exclusiones y hashes</w:t>
            </w:r>
          </w:p>
        </w:tc>
      </w:tr>
      <w:tr>
        <w:tc>
          <w:tcPr>
            <w:tcW w:type="dxa" w:w="2551"/>
            <w:vAlign w:val="center"/>
          </w:tcPr>
          <w:p>
            <w:pPr>
              <w:spacing w:after="0"/>
            </w:pPr>
            <w:r/>
            <w:r>
              <w:rPr>
                <w:rFonts w:ascii="Aptos" w:hAnsi="Aptos"/>
                <w:b w:val="0"/>
                <w:sz w:val="15"/>
              </w:rPr>
              <w:t>spatial-load-mapper</w:t>
            </w:r>
          </w:p>
        </w:tc>
        <w:tc>
          <w:tcPr>
            <w:tcW w:type="dxa" w:w="6520"/>
            <w:vAlign w:val="center"/>
          </w:tcPr>
          <w:p>
            <w:pPr>
              <w:spacing w:after="0"/>
            </w:pPr>
            <w:r/>
            <w:r>
              <w:rPr>
                <w:rFonts w:ascii="Aptos" w:hAnsi="Aptos"/>
                <w:b w:val="0"/>
                <w:sz w:val="15"/>
              </w:rPr>
              <w:t>Discretización y transformación geométrica</w:t>
            </w:r>
          </w:p>
        </w:tc>
      </w:tr>
      <w:tr>
        <w:tc>
          <w:tcPr>
            <w:tcW w:type="dxa" w:w="2551"/>
            <w:vAlign w:val="center"/>
            <w:shd w:fill="F2F2F2"/>
          </w:tcPr>
          <w:p>
            <w:pPr>
              <w:spacing w:after="0"/>
            </w:pPr>
            <w:r/>
            <w:r>
              <w:rPr>
                <w:rFonts w:ascii="Aptos" w:hAnsi="Aptos"/>
                <w:b w:val="0"/>
                <w:sz w:val="15"/>
              </w:rPr>
              <w:t>action-run-orchestrator</w:t>
            </w:r>
          </w:p>
        </w:tc>
        <w:tc>
          <w:tcPr>
            <w:tcW w:type="dxa" w:w="6520"/>
            <w:vAlign w:val="center"/>
            <w:shd w:fill="F2F2F2"/>
          </w:tcPr>
          <w:p>
            <w:pPr>
              <w:spacing w:after="0"/>
            </w:pPr>
            <w:r/>
            <w:r>
              <w:rPr>
                <w:rFonts w:ascii="Aptos" w:hAnsi="Aptos"/>
                <w:b w:val="0"/>
                <w:sz w:val="15"/>
              </w:rPr>
              <w:t>Ejecución, caché, auditoría y resultados</w:t>
            </w:r>
          </w:p>
        </w:tc>
      </w:tr>
    </w:tbl>
    <w:p>
      <w:pPr>
        <w:spacing w:after="0"/>
      </w:pPr>
    </w:p>
    <w:p>
      <w:pPr>
        <w:pStyle w:val="Heading1"/>
        <w:spacing w:after="80"/>
      </w:pPr>
      <w:r>
        <w:t>25. API</w:t>
      </w:r>
    </w:p>
    <w:p>
      <w:pPr>
        <w:spacing w:after="80"/>
      </w:pPr>
      <w:r>
        <w:t>Las APIs serán versionadas, idempotentes en operaciones de ejecución y usarán unidades explícitas. Las tareas pesadas devolverán job_id y permitirán consultar estado, progreso, cancelación y resultado.</w:t>
      </w:r>
    </w:p>
    <w:tbl>
      <w:tblPr>
        <w:tblStyle w:val="TableGrid"/>
        <w:tblW w:type="auto" w:w="0"/>
        <w:jc w:val="center"/>
        <w:tblLook w:firstColumn="1" w:firstRow="1" w:lastColumn="0" w:lastRow="0" w:noHBand="0" w:noVBand="1" w:val="04A0"/>
      </w:tblPr>
      <w:tblGrid>
        <w:gridCol w:w="5156"/>
        <w:gridCol w:w="5156"/>
      </w:tblGrid>
      <w:tr>
        <w:tc>
          <w:tcPr>
            <w:tcW w:type="dxa" w:w="3402"/>
            <w:vAlign w:val="center"/>
            <w:shd w:fill="111111"/>
          </w:tcPr>
          <w:p>
            <w:pPr>
              <w:spacing w:after="0"/>
            </w:pPr>
            <w:r/>
            <w:r>
              <w:rPr>
                <w:rFonts w:ascii="Aptos" w:hAnsi="Aptos"/>
                <w:b/>
                <w:color w:val="FFFFFF"/>
                <w:sz w:val="15"/>
              </w:rPr>
              <w:t>Método y ruta</w:t>
            </w:r>
          </w:p>
        </w:tc>
        <w:tc>
          <w:tcPr>
            <w:tcW w:type="dxa" w:w="5669"/>
            <w:vAlign w:val="center"/>
            <w:shd w:fill="111111"/>
          </w:tcPr>
          <w:p>
            <w:pPr>
              <w:spacing w:after="0"/>
            </w:pPr>
            <w:r/>
            <w:r>
              <w:rPr>
                <w:rFonts w:ascii="Aptos" w:hAnsi="Aptos"/>
                <w:b/>
                <w:color w:val="FFFFFF"/>
                <w:sz w:val="15"/>
              </w:rPr>
              <w:t>Función</w:t>
            </w:r>
          </w:p>
        </w:tc>
      </w:tr>
      <w:tr>
        <w:tc>
          <w:tcPr>
            <w:tcW w:type="dxa" w:w="3402"/>
            <w:vAlign w:val="center"/>
          </w:tcPr>
          <w:p>
            <w:pPr>
              <w:spacing w:after="0"/>
            </w:pPr>
            <w:r/>
            <w:r>
              <w:rPr>
                <w:rFonts w:ascii="Aptos" w:hAnsi="Aptos"/>
                <w:b w:val="0"/>
                <w:sz w:val="15"/>
              </w:rPr>
              <w:t>POST /api/v1/locations/resolve</w:t>
            </w:r>
          </w:p>
        </w:tc>
        <w:tc>
          <w:tcPr>
            <w:tcW w:type="dxa" w:w="5669"/>
            <w:vAlign w:val="center"/>
          </w:tcPr>
          <w:p>
            <w:pPr>
              <w:spacing w:after="0"/>
            </w:pPr>
            <w:r/>
            <w:r>
              <w:rPr>
                <w:rFonts w:ascii="Aptos" w:hAnsi="Aptos"/>
                <w:b w:val="0"/>
                <w:sz w:val="15"/>
              </w:rPr>
              <w:t>Resolver ubicación y propuestas</w:t>
            </w:r>
          </w:p>
        </w:tc>
      </w:tr>
      <w:tr>
        <w:tc>
          <w:tcPr>
            <w:tcW w:type="dxa" w:w="3402"/>
            <w:vAlign w:val="center"/>
            <w:shd w:fill="F2F2F2"/>
          </w:tcPr>
          <w:p>
            <w:pPr>
              <w:spacing w:after="0"/>
            </w:pPr>
            <w:r/>
            <w:r>
              <w:rPr>
                <w:rFonts w:ascii="Aptos" w:hAnsi="Aptos"/>
                <w:b w:val="0"/>
                <w:sz w:val="15"/>
              </w:rPr>
              <w:t>GET /api/v1/locations/{id}/parameters</w:t>
            </w:r>
          </w:p>
        </w:tc>
        <w:tc>
          <w:tcPr>
            <w:tcW w:type="dxa" w:w="5669"/>
            <w:vAlign w:val="center"/>
            <w:shd w:fill="F2F2F2"/>
          </w:tcPr>
          <w:p>
            <w:pPr>
              <w:spacing w:after="0"/>
            </w:pPr>
            <w:r/>
            <w:r>
              <w:rPr>
                <w:rFonts w:ascii="Aptos" w:hAnsi="Aptos"/>
                <w:b w:val="0"/>
                <w:sz w:val="15"/>
              </w:rPr>
              <w:t>Consultar parámetros y calidad</w:t>
            </w:r>
          </w:p>
        </w:tc>
      </w:tr>
      <w:tr>
        <w:tc>
          <w:tcPr>
            <w:tcW w:type="dxa" w:w="3402"/>
            <w:vAlign w:val="center"/>
          </w:tcPr>
          <w:p>
            <w:pPr>
              <w:spacing w:after="0"/>
            </w:pPr>
            <w:r/>
            <w:r>
              <w:rPr>
                <w:rFonts w:ascii="Aptos" w:hAnsi="Aptos"/>
                <w:b w:val="0"/>
                <w:sz w:val="15"/>
              </w:rPr>
              <w:t>POST /api/v1/scenarios/{id}/actions/validate</w:t>
            </w:r>
          </w:p>
        </w:tc>
        <w:tc>
          <w:tcPr>
            <w:tcW w:type="dxa" w:w="5669"/>
            <w:vAlign w:val="center"/>
          </w:tcPr>
          <w:p>
            <w:pPr>
              <w:spacing w:after="0"/>
            </w:pPr>
            <w:r/>
            <w:r>
              <w:rPr>
                <w:rFonts w:ascii="Aptos" w:hAnsi="Aptos"/>
                <w:b w:val="0"/>
                <w:sz w:val="15"/>
              </w:rPr>
              <w:t>Validar completitud</w:t>
            </w:r>
          </w:p>
        </w:tc>
      </w:tr>
      <w:tr>
        <w:tc>
          <w:tcPr>
            <w:tcW w:type="dxa" w:w="3402"/>
            <w:vAlign w:val="center"/>
            <w:shd w:fill="F2F2F2"/>
          </w:tcPr>
          <w:p>
            <w:pPr>
              <w:spacing w:after="0"/>
            </w:pPr>
            <w:r/>
            <w:r>
              <w:rPr>
                <w:rFonts w:ascii="Aptos" w:hAnsi="Aptos"/>
                <w:b w:val="0"/>
                <w:sz w:val="15"/>
              </w:rPr>
              <w:t>POST /api/v1/scenarios/{id}/actions/runs</w:t>
            </w:r>
          </w:p>
        </w:tc>
        <w:tc>
          <w:tcPr>
            <w:tcW w:type="dxa" w:w="5669"/>
            <w:vAlign w:val="center"/>
            <w:shd w:fill="F2F2F2"/>
          </w:tcPr>
          <w:p>
            <w:pPr>
              <w:spacing w:after="0"/>
            </w:pPr>
            <w:r/>
            <w:r>
              <w:rPr>
                <w:rFonts w:ascii="Aptos" w:hAnsi="Aptos"/>
                <w:b w:val="0"/>
                <w:sz w:val="15"/>
              </w:rPr>
              <w:t>Crear ejecución</w:t>
            </w:r>
          </w:p>
        </w:tc>
      </w:tr>
      <w:tr>
        <w:tc>
          <w:tcPr>
            <w:tcW w:type="dxa" w:w="3402"/>
            <w:vAlign w:val="center"/>
          </w:tcPr>
          <w:p>
            <w:pPr>
              <w:spacing w:after="0"/>
            </w:pPr>
            <w:r/>
            <w:r>
              <w:rPr>
                <w:rFonts w:ascii="Aptos" w:hAnsi="Aptos"/>
                <w:b w:val="0"/>
                <w:sz w:val="15"/>
              </w:rPr>
              <w:t>GET /api/v1/action-runs/{id}</w:t>
            </w:r>
          </w:p>
        </w:tc>
        <w:tc>
          <w:tcPr>
            <w:tcW w:type="dxa" w:w="5669"/>
            <w:vAlign w:val="center"/>
          </w:tcPr>
          <w:p>
            <w:pPr>
              <w:spacing w:after="0"/>
            </w:pPr>
            <w:r/>
            <w:r>
              <w:rPr>
                <w:rFonts w:ascii="Aptos" w:hAnsi="Aptos"/>
                <w:b w:val="0"/>
                <w:sz w:val="15"/>
              </w:rPr>
              <w:t>Estado y manifest</w:t>
            </w:r>
          </w:p>
        </w:tc>
      </w:tr>
      <w:tr>
        <w:tc>
          <w:tcPr>
            <w:tcW w:type="dxa" w:w="3402"/>
            <w:vAlign w:val="center"/>
            <w:shd w:fill="F2F2F2"/>
          </w:tcPr>
          <w:p>
            <w:pPr>
              <w:spacing w:after="0"/>
            </w:pPr>
            <w:r/>
            <w:r>
              <w:rPr>
                <w:rFonts w:ascii="Aptos" w:hAnsi="Aptos"/>
                <w:b w:val="0"/>
                <w:sz w:val="15"/>
              </w:rPr>
              <w:t>GET /api/v1/action-runs/{id}/loads</w:t>
            </w:r>
          </w:p>
        </w:tc>
        <w:tc>
          <w:tcPr>
            <w:tcW w:type="dxa" w:w="5669"/>
            <w:vAlign w:val="center"/>
            <w:shd w:fill="F2F2F2"/>
          </w:tcPr>
          <w:p>
            <w:pPr>
              <w:spacing w:after="0"/>
            </w:pPr>
            <w:r/>
            <w:r>
              <w:rPr>
                <w:rFonts w:ascii="Aptos" w:hAnsi="Aptos"/>
                <w:b w:val="0"/>
                <w:sz w:val="15"/>
              </w:rPr>
              <w:t>Cargas elementales/espaciales</w:t>
            </w:r>
          </w:p>
        </w:tc>
      </w:tr>
      <w:tr>
        <w:tc>
          <w:tcPr>
            <w:tcW w:type="dxa" w:w="3402"/>
            <w:vAlign w:val="center"/>
          </w:tcPr>
          <w:p>
            <w:pPr>
              <w:spacing w:after="0"/>
            </w:pPr>
            <w:r/>
            <w:r>
              <w:rPr>
                <w:rFonts w:ascii="Aptos" w:hAnsi="Aptos"/>
                <w:b w:val="0"/>
                <w:sz w:val="15"/>
              </w:rPr>
              <w:t>GET /api/v1/action-runs/{id}/cases</w:t>
            </w:r>
          </w:p>
        </w:tc>
        <w:tc>
          <w:tcPr>
            <w:tcW w:type="dxa" w:w="5669"/>
            <w:vAlign w:val="center"/>
          </w:tcPr>
          <w:p>
            <w:pPr>
              <w:spacing w:after="0"/>
            </w:pPr>
            <w:r/>
            <w:r>
              <w:rPr>
                <w:rFonts w:ascii="Aptos" w:hAnsi="Aptos"/>
                <w:b w:val="0"/>
                <w:sz w:val="15"/>
              </w:rPr>
              <w:t>Casos de carga</w:t>
            </w:r>
          </w:p>
        </w:tc>
      </w:tr>
      <w:tr>
        <w:tc>
          <w:tcPr>
            <w:tcW w:type="dxa" w:w="3402"/>
            <w:vAlign w:val="center"/>
            <w:shd w:fill="F2F2F2"/>
          </w:tcPr>
          <w:p>
            <w:pPr>
              <w:spacing w:after="0"/>
            </w:pPr>
            <w:r/>
            <w:r>
              <w:rPr>
                <w:rFonts w:ascii="Aptos" w:hAnsi="Aptos"/>
                <w:b w:val="0"/>
                <w:sz w:val="15"/>
              </w:rPr>
              <w:t>GET /api/v1/action-runs/{id}/combinations</w:t>
            </w:r>
          </w:p>
        </w:tc>
        <w:tc>
          <w:tcPr>
            <w:tcW w:type="dxa" w:w="5669"/>
            <w:vAlign w:val="center"/>
            <w:shd w:fill="F2F2F2"/>
          </w:tcPr>
          <w:p>
            <w:pPr>
              <w:spacing w:after="0"/>
            </w:pPr>
            <w:r/>
            <w:r>
              <w:rPr>
                <w:rFonts w:ascii="Aptos" w:hAnsi="Aptos"/>
                <w:b w:val="0"/>
                <w:sz w:val="15"/>
              </w:rPr>
              <w:t>Combinaciones</w:t>
            </w:r>
          </w:p>
        </w:tc>
      </w:tr>
      <w:tr>
        <w:tc>
          <w:tcPr>
            <w:tcW w:type="dxa" w:w="3402"/>
            <w:vAlign w:val="center"/>
          </w:tcPr>
          <w:p>
            <w:pPr>
              <w:spacing w:after="0"/>
            </w:pPr>
            <w:r/>
            <w:r>
              <w:rPr>
                <w:rFonts w:ascii="Aptos" w:hAnsi="Aptos"/>
                <w:b w:val="0"/>
                <w:sz w:val="15"/>
              </w:rPr>
              <w:t>POST /api/v1/action-runs/{id}/sensitivity</w:t>
            </w:r>
          </w:p>
        </w:tc>
        <w:tc>
          <w:tcPr>
            <w:tcW w:type="dxa" w:w="5669"/>
            <w:vAlign w:val="center"/>
          </w:tcPr>
          <w:p>
            <w:pPr>
              <w:spacing w:after="0"/>
            </w:pPr>
            <w:r/>
            <w:r>
              <w:rPr>
                <w:rFonts w:ascii="Aptos" w:hAnsi="Aptos"/>
                <w:b w:val="0"/>
                <w:sz w:val="15"/>
              </w:rPr>
              <w:t>Análisis de sensibilidad</w:t>
            </w:r>
          </w:p>
        </w:tc>
      </w:tr>
      <w:tr>
        <w:tc>
          <w:tcPr>
            <w:tcW w:type="dxa" w:w="3402"/>
            <w:vAlign w:val="center"/>
            <w:shd w:fill="F2F2F2"/>
          </w:tcPr>
          <w:p>
            <w:pPr>
              <w:spacing w:after="0"/>
            </w:pPr>
            <w:r/>
            <w:r>
              <w:rPr>
                <w:rFonts w:ascii="Aptos" w:hAnsi="Aptos"/>
                <w:b w:val="0"/>
                <w:sz w:val="15"/>
              </w:rPr>
              <w:t>POST /api/v1/scenarios/{id}/cables</w:t>
            </w:r>
          </w:p>
        </w:tc>
        <w:tc>
          <w:tcPr>
            <w:tcW w:type="dxa" w:w="5669"/>
            <w:vAlign w:val="center"/>
            <w:shd w:fill="F2F2F2"/>
          </w:tcPr>
          <w:p>
            <w:pPr>
              <w:spacing w:after="0"/>
            </w:pPr>
            <w:r/>
            <w:r>
              <w:rPr>
                <w:rFonts w:ascii="Aptos" w:hAnsi="Aptos"/>
                <w:b w:val="0"/>
                <w:sz w:val="15"/>
              </w:rPr>
              <w:t>Crear/actualizar cable en revisión editable</w:t>
            </w:r>
          </w:p>
        </w:tc>
      </w:tr>
    </w:tbl>
    <w:p>
      <w:pPr>
        <w:spacing w:after="0"/>
      </w:pPr>
    </w:p>
    <w:p>
      <w:pPr>
        <w:pStyle w:val="Requirement"/>
      </w:pPr>
      <w:r>
        <w:rPr>
          <w:b/>
        </w:rPr>
        <w:t xml:space="preserve">API-301 [MUST] </w:t>
      </w:r>
      <w:r>
        <w:t>Toda operación de cálculo aceptará Idempotency-Key y devolverá correlation_id.</w:t>
      </w:r>
    </w:p>
    <w:p>
      <w:pPr>
        <w:pStyle w:val="Requirement"/>
      </w:pPr>
      <w:r>
        <w:rPr>
          <w:b/>
        </w:rPr>
        <w:t xml:space="preserve">API-302 [MUST] </w:t>
      </w:r>
      <w:r>
        <w:t>Los recursos editables usarán ETag/If-Match para evitar sobrescritura concurrente.</w:t>
      </w:r>
    </w:p>
    <w:p>
      <w:pPr>
        <w:pStyle w:val="Requirement"/>
      </w:pPr>
      <w:r>
        <w:rPr>
          <w:b/>
        </w:rPr>
        <w:t xml:space="preserve">API-303 [MUST] </w:t>
      </w:r>
      <w:r>
        <w:t>Los errores seguirán un esquema común con code, message, field_path, severity y normative_reference opcional.</w:t>
      </w:r>
    </w:p>
    <w:p>
      <w:pPr>
        <w:pStyle w:val="Heading1"/>
        <w:spacing w:after="80"/>
      </w:pPr>
      <w:r>
        <w:t>26. Front-end y experiencia de usuario</w:t>
      </w:r>
    </w:p>
    <w:p>
      <w:pPr>
        <w:spacing w:after="80"/>
      </w:pPr>
      <w:r>
        <w:t>La Fase 3 se integrará en el layout común de Salvi Studio: barra superior, árbol/entradas a la izquierda, mapa o visor central, panel de propiedades/resultados a la derecha y bandeja inferior de validaciones e IA explicativa.</w:t>
      </w:r>
    </w:p>
    <w:p>
      <w:pPr>
        <w:pStyle w:val="Heading2"/>
        <w:spacing w:after="80"/>
      </w:pPr>
      <w:r>
        <w:t>26.1 Flujo principal</w:t>
      </w:r>
    </w:p>
    <w:p>
      <w:pPr>
        <w:pStyle w:val="ListNumber"/>
        <w:spacing w:after="30"/>
      </w:pPr>
      <w:r>
        <w:t>Seleccionar o localizar emplazamiento en mapa.</w:t>
      </w:r>
    </w:p>
    <w:p>
      <w:pPr>
        <w:pStyle w:val="ListNumber"/>
        <w:spacing w:after="30"/>
      </w:pPr>
      <w:r>
        <w:t>Revisar datos automáticos y su fuente.</w:t>
      </w:r>
    </w:p>
    <w:p>
      <w:pPr>
        <w:pStyle w:val="ListNumber"/>
        <w:spacing w:after="30"/>
      </w:pPr>
      <w:r>
        <w:t>Confirmar terreno, topografía, vida de proyecto y normativa.</w:t>
      </w:r>
    </w:p>
    <w:p>
      <w:pPr>
        <w:pStyle w:val="ListNumber"/>
        <w:spacing w:after="30"/>
      </w:pPr>
      <w:r>
        <w:t>Revisar componentes expuestos importados de la geometría.</w:t>
      </w:r>
    </w:p>
    <w:p>
      <w:pPr>
        <w:pStyle w:val="ListNumber"/>
        <w:spacing w:after="30"/>
      </w:pPr>
      <w:r>
        <w:t>Completar áreas/Cd faltantes y cables.</w:t>
      </w:r>
    </w:p>
    <w:p>
      <w:pPr>
        <w:pStyle w:val="ListNumber"/>
        <w:spacing w:after="30"/>
      </w:pPr>
      <w:r>
        <w:t>Activar nieve, hielo, sismo, temperatura y casos especiales.</w:t>
      </w:r>
    </w:p>
    <w:p>
      <w:pPr>
        <w:pStyle w:val="ListNumber"/>
        <w:spacing w:after="30"/>
      </w:pPr>
      <w:r>
        <w:t>Previsualizar direcciones y vectores en 3D.</w:t>
      </w:r>
    </w:p>
    <w:p>
      <w:pPr>
        <w:pStyle w:val="ListNumber"/>
        <w:spacing w:after="30"/>
      </w:pPr>
      <w:r>
        <w:t>Validar entradas y ejecutar.</w:t>
      </w:r>
    </w:p>
    <w:p>
      <w:pPr>
        <w:pStyle w:val="ListNumber"/>
        <w:spacing w:after="30"/>
      </w:pPr>
      <w:r>
        <w:t>Comparar resultantes por dirección y revisar advertencias.</w:t>
      </w:r>
    </w:p>
    <w:p>
      <w:pPr>
        <w:pStyle w:val="ListNumber"/>
        <w:spacing w:after="30"/>
      </w:pPr>
      <w:r>
        <w:t>Congelar ejecución para consumo por el motor estructural.</w:t>
      </w:r>
    </w:p>
    <w:p>
      <w:pPr>
        <w:pStyle w:val="Heading2"/>
        <w:spacing w:after="80"/>
      </w:pPr>
      <w:r>
        <w:t>26.2 Vistas obligatorias</w:t>
      </w:r>
    </w:p>
    <w:tbl>
      <w:tblPr>
        <w:tblStyle w:val="TableGrid"/>
        <w:tblW w:type="auto" w:w="0"/>
        <w:jc w:val="center"/>
        <w:tblLook w:firstColumn="1" w:firstRow="1" w:lastColumn="0" w:lastRow="0" w:noHBand="0" w:noVBand="1" w:val="04A0"/>
      </w:tblPr>
      <w:tblGrid>
        <w:gridCol w:w="5156"/>
        <w:gridCol w:w="5156"/>
      </w:tblGrid>
      <w:tr>
        <w:tc>
          <w:tcPr>
            <w:tcW w:type="dxa" w:w="1984"/>
            <w:vAlign w:val="center"/>
            <w:shd w:fill="111111"/>
          </w:tcPr>
          <w:p>
            <w:pPr>
              <w:spacing w:after="0"/>
            </w:pPr>
            <w:r/>
            <w:r>
              <w:rPr>
                <w:rFonts w:ascii="Aptos" w:hAnsi="Aptos"/>
                <w:b/>
                <w:color w:val="FFFFFF"/>
                <w:sz w:val="15"/>
              </w:rPr>
              <w:t>Vista</w:t>
            </w:r>
          </w:p>
        </w:tc>
        <w:tc>
          <w:tcPr>
            <w:tcW w:type="dxa" w:w="7087"/>
            <w:vAlign w:val="center"/>
            <w:shd w:fill="111111"/>
          </w:tcPr>
          <w:p>
            <w:pPr>
              <w:spacing w:after="0"/>
            </w:pPr>
            <w:r/>
            <w:r>
              <w:rPr>
                <w:rFonts w:ascii="Aptos" w:hAnsi="Aptos"/>
                <w:b/>
                <w:color w:val="FFFFFF"/>
                <w:sz w:val="15"/>
              </w:rPr>
              <w:t>Contenido</w:t>
            </w:r>
          </w:p>
        </w:tc>
      </w:tr>
      <w:tr>
        <w:tc>
          <w:tcPr>
            <w:tcW w:type="dxa" w:w="1984"/>
            <w:vAlign w:val="center"/>
          </w:tcPr>
          <w:p>
            <w:pPr>
              <w:spacing w:after="0"/>
            </w:pPr>
            <w:r/>
            <w:r>
              <w:rPr>
                <w:rFonts w:ascii="Aptos" w:hAnsi="Aptos"/>
                <w:b w:val="0"/>
                <w:sz w:val="15"/>
              </w:rPr>
              <w:t>Mapa</w:t>
            </w:r>
          </w:p>
        </w:tc>
        <w:tc>
          <w:tcPr>
            <w:tcW w:type="dxa" w:w="7087"/>
            <w:vAlign w:val="center"/>
          </w:tcPr>
          <w:p>
            <w:pPr>
              <w:spacing w:after="0"/>
            </w:pPr>
            <w:r/>
            <w:r>
              <w:rPr>
                <w:rFonts w:ascii="Aptos" w:hAnsi="Aptos"/>
                <w:b w:val="0"/>
                <w:sz w:val="15"/>
              </w:rPr>
              <w:t>Ubicación, capas, jurisdicciones, altitud y fuentes</w:t>
            </w:r>
          </w:p>
        </w:tc>
      </w:tr>
      <w:tr>
        <w:tc>
          <w:tcPr>
            <w:tcW w:type="dxa" w:w="1984"/>
            <w:vAlign w:val="center"/>
            <w:shd w:fill="F2F2F2"/>
          </w:tcPr>
          <w:p>
            <w:pPr>
              <w:spacing w:after="0"/>
            </w:pPr>
            <w:r/>
            <w:r>
              <w:rPr>
                <w:rFonts w:ascii="Aptos" w:hAnsi="Aptos"/>
                <w:b w:val="0"/>
                <w:sz w:val="15"/>
              </w:rPr>
              <w:t>Resumen ambiental</w:t>
            </w:r>
          </w:p>
        </w:tc>
        <w:tc>
          <w:tcPr>
            <w:tcW w:type="dxa" w:w="7087"/>
            <w:vAlign w:val="center"/>
            <w:shd w:fill="F2F2F2"/>
          </w:tcPr>
          <w:p>
            <w:pPr>
              <w:spacing w:after="0"/>
            </w:pPr>
            <w:r/>
            <w:r>
              <w:rPr>
                <w:rFonts w:ascii="Aptos" w:hAnsi="Aptos"/>
                <w:b w:val="0"/>
                <w:sz w:val="15"/>
              </w:rPr>
              <w:t>Viento, nieve, sismo, temperatura y calidad</w:t>
            </w:r>
          </w:p>
        </w:tc>
      </w:tr>
      <w:tr>
        <w:tc>
          <w:tcPr>
            <w:tcW w:type="dxa" w:w="1984"/>
            <w:vAlign w:val="center"/>
          </w:tcPr>
          <w:p>
            <w:pPr>
              <w:spacing w:after="0"/>
            </w:pPr>
            <w:r/>
            <w:r>
              <w:rPr>
                <w:rFonts w:ascii="Aptos" w:hAnsi="Aptos"/>
                <w:b w:val="0"/>
                <w:sz w:val="15"/>
              </w:rPr>
              <w:t>Exposición</w:t>
            </w:r>
          </w:p>
        </w:tc>
        <w:tc>
          <w:tcPr>
            <w:tcW w:type="dxa" w:w="7087"/>
            <w:vAlign w:val="center"/>
          </w:tcPr>
          <w:p>
            <w:pPr>
              <w:spacing w:after="0"/>
            </w:pPr>
            <w:r/>
            <w:r>
              <w:rPr>
                <w:rFonts w:ascii="Aptos" w:hAnsi="Aptos"/>
                <w:b w:val="0"/>
                <w:sz w:val="15"/>
              </w:rPr>
              <w:t>Lista de componentes, área, Cd, orientación y estado</w:t>
            </w:r>
          </w:p>
        </w:tc>
      </w:tr>
      <w:tr>
        <w:tc>
          <w:tcPr>
            <w:tcW w:type="dxa" w:w="1984"/>
            <w:vAlign w:val="center"/>
            <w:shd w:fill="F2F2F2"/>
          </w:tcPr>
          <w:p>
            <w:pPr>
              <w:spacing w:after="0"/>
            </w:pPr>
            <w:r/>
            <w:r>
              <w:rPr>
                <w:rFonts w:ascii="Aptos" w:hAnsi="Aptos"/>
                <w:b w:val="0"/>
                <w:sz w:val="15"/>
              </w:rPr>
              <w:t>Cables</w:t>
            </w:r>
          </w:p>
        </w:tc>
        <w:tc>
          <w:tcPr>
            <w:tcW w:type="dxa" w:w="7087"/>
            <w:vAlign w:val="center"/>
            <w:shd w:fill="F2F2F2"/>
          </w:tcPr>
          <w:p>
            <w:pPr>
              <w:spacing w:after="0"/>
            </w:pPr>
            <w:r/>
            <w:r>
              <w:rPr>
                <w:rFonts w:ascii="Aptos" w:hAnsi="Aptos"/>
                <w:b w:val="0"/>
                <w:sz w:val="15"/>
              </w:rPr>
              <w:t>Editor tabular + manipulador 3D de hasta seis vectores</w:t>
            </w:r>
          </w:p>
        </w:tc>
      </w:tr>
      <w:tr>
        <w:tc>
          <w:tcPr>
            <w:tcW w:type="dxa" w:w="1984"/>
            <w:vAlign w:val="center"/>
          </w:tcPr>
          <w:p>
            <w:pPr>
              <w:spacing w:after="0"/>
            </w:pPr>
            <w:r/>
            <w:r>
              <w:rPr>
                <w:rFonts w:ascii="Aptos" w:hAnsi="Aptos"/>
                <w:b w:val="0"/>
                <w:sz w:val="15"/>
              </w:rPr>
              <w:t>Casos</w:t>
            </w:r>
          </w:p>
        </w:tc>
        <w:tc>
          <w:tcPr>
            <w:tcW w:type="dxa" w:w="7087"/>
            <w:vAlign w:val="center"/>
          </w:tcPr>
          <w:p>
            <w:pPr>
              <w:spacing w:after="0"/>
            </w:pPr>
            <w:r/>
            <w:r>
              <w:rPr>
                <w:rFonts w:ascii="Aptos" w:hAnsi="Aptos"/>
                <w:b w:val="0"/>
                <w:sz w:val="15"/>
              </w:rPr>
              <w:t>Árbol de acciones y estados</w:t>
            </w:r>
          </w:p>
        </w:tc>
      </w:tr>
      <w:tr>
        <w:tc>
          <w:tcPr>
            <w:tcW w:type="dxa" w:w="1984"/>
            <w:vAlign w:val="center"/>
            <w:shd w:fill="F2F2F2"/>
          </w:tcPr>
          <w:p>
            <w:pPr>
              <w:spacing w:after="0"/>
            </w:pPr>
            <w:r/>
            <w:r>
              <w:rPr>
                <w:rFonts w:ascii="Aptos" w:hAnsi="Aptos"/>
                <w:b w:val="0"/>
                <w:sz w:val="15"/>
              </w:rPr>
              <w:t>Combinaciones</w:t>
            </w:r>
          </w:p>
        </w:tc>
        <w:tc>
          <w:tcPr>
            <w:tcW w:type="dxa" w:w="7087"/>
            <w:vAlign w:val="center"/>
            <w:shd w:fill="F2F2F2"/>
          </w:tcPr>
          <w:p>
            <w:pPr>
              <w:spacing w:after="0"/>
            </w:pPr>
            <w:r/>
            <w:r>
              <w:rPr>
                <w:rFonts w:ascii="Aptos" w:hAnsi="Aptos"/>
                <w:b w:val="0"/>
                <w:sz w:val="15"/>
              </w:rPr>
              <w:t>Plantilla, factores y exclusiones en modo legible</w:t>
            </w:r>
          </w:p>
        </w:tc>
      </w:tr>
      <w:tr>
        <w:tc>
          <w:tcPr>
            <w:tcW w:type="dxa" w:w="1984"/>
            <w:vAlign w:val="center"/>
          </w:tcPr>
          <w:p>
            <w:pPr>
              <w:spacing w:after="0"/>
            </w:pPr>
            <w:r/>
            <w:r>
              <w:rPr>
                <w:rFonts w:ascii="Aptos" w:hAnsi="Aptos"/>
                <w:b w:val="0"/>
                <w:sz w:val="15"/>
              </w:rPr>
              <w:t>Direcciones</w:t>
            </w:r>
          </w:p>
        </w:tc>
        <w:tc>
          <w:tcPr>
            <w:tcW w:type="dxa" w:w="7087"/>
            <w:vAlign w:val="center"/>
          </w:tcPr>
          <w:p>
            <w:pPr>
              <w:spacing w:after="0"/>
            </w:pPr>
            <w:r/>
            <w:r>
              <w:rPr>
                <w:rFonts w:ascii="Aptos" w:hAnsi="Aptos"/>
                <w:b w:val="0"/>
                <w:sz w:val="15"/>
              </w:rPr>
              <w:t>Rosa de viento/barrido y máximos preliminares</w:t>
            </w:r>
          </w:p>
        </w:tc>
      </w:tr>
      <w:tr>
        <w:tc>
          <w:tcPr>
            <w:tcW w:type="dxa" w:w="1984"/>
            <w:vAlign w:val="center"/>
            <w:shd w:fill="F2F2F2"/>
          </w:tcPr>
          <w:p>
            <w:pPr>
              <w:spacing w:after="0"/>
            </w:pPr>
            <w:r/>
            <w:r>
              <w:rPr>
                <w:rFonts w:ascii="Aptos" w:hAnsi="Aptos"/>
                <w:b w:val="0"/>
                <w:sz w:val="15"/>
              </w:rPr>
              <w:t>Diagnóstico</w:t>
            </w:r>
          </w:p>
        </w:tc>
        <w:tc>
          <w:tcPr>
            <w:tcW w:type="dxa" w:w="7087"/>
            <w:vAlign w:val="center"/>
            <w:shd w:fill="F2F2F2"/>
          </w:tcPr>
          <w:p>
            <w:pPr>
              <w:spacing w:after="0"/>
            </w:pPr>
            <w:r/>
            <w:r>
              <w:rPr>
                <w:rFonts w:ascii="Aptos" w:hAnsi="Aptos"/>
                <w:b w:val="0"/>
                <w:sz w:val="15"/>
              </w:rPr>
              <w:t>Errores, advertencias, overrides y justificaciones</w:t>
            </w:r>
          </w:p>
        </w:tc>
      </w:tr>
      <w:tr>
        <w:tc>
          <w:tcPr>
            <w:tcW w:type="dxa" w:w="1984"/>
            <w:vAlign w:val="center"/>
          </w:tcPr>
          <w:p>
            <w:pPr>
              <w:spacing w:after="0"/>
            </w:pPr>
            <w:r/>
            <w:r>
              <w:rPr>
                <w:rFonts w:ascii="Aptos" w:hAnsi="Aptos"/>
                <w:b w:val="0"/>
                <w:sz w:val="15"/>
              </w:rPr>
              <w:t>Trazabilidad</w:t>
            </w:r>
          </w:p>
        </w:tc>
        <w:tc>
          <w:tcPr>
            <w:tcW w:type="dxa" w:w="7087"/>
            <w:vAlign w:val="center"/>
          </w:tcPr>
          <w:p>
            <w:pPr>
              <w:spacing w:after="0"/>
            </w:pPr>
            <w:r/>
            <w:r>
              <w:rPr>
                <w:rFonts w:ascii="Aptos" w:hAnsi="Aptos"/>
                <w:b w:val="0"/>
                <w:sz w:val="15"/>
              </w:rPr>
              <w:t>Fuentes, cláusulas, versiones y hashes</w:t>
            </w:r>
          </w:p>
        </w:tc>
      </w:tr>
    </w:tbl>
    <w:p>
      <w:pPr>
        <w:spacing w:after="0"/>
      </w:pPr>
    </w:p>
    <w:p>
      <w:pPr>
        <w:pStyle w:val="Heading2"/>
        <w:spacing w:after="80"/>
      </w:pPr>
      <w:r>
        <w:t>26.3 Asistencia de IA</w:t>
      </w:r>
    </w:p>
    <w:p>
      <w:pPr>
        <w:spacing w:after="80"/>
      </w:pPr>
      <w:r>
        <w:t>Claude podrá explicar campos, resumir advertencias, proponer qué dato falta y redactar textos para informes. No podrá cambiar valores, seleccionar coeficientes ni marcar una advertencia como aceptada sin acción explícita del usuario autorizado.</w:t>
      </w:r>
    </w:p>
    <w:p>
      <w:pPr>
        <w:pStyle w:val="Heading1"/>
        <w:spacing w:after="80"/>
      </w:pPr>
      <w:r>
        <w:t>27. Dependencias, hashes e invalidación</w:t>
      </w:r>
    </w:p>
    <w:p>
      <w:pPr>
        <w:spacing w:after="80"/>
      </w:pPr>
      <w:r>
        <w:t>El hash de acciones dependerá al menos de: snapshot de geometría; ubicación y parámetros; bibliotecas normativas; componentes aerodinámicos; masas; cables; opciones ambientales; plantillas de combinación; versión del motor y configuración numérica.</w:t>
      </w:r>
    </w:p>
    <w:tbl>
      <w:tblPr>
        <w:tblStyle w:val="TableGrid"/>
        <w:tblW w:type="auto" w:w="0"/>
        <w:jc w:val="center"/>
        <w:tblLook w:firstColumn="1" w:firstRow="1" w:lastColumn="0" w:lastRow="0" w:noHBand="0" w:noVBand="1" w:val="04A0"/>
      </w:tblPr>
      <w:tblGrid>
        <w:gridCol w:w="5156"/>
        <w:gridCol w:w="5156"/>
      </w:tblGrid>
      <w:tr>
        <w:tc>
          <w:tcPr>
            <w:tcW w:type="dxa" w:w="2551"/>
            <w:vAlign w:val="center"/>
            <w:shd w:fill="111111"/>
          </w:tcPr>
          <w:p>
            <w:pPr>
              <w:spacing w:after="0"/>
            </w:pPr>
            <w:r/>
            <w:r>
              <w:rPr>
                <w:rFonts w:ascii="Aptos" w:hAnsi="Aptos"/>
                <w:b/>
                <w:color w:val="FFFFFF"/>
                <w:sz w:val="15"/>
              </w:rPr>
              <w:t>Cambio</w:t>
            </w:r>
          </w:p>
        </w:tc>
        <w:tc>
          <w:tcPr>
            <w:tcW w:type="dxa" w:w="6520"/>
            <w:vAlign w:val="center"/>
            <w:shd w:fill="111111"/>
          </w:tcPr>
          <w:p>
            <w:pPr>
              <w:spacing w:after="0"/>
            </w:pPr>
            <w:r/>
            <w:r>
              <w:rPr>
                <w:rFonts w:ascii="Aptos" w:hAnsi="Aptos"/>
                <w:b/>
                <w:color w:val="FFFFFF"/>
                <w:sz w:val="15"/>
              </w:rPr>
              <w:t>Invalidación mínima</w:t>
            </w:r>
          </w:p>
        </w:tc>
      </w:tr>
      <w:tr>
        <w:tc>
          <w:tcPr>
            <w:tcW w:type="dxa" w:w="2551"/>
            <w:vAlign w:val="center"/>
          </w:tcPr>
          <w:p>
            <w:pPr>
              <w:spacing w:after="0"/>
            </w:pPr>
            <w:r/>
            <w:r>
              <w:rPr>
                <w:rFonts w:ascii="Aptos" w:hAnsi="Aptos"/>
                <w:b w:val="0"/>
                <w:sz w:val="15"/>
              </w:rPr>
              <w:t>Geometría de fuste/brazo</w:t>
            </w:r>
          </w:p>
        </w:tc>
        <w:tc>
          <w:tcPr>
            <w:tcW w:type="dxa" w:w="6520"/>
            <w:vAlign w:val="center"/>
          </w:tcPr>
          <w:p>
            <w:pPr>
              <w:spacing w:after="0"/>
            </w:pPr>
            <w:r/>
            <w:r>
              <w:rPr>
                <w:rFonts w:ascii="Aptos" w:hAnsi="Aptos"/>
                <w:b w:val="0"/>
                <w:sz w:val="15"/>
              </w:rPr>
              <w:t>Viento, peso, masas, cargas espaciales y combinaciones</w:t>
            </w:r>
          </w:p>
        </w:tc>
      </w:tr>
      <w:tr>
        <w:tc>
          <w:tcPr>
            <w:tcW w:type="dxa" w:w="2551"/>
            <w:vAlign w:val="center"/>
            <w:shd w:fill="F2F2F2"/>
          </w:tcPr>
          <w:p>
            <w:pPr>
              <w:spacing w:after="0"/>
            </w:pPr>
            <w:r/>
            <w:r>
              <w:rPr>
                <w:rFonts w:ascii="Aptos" w:hAnsi="Aptos"/>
                <w:b w:val="0"/>
                <w:sz w:val="15"/>
              </w:rPr>
              <w:t>Orientación de luminaria/panel</w:t>
            </w:r>
          </w:p>
        </w:tc>
        <w:tc>
          <w:tcPr>
            <w:tcW w:type="dxa" w:w="6520"/>
            <w:vAlign w:val="center"/>
            <w:shd w:fill="F2F2F2"/>
          </w:tcPr>
          <w:p>
            <w:pPr>
              <w:spacing w:after="0"/>
            </w:pPr>
            <w:r/>
            <w:r>
              <w:rPr>
                <w:rFonts w:ascii="Aptos" w:hAnsi="Aptos"/>
                <w:b w:val="0"/>
                <w:sz w:val="15"/>
              </w:rPr>
              <w:t>Viento direccional y envolventes</w:t>
            </w:r>
          </w:p>
        </w:tc>
      </w:tr>
      <w:tr>
        <w:tc>
          <w:tcPr>
            <w:tcW w:type="dxa" w:w="2551"/>
            <w:vAlign w:val="center"/>
          </w:tcPr>
          <w:p>
            <w:pPr>
              <w:spacing w:after="0"/>
            </w:pPr>
            <w:r/>
            <w:r>
              <w:rPr>
                <w:rFonts w:ascii="Aptos" w:hAnsi="Aptos"/>
                <w:b w:val="0"/>
                <w:sz w:val="15"/>
              </w:rPr>
              <w:t>Masa de componente</w:t>
            </w:r>
          </w:p>
        </w:tc>
        <w:tc>
          <w:tcPr>
            <w:tcW w:type="dxa" w:w="6520"/>
            <w:vAlign w:val="center"/>
          </w:tcPr>
          <w:p>
            <w:pPr>
              <w:spacing w:after="0"/>
            </w:pPr>
            <w:r/>
            <w:r>
              <w:rPr>
                <w:rFonts w:ascii="Aptos" w:hAnsi="Aptos"/>
                <w:b w:val="0"/>
                <w:sz w:val="15"/>
              </w:rPr>
              <w:t>Peso, sismo y combinaciones</w:t>
            </w:r>
          </w:p>
        </w:tc>
      </w:tr>
      <w:tr>
        <w:tc>
          <w:tcPr>
            <w:tcW w:type="dxa" w:w="2551"/>
            <w:vAlign w:val="center"/>
            <w:shd w:fill="F2F2F2"/>
          </w:tcPr>
          <w:p>
            <w:pPr>
              <w:spacing w:after="0"/>
            </w:pPr>
            <w:r/>
            <w:r>
              <w:rPr>
                <w:rFonts w:ascii="Aptos" w:hAnsi="Aptos"/>
                <w:b w:val="0"/>
                <w:sz w:val="15"/>
              </w:rPr>
              <w:t>Ubicación/altitud/terreno</w:t>
            </w:r>
          </w:p>
        </w:tc>
        <w:tc>
          <w:tcPr>
            <w:tcW w:type="dxa" w:w="6520"/>
            <w:vAlign w:val="center"/>
            <w:shd w:fill="F2F2F2"/>
          </w:tcPr>
          <w:p>
            <w:pPr>
              <w:spacing w:after="0"/>
            </w:pPr>
            <w:r/>
            <w:r>
              <w:rPr>
                <w:rFonts w:ascii="Aptos" w:hAnsi="Aptos"/>
                <w:b w:val="0"/>
                <w:sz w:val="15"/>
              </w:rPr>
              <w:t>Viento, nieve, sismo y temperatura</w:t>
            </w:r>
          </w:p>
        </w:tc>
      </w:tr>
      <w:tr>
        <w:tc>
          <w:tcPr>
            <w:tcW w:type="dxa" w:w="2551"/>
            <w:vAlign w:val="center"/>
          </w:tcPr>
          <w:p>
            <w:pPr>
              <w:spacing w:after="0"/>
            </w:pPr>
            <w:r/>
            <w:r>
              <w:rPr>
                <w:rFonts w:ascii="Aptos" w:hAnsi="Aptos"/>
                <w:b w:val="0"/>
                <w:sz w:val="15"/>
              </w:rPr>
              <w:t>Tensión/dirección de cable</w:t>
            </w:r>
          </w:p>
        </w:tc>
        <w:tc>
          <w:tcPr>
            <w:tcW w:type="dxa" w:w="6520"/>
            <w:vAlign w:val="center"/>
          </w:tcPr>
          <w:p>
            <w:pPr>
              <w:spacing w:after="0"/>
            </w:pPr>
            <w:r/>
            <w:r>
              <w:rPr>
                <w:rFonts w:ascii="Aptos" w:hAnsi="Aptos"/>
                <w:b w:val="0"/>
                <w:sz w:val="15"/>
              </w:rPr>
              <w:t>Casos de cable y todas las combinaciones relacionadas</w:t>
            </w:r>
          </w:p>
        </w:tc>
      </w:tr>
      <w:tr>
        <w:tc>
          <w:tcPr>
            <w:tcW w:type="dxa" w:w="2551"/>
            <w:vAlign w:val="center"/>
            <w:shd w:fill="F2F2F2"/>
          </w:tcPr>
          <w:p>
            <w:pPr>
              <w:spacing w:after="0"/>
            </w:pPr>
            <w:r/>
            <w:r>
              <w:rPr>
                <w:rFonts w:ascii="Aptos" w:hAnsi="Aptos"/>
                <w:b w:val="0"/>
                <w:sz w:val="15"/>
              </w:rPr>
              <w:t>Norma/anexo</w:t>
            </w:r>
          </w:p>
        </w:tc>
        <w:tc>
          <w:tcPr>
            <w:tcW w:type="dxa" w:w="6520"/>
            <w:vAlign w:val="center"/>
            <w:shd w:fill="F2F2F2"/>
          </w:tcPr>
          <w:p>
            <w:pPr>
              <w:spacing w:after="0"/>
            </w:pPr>
            <w:r/>
            <w:r>
              <w:rPr>
                <w:rFonts w:ascii="Aptos" w:hAnsi="Aptos"/>
                <w:b w:val="0"/>
                <w:sz w:val="15"/>
              </w:rPr>
              <w:t>Todos los resultados de acciones</w:t>
            </w:r>
          </w:p>
        </w:tc>
      </w:tr>
      <w:tr>
        <w:tc>
          <w:tcPr>
            <w:tcW w:type="dxa" w:w="2551"/>
            <w:vAlign w:val="center"/>
          </w:tcPr>
          <w:p>
            <w:pPr>
              <w:spacing w:after="0"/>
            </w:pPr>
            <w:r/>
            <w:r>
              <w:rPr>
                <w:rFonts w:ascii="Aptos" w:hAnsi="Aptos"/>
                <w:b w:val="0"/>
                <w:sz w:val="15"/>
              </w:rPr>
              <w:t>Margen interno</w:t>
            </w:r>
          </w:p>
        </w:tc>
        <w:tc>
          <w:tcPr>
            <w:tcW w:type="dxa" w:w="6520"/>
            <w:vAlign w:val="center"/>
          </w:tcPr>
          <w:p>
            <w:pPr>
              <w:spacing w:after="0"/>
            </w:pPr>
            <w:r/>
            <w:r>
              <w:rPr>
                <w:rFonts w:ascii="Aptos" w:hAnsi="Aptos"/>
                <w:b w:val="0"/>
                <w:sz w:val="15"/>
              </w:rPr>
              <w:t>Solo casos/combinaciones donde se aplique</w:t>
            </w:r>
          </w:p>
        </w:tc>
      </w:tr>
      <w:tr>
        <w:tc>
          <w:tcPr>
            <w:tcW w:type="dxa" w:w="2551"/>
            <w:vAlign w:val="center"/>
            <w:shd w:fill="F2F2F2"/>
          </w:tcPr>
          <w:p>
            <w:pPr>
              <w:spacing w:after="0"/>
            </w:pPr>
            <w:r/>
            <w:r>
              <w:rPr>
                <w:rFonts w:ascii="Aptos" w:hAnsi="Aptos"/>
                <w:b w:val="0"/>
                <w:sz w:val="15"/>
              </w:rPr>
              <w:t>Formato de informe</w:t>
            </w:r>
          </w:p>
        </w:tc>
        <w:tc>
          <w:tcPr>
            <w:tcW w:type="dxa" w:w="6520"/>
            <w:vAlign w:val="center"/>
            <w:shd w:fill="F2F2F2"/>
          </w:tcPr>
          <w:p>
            <w:pPr>
              <w:spacing w:after="0"/>
            </w:pPr>
            <w:r/>
            <w:r>
              <w:rPr>
                <w:rFonts w:ascii="Aptos" w:hAnsi="Aptos"/>
                <w:b w:val="0"/>
                <w:sz w:val="15"/>
              </w:rPr>
              <w:t>No invalida cálculo</w:t>
            </w:r>
          </w:p>
        </w:tc>
      </w:tr>
    </w:tbl>
    <w:p>
      <w:pPr>
        <w:spacing w:after="0"/>
      </w:pPr>
    </w:p>
    <w:p>
      <w:pPr>
        <w:pStyle w:val="Heading1"/>
        <w:spacing w:after="80"/>
      </w:pPr>
      <w:r>
        <w:t>28. Rendimiento, observabilidad y seguridad</w:t>
      </w:r>
    </w:p>
    <w:tbl>
      <w:tblPr>
        <w:tblStyle w:val="TableGrid"/>
        <w:tblW w:type="auto" w:w="0"/>
        <w:jc w:val="center"/>
        <w:tblLook w:firstColumn="1" w:firstRow="1" w:lastColumn="0" w:lastRow="0" w:noHBand="0" w:noVBand="1" w:val="04A0"/>
      </w:tblPr>
      <w:tblGrid>
        <w:gridCol w:w="5156"/>
        <w:gridCol w:w="5156"/>
      </w:tblGrid>
      <w:tr>
        <w:tc>
          <w:tcPr>
            <w:tcW w:type="dxa" w:w="3969"/>
            <w:vAlign w:val="center"/>
            <w:shd w:fill="111111"/>
          </w:tcPr>
          <w:p>
            <w:pPr>
              <w:spacing w:after="0"/>
            </w:pPr>
            <w:r/>
            <w:r>
              <w:rPr>
                <w:rFonts w:ascii="Aptos" w:hAnsi="Aptos"/>
                <w:b/>
                <w:color w:val="FFFFFF"/>
                <w:sz w:val="15"/>
              </w:rPr>
              <w:t>Objetivo</w:t>
            </w:r>
          </w:p>
        </w:tc>
        <w:tc>
          <w:tcPr>
            <w:tcW w:type="dxa" w:w="5102"/>
            <w:vAlign w:val="center"/>
            <w:shd w:fill="111111"/>
          </w:tcPr>
          <w:p>
            <w:pPr>
              <w:spacing w:after="0"/>
            </w:pPr>
            <w:r/>
            <w:r>
              <w:rPr>
                <w:rFonts w:ascii="Aptos" w:hAnsi="Aptos"/>
                <w:b/>
                <w:color w:val="FFFFFF"/>
                <w:sz w:val="15"/>
              </w:rPr>
              <w:t>Valor inicial</w:t>
            </w:r>
          </w:p>
        </w:tc>
      </w:tr>
      <w:tr>
        <w:tc>
          <w:tcPr>
            <w:tcW w:type="dxa" w:w="3969"/>
            <w:vAlign w:val="center"/>
          </w:tcPr>
          <w:p>
            <w:pPr>
              <w:spacing w:after="0"/>
            </w:pPr>
            <w:r/>
            <w:r>
              <w:rPr>
                <w:rFonts w:ascii="Aptos" w:hAnsi="Aptos"/>
                <w:b w:val="0"/>
                <w:sz w:val="15"/>
              </w:rPr>
              <w:t>Resolución de ubicación sin capas remotas lentas</w:t>
            </w:r>
          </w:p>
        </w:tc>
        <w:tc>
          <w:tcPr>
            <w:tcW w:type="dxa" w:w="5102"/>
            <w:vAlign w:val="center"/>
          </w:tcPr>
          <w:p>
            <w:pPr>
              <w:spacing w:after="0"/>
            </w:pPr>
            <w:r/>
            <w:r>
              <w:rPr>
                <w:rFonts w:ascii="Aptos" w:hAnsi="Aptos"/>
                <w:b w:val="0"/>
                <w:sz w:val="15"/>
              </w:rPr>
              <w:t>&lt; 3 s p95</w:t>
            </w:r>
          </w:p>
        </w:tc>
      </w:tr>
      <w:tr>
        <w:tc>
          <w:tcPr>
            <w:tcW w:type="dxa" w:w="3969"/>
            <w:vAlign w:val="center"/>
            <w:shd w:fill="F2F2F2"/>
          </w:tcPr>
          <w:p>
            <w:pPr>
              <w:spacing w:after="0"/>
            </w:pPr>
            <w:r/>
            <w:r>
              <w:rPr>
                <w:rFonts w:ascii="Aptos" w:hAnsi="Aptos"/>
                <w:b w:val="0"/>
                <w:sz w:val="15"/>
              </w:rPr>
              <w:t>Barrido base de 12 direcciones para columna típica</w:t>
            </w:r>
          </w:p>
        </w:tc>
        <w:tc>
          <w:tcPr>
            <w:tcW w:type="dxa" w:w="5102"/>
            <w:vAlign w:val="center"/>
            <w:shd w:fill="F2F2F2"/>
          </w:tcPr>
          <w:p>
            <w:pPr>
              <w:spacing w:after="0"/>
            </w:pPr>
            <w:r/>
            <w:r>
              <w:rPr>
                <w:rFonts w:ascii="Aptos" w:hAnsi="Aptos"/>
                <w:b w:val="0"/>
                <w:sz w:val="15"/>
              </w:rPr>
              <w:t>&lt; 5 s p95</w:t>
            </w:r>
          </w:p>
        </w:tc>
      </w:tr>
      <w:tr>
        <w:tc>
          <w:tcPr>
            <w:tcW w:type="dxa" w:w="3969"/>
            <w:vAlign w:val="center"/>
          </w:tcPr>
          <w:p>
            <w:pPr>
              <w:spacing w:after="0"/>
            </w:pPr>
            <w:r/>
            <w:r>
              <w:rPr>
                <w:rFonts w:ascii="Aptos" w:hAnsi="Aptos"/>
                <w:b w:val="0"/>
                <w:sz w:val="15"/>
              </w:rPr>
              <w:t>Generación de combinaciones típica</w:t>
            </w:r>
          </w:p>
        </w:tc>
        <w:tc>
          <w:tcPr>
            <w:tcW w:type="dxa" w:w="5102"/>
            <w:vAlign w:val="center"/>
          </w:tcPr>
          <w:p>
            <w:pPr>
              <w:spacing w:after="0"/>
            </w:pPr>
            <w:r/>
            <w:r>
              <w:rPr>
                <w:rFonts w:ascii="Aptos" w:hAnsi="Aptos"/>
                <w:b w:val="0"/>
                <w:sz w:val="15"/>
              </w:rPr>
              <w:t>&lt; 2 s p95</w:t>
            </w:r>
          </w:p>
        </w:tc>
      </w:tr>
      <w:tr>
        <w:tc>
          <w:tcPr>
            <w:tcW w:type="dxa" w:w="3969"/>
            <w:vAlign w:val="center"/>
            <w:shd w:fill="F2F2F2"/>
          </w:tcPr>
          <w:p>
            <w:pPr>
              <w:spacing w:after="0"/>
            </w:pPr>
            <w:r/>
            <w:r>
              <w:rPr>
                <w:rFonts w:ascii="Aptos" w:hAnsi="Aptos"/>
                <w:b w:val="0"/>
                <w:sz w:val="15"/>
              </w:rPr>
              <w:t>Proyecto complejo 30 m, 6 cables, accesorios múltiples</w:t>
            </w:r>
          </w:p>
        </w:tc>
        <w:tc>
          <w:tcPr>
            <w:tcW w:type="dxa" w:w="5102"/>
            <w:vAlign w:val="center"/>
            <w:shd w:fill="F2F2F2"/>
          </w:tcPr>
          <w:p>
            <w:pPr>
              <w:spacing w:after="0"/>
            </w:pPr>
            <w:r/>
            <w:r>
              <w:rPr>
                <w:rFonts w:ascii="Aptos" w:hAnsi="Aptos"/>
                <w:b w:val="0"/>
                <w:sz w:val="15"/>
              </w:rPr>
              <w:t>&lt; 20 s p95</w:t>
            </w:r>
          </w:p>
        </w:tc>
      </w:tr>
      <w:tr>
        <w:tc>
          <w:tcPr>
            <w:tcW w:type="dxa" w:w="3969"/>
            <w:vAlign w:val="center"/>
          </w:tcPr>
          <w:p>
            <w:pPr>
              <w:spacing w:after="0"/>
            </w:pPr>
            <w:r/>
            <w:r>
              <w:rPr>
                <w:rFonts w:ascii="Aptos" w:hAnsi="Aptos"/>
                <w:b w:val="0"/>
                <w:sz w:val="15"/>
              </w:rPr>
              <w:t>Reproducibilidad de hash</w:t>
            </w:r>
          </w:p>
        </w:tc>
        <w:tc>
          <w:tcPr>
            <w:tcW w:type="dxa" w:w="5102"/>
            <w:vAlign w:val="center"/>
          </w:tcPr>
          <w:p>
            <w:pPr>
              <w:spacing w:after="0"/>
            </w:pPr>
            <w:r/>
            <w:r>
              <w:rPr>
                <w:rFonts w:ascii="Aptos" w:hAnsi="Aptos"/>
                <w:b w:val="0"/>
                <w:sz w:val="15"/>
              </w:rPr>
              <w:t>100 % para entradas idénticas</w:t>
            </w:r>
          </w:p>
        </w:tc>
      </w:tr>
      <w:tr>
        <w:tc>
          <w:tcPr>
            <w:tcW w:type="dxa" w:w="3969"/>
            <w:vAlign w:val="center"/>
            <w:shd w:fill="F2F2F2"/>
          </w:tcPr>
          <w:p>
            <w:pPr>
              <w:spacing w:after="0"/>
            </w:pPr>
            <w:r/>
            <w:r>
              <w:rPr>
                <w:rFonts w:ascii="Aptos" w:hAnsi="Aptos"/>
                <w:b w:val="0"/>
                <w:sz w:val="15"/>
              </w:rPr>
              <w:t>Disponibilidad objetivo del servicio interno</w:t>
            </w:r>
          </w:p>
        </w:tc>
        <w:tc>
          <w:tcPr>
            <w:tcW w:type="dxa" w:w="5102"/>
            <w:vAlign w:val="center"/>
            <w:shd w:fill="F2F2F2"/>
          </w:tcPr>
          <w:p>
            <w:pPr>
              <w:spacing w:after="0"/>
            </w:pPr>
            <w:r/>
            <w:r>
              <w:rPr>
                <w:rFonts w:ascii="Aptos" w:hAnsi="Aptos"/>
                <w:b w:val="0"/>
                <w:sz w:val="15"/>
              </w:rPr>
              <w:t>99,5 % mensual</w:t>
            </w:r>
          </w:p>
        </w:tc>
      </w:tr>
      <w:tr>
        <w:tc>
          <w:tcPr>
            <w:tcW w:type="dxa" w:w="3969"/>
            <w:vAlign w:val="center"/>
          </w:tcPr>
          <w:p>
            <w:pPr>
              <w:spacing w:after="0"/>
            </w:pPr>
            <w:r/>
            <w:r>
              <w:rPr>
                <w:rFonts w:ascii="Aptos" w:hAnsi="Aptos"/>
                <w:b w:val="0"/>
                <w:sz w:val="15"/>
              </w:rPr>
              <w:t>RPO / RTO</w:t>
            </w:r>
          </w:p>
        </w:tc>
        <w:tc>
          <w:tcPr>
            <w:tcW w:type="dxa" w:w="5102"/>
            <w:vAlign w:val="center"/>
          </w:tcPr>
          <w:p>
            <w:pPr>
              <w:spacing w:after="0"/>
            </w:pPr>
            <w:r/>
            <w:r>
              <w:rPr>
                <w:rFonts w:ascii="Aptos" w:hAnsi="Aptos"/>
                <w:b w:val="0"/>
                <w:sz w:val="15"/>
              </w:rPr>
              <w:t>Según política Fase 1; outputs regenerables</w:t>
            </w:r>
          </w:p>
        </w:tc>
      </w:tr>
    </w:tbl>
    <w:p>
      <w:pPr>
        <w:spacing w:after="0"/>
      </w:pPr>
    </w:p>
    <w:p>
      <w:pPr>
        <w:spacing w:after="80"/>
      </w:pPr>
      <w:r>
        <w:t>Se registrarán métricas por tipo de acción, número de direcciones, tiempo de resolución geográfica, combinaciones generadas, caché, advertencias y fallos. Los logs no contendrán texto completo de normas protegidas ni secretos de proveedores de mapas.</w:t>
      </w:r>
    </w:p>
    <w:p>
      <w:pPr>
        <w:pStyle w:val="Heading1"/>
        <w:spacing w:after="80"/>
      </w:pPr>
      <w:r>
        <w:t>29. Estrategia de pruebas</w:t>
      </w:r>
    </w:p>
    <w:p>
      <w:pPr>
        <w:pStyle w:val="ListBullet"/>
        <w:spacing w:after="30"/>
      </w:pPr>
      <w:r>
        <w:t>Pruebas unitarias de fórmulas y coeficientes con ejemplos aprobados.</w:t>
      </w:r>
    </w:p>
    <w:p>
      <w:pPr>
        <w:pStyle w:val="ListBullet"/>
        <w:spacing w:after="30"/>
      </w:pPr>
      <w:r>
        <w:t>Pruebas de propiedades: invariancia por rotación, equilibrio de resultantes, continuidad por cota y monotonicidad esperada.</w:t>
      </w:r>
    </w:p>
    <w:p>
      <w:pPr>
        <w:pStyle w:val="ListBullet"/>
        <w:spacing w:after="30"/>
      </w:pPr>
      <w:r>
        <w:t>Pruebas de regresión con golden masters por tipología y material.</w:t>
      </w:r>
    </w:p>
    <w:p>
      <w:pPr>
        <w:pStyle w:val="ListBullet"/>
        <w:spacing w:after="30"/>
      </w:pPr>
      <w:r>
        <w:t>Pruebas de contrato entre Fase 2 y cargas espaciales.</w:t>
      </w:r>
    </w:p>
    <w:p>
      <w:pPr>
        <w:pStyle w:val="ListBullet"/>
        <w:spacing w:after="30"/>
      </w:pPr>
      <w:r>
        <w:t>Pruebas GIS con puntos fronterizos, costa, altitud y falta de cobertura.</w:t>
      </w:r>
    </w:p>
    <w:p>
      <w:pPr>
        <w:pStyle w:val="ListBullet"/>
        <w:spacing w:after="30"/>
      </w:pPr>
      <w:r>
        <w:t>Pruebas de combinaciones contra enumeraciones manuales.</w:t>
      </w:r>
    </w:p>
    <w:p>
      <w:pPr>
        <w:pStyle w:val="ListBullet"/>
        <w:spacing w:after="30"/>
      </w:pPr>
      <w:r>
        <w:t>Pruebas de determinismo entre plataformas y ejecuciones.</w:t>
      </w:r>
    </w:p>
    <w:p>
      <w:pPr>
        <w:pStyle w:val="ListBullet"/>
        <w:spacing w:after="30"/>
      </w:pPr>
      <w:r>
        <w:t>Pruebas de rendimiento y proyectos extremos.</w:t>
      </w:r>
    </w:p>
    <w:p>
      <w:pPr>
        <w:pStyle w:val="ListBullet"/>
        <w:spacing w:after="30"/>
      </w:pPr>
      <w:r>
        <w:t>Revisión independiente por Oficina Técnica de los casos de referencia.</w:t>
      </w:r>
    </w:p>
    <w:p>
      <w:pPr>
        <w:pStyle w:val="Heading2"/>
        <w:spacing w:after="80"/>
      </w:pPr>
      <w:r>
        <w:t>29.1 Tolerancias de validación</w:t>
      </w:r>
    </w:p>
    <w:tbl>
      <w:tblPr>
        <w:tblStyle w:val="TableGrid"/>
        <w:tblW w:type="auto" w:w="0"/>
        <w:jc w:val="center"/>
        <w:tblLook w:firstColumn="1" w:firstRow="1" w:lastColumn="0" w:lastRow="0" w:noHBand="0" w:noVBand="1" w:val="04A0"/>
      </w:tblPr>
      <w:tblGrid>
        <w:gridCol w:w="5156"/>
        <w:gridCol w:w="5156"/>
      </w:tblGrid>
      <w:tr>
        <w:tc>
          <w:tcPr>
            <w:tcW w:type="dxa" w:w="4252"/>
            <w:vAlign w:val="center"/>
            <w:shd w:fill="111111"/>
          </w:tcPr>
          <w:p>
            <w:pPr>
              <w:spacing w:after="0"/>
            </w:pPr>
            <w:r/>
            <w:r>
              <w:rPr>
                <w:rFonts w:ascii="Aptos" w:hAnsi="Aptos"/>
                <w:b/>
                <w:color w:val="FFFFFF"/>
                <w:sz w:val="15"/>
              </w:rPr>
              <w:t>Magnitud</w:t>
            </w:r>
          </w:p>
        </w:tc>
        <w:tc>
          <w:tcPr>
            <w:tcW w:type="dxa" w:w="4819"/>
            <w:vAlign w:val="center"/>
            <w:shd w:fill="111111"/>
          </w:tcPr>
          <w:p>
            <w:pPr>
              <w:spacing w:after="0"/>
            </w:pPr>
            <w:r/>
            <w:r>
              <w:rPr>
                <w:rFonts w:ascii="Aptos" w:hAnsi="Aptos"/>
                <w:b/>
                <w:color w:val="FFFFFF"/>
                <w:sz w:val="15"/>
              </w:rPr>
              <w:t>Tolerancia propuesta</w:t>
            </w:r>
          </w:p>
        </w:tc>
      </w:tr>
      <w:tr>
        <w:tc>
          <w:tcPr>
            <w:tcW w:type="dxa" w:w="4252"/>
            <w:vAlign w:val="center"/>
          </w:tcPr>
          <w:p>
            <w:pPr>
              <w:spacing w:after="0"/>
            </w:pPr>
            <w:r/>
            <w:r>
              <w:rPr>
                <w:rFonts w:ascii="Aptos" w:hAnsi="Aptos"/>
                <w:b w:val="0"/>
                <w:sz w:val="15"/>
              </w:rPr>
              <w:t>Resultante de carga distribuida vs integración de referencia</w:t>
            </w:r>
          </w:p>
        </w:tc>
        <w:tc>
          <w:tcPr>
            <w:tcW w:type="dxa" w:w="4819"/>
            <w:vAlign w:val="center"/>
          </w:tcPr>
          <w:p>
            <w:pPr>
              <w:spacing w:after="0"/>
            </w:pPr>
            <w:r/>
            <w:r>
              <w:rPr>
                <w:rFonts w:ascii="Aptos" w:hAnsi="Aptos"/>
                <w:b w:val="0"/>
                <w:sz w:val="15"/>
              </w:rPr>
              <w:t>≤ 0,2 %</w:t>
            </w:r>
          </w:p>
        </w:tc>
      </w:tr>
      <w:tr>
        <w:tc>
          <w:tcPr>
            <w:tcW w:type="dxa" w:w="4252"/>
            <w:vAlign w:val="center"/>
            <w:shd w:fill="F2F2F2"/>
          </w:tcPr>
          <w:p>
            <w:pPr>
              <w:spacing w:after="0"/>
            </w:pPr>
            <w:r/>
            <w:r>
              <w:rPr>
                <w:rFonts w:ascii="Aptos" w:hAnsi="Aptos"/>
                <w:b w:val="0"/>
                <w:sz w:val="15"/>
              </w:rPr>
              <w:t>Momento resultante vs referencia</w:t>
            </w:r>
          </w:p>
        </w:tc>
        <w:tc>
          <w:tcPr>
            <w:tcW w:type="dxa" w:w="4819"/>
            <w:vAlign w:val="center"/>
            <w:shd w:fill="F2F2F2"/>
          </w:tcPr>
          <w:p>
            <w:pPr>
              <w:spacing w:after="0"/>
            </w:pPr>
            <w:r/>
            <w:r>
              <w:rPr>
                <w:rFonts w:ascii="Aptos" w:hAnsi="Aptos"/>
                <w:b w:val="0"/>
                <w:sz w:val="15"/>
              </w:rPr>
              <w:t>≤ 0,2 %</w:t>
            </w:r>
          </w:p>
        </w:tc>
      </w:tr>
      <w:tr>
        <w:tc>
          <w:tcPr>
            <w:tcW w:type="dxa" w:w="4252"/>
            <w:vAlign w:val="center"/>
          </w:tcPr>
          <w:p>
            <w:pPr>
              <w:spacing w:after="0"/>
            </w:pPr>
            <w:r/>
            <w:r>
              <w:rPr>
                <w:rFonts w:ascii="Aptos" w:hAnsi="Aptos"/>
                <w:b w:val="0"/>
                <w:sz w:val="15"/>
              </w:rPr>
              <w:t>Transformación global-local</w:t>
            </w:r>
          </w:p>
        </w:tc>
        <w:tc>
          <w:tcPr>
            <w:tcW w:type="dxa" w:w="4819"/>
            <w:vAlign w:val="center"/>
          </w:tcPr>
          <w:p>
            <w:pPr>
              <w:spacing w:after="0"/>
            </w:pPr>
            <w:r/>
            <w:r>
              <w:rPr>
                <w:rFonts w:ascii="Aptos" w:hAnsi="Aptos"/>
                <w:b w:val="0"/>
                <w:sz w:val="15"/>
              </w:rPr>
              <w:t>≤ 1e-10 relativo en test numérico</w:t>
            </w:r>
          </w:p>
        </w:tc>
      </w:tr>
      <w:tr>
        <w:tc>
          <w:tcPr>
            <w:tcW w:type="dxa" w:w="4252"/>
            <w:vAlign w:val="center"/>
            <w:shd w:fill="F2F2F2"/>
          </w:tcPr>
          <w:p>
            <w:pPr>
              <w:spacing w:after="0"/>
            </w:pPr>
            <w:r/>
            <w:r>
              <w:rPr>
                <w:rFonts w:ascii="Aptos" w:hAnsi="Aptos"/>
                <w:b w:val="0"/>
                <w:sz w:val="15"/>
              </w:rPr>
              <w:t>Rotación de modelo + dirección</w:t>
            </w:r>
          </w:p>
        </w:tc>
        <w:tc>
          <w:tcPr>
            <w:tcW w:type="dxa" w:w="4819"/>
            <w:vAlign w:val="center"/>
            <w:shd w:fill="F2F2F2"/>
          </w:tcPr>
          <w:p>
            <w:pPr>
              <w:spacing w:after="0"/>
            </w:pPr>
            <w:r/>
            <w:r>
              <w:rPr>
                <w:rFonts w:ascii="Aptos" w:hAnsi="Aptos"/>
                <w:b w:val="0"/>
                <w:sz w:val="15"/>
              </w:rPr>
              <w:t>Invariante ≤ 1e-8 relativo</w:t>
            </w:r>
          </w:p>
        </w:tc>
      </w:tr>
      <w:tr>
        <w:tc>
          <w:tcPr>
            <w:tcW w:type="dxa" w:w="4252"/>
            <w:vAlign w:val="center"/>
          </w:tcPr>
          <w:p>
            <w:pPr>
              <w:spacing w:after="0"/>
            </w:pPr>
            <w:r/>
            <w:r>
              <w:rPr>
                <w:rFonts w:ascii="Aptos" w:hAnsi="Aptos"/>
                <w:b w:val="0"/>
                <w:sz w:val="15"/>
              </w:rPr>
              <w:t>Masa calculada vs geometría analítica</w:t>
            </w:r>
          </w:p>
        </w:tc>
        <w:tc>
          <w:tcPr>
            <w:tcW w:type="dxa" w:w="4819"/>
            <w:vAlign w:val="center"/>
          </w:tcPr>
          <w:p>
            <w:pPr>
              <w:spacing w:after="0"/>
            </w:pPr>
            <w:r/>
            <w:r>
              <w:rPr>
                <w:rFonts w:ascii="Aptos" w:hAnsi="Aptos"/>
                <w:b w:val="0"/>
                <w:sz w:val="15"/>
              </w:rPr>
              <w:t>≤ 0,1 %</w:t>
            </w:r>
          </w:p>
        </w:tc>
      </w:tr>
      <w:tr>
        <w:tc>
          <w:tcPr>
            <w:tcW w:type="dxa" w:w="4252"/>
            <w:vAlign w:val="center"/>
            <w:shd w:fill="F2F2F2"/>
          </w:tcPr>
          <w:p>
            <w:pPr>
              <w:spacing w:after="0"/>
            </w:pPr>
            <w:r/>
            <w:r>
              <w:rPr>
                <w:rFonts w:ascii="Aptos" w:hAnsi="Aptos"/>
                <w:b w:val="0"/>
                <w:sz w:val="15"/>
              </w:rPr>
              <w:t>Duplicados de combinaciones normalizadas</w:t>
            </w:r>
          </w:p>
        </w:tc>
        <w:tc>
          <w:tcPr>
            <w:tcW w:type="dxa" w:w="4819"/>
            <w:vAlign w:val="center"/>
            <w:shd w:fill="F2F2F2"/>
          </w:tcPr>
          <w:p>
            <w:pPr>
              <w:spacing w:after="0"/>
            </w:pPr>
            <w:r/>
            <w:r>
              <w:rPr>
                <w:rFonts w:ascii="Aptos" w:hAnsi="Aptos"/>
                <w:b w:val="0"/>
                <w:sz w:val="15"/>
              </w:rPr>
              <w:t>0</w:t>
            </w:r>
          </w:p>
        </w:tc>
      </w:tr>
      <w:tr>
        <w:tc>
          <w:tcPr>
            <w:tcW w:type="dxa" w:w="4252"/>
            <w:vAlign w:val="center"/>
          </w:tcPr>
          <w:p>
            <w:pPr>
              <w:spacing w:after="0"/>
            </w:pPr>
            <w:r/>
            <w:r>
              <w:rPr>
                <w:rFonts w:ascii="Aptos" w:hAnsi="Aptos"/>
                <w:b w:val="0"/>
                <w:sz w:val="15"/>
              </w:rPr>
              <w:t>Repetición de ejecución</w:t>
            </w:r>
          </w:p>
        </w:tc>
        <w:tc>
          <w:tcPr>
            <w:tcW w:type="dxa" w:w="4819"/>
            <w:vAlign w:val="center"/>
          </w:tcPr>
          <w:p>
            <w:pPr>
              <w:spacing w:after="0"/>
            </w:pPr>
            <w:r/>
            <w:r>
              <w:rPr>
                <w:rFonts w:ascii="Aptos" w:hAnsi="Aptos"/>
                <w:b w:val="0"/>
                <w:sz w:val="15"/>
              </w:rPr>
              <w:t>Hash y bytes canónicos idénticos</w:t>
            </w:r>
          </w:p>
        </w:tc>
      </w:tr>
    </w:tbl>
    <w:p>
      <w:pPr>
        <w:spacing w:after="0"/>
      </w:pPr>
    </w:p>
    <w:p>
      <w:pPr>
        <w:pStyle w:val="Heading1"/>
        <w:spacing w:after="80"/>
      </w:pPr>
      <w:r>
        <w:t>30. Casos de aceptación</w:t>
      </w:r>
    </w:p>
    <w:tbl>
      <w:tblPr>
        <w:tblStyle w:val="TableGrid"/>
        <w:tblW w:type="auto" w:w="0"/>
        <w:jc w:val="center"/>
        <w:tblLook w:firstColumn="1" w:firstRow="1" w:lastColumn="0" w:lastRow="0" w:noHBand="0" w:noVBand="1" w:val="04A0"/>
      </w:tblPr>
      <w:tblGrid>
        <w:gridCol w:w="5156"/>
        <w:gridCol w:w="5156"/>
      </w:tblGrid>
      <w:tr>
        <w:tc>
          <w:tcPr>
            <w:tcW w:type="dxa" w:w="1134"/>
            <w:vAlign w:val="center"/>
            <w:shd w:fill="111111"/>
          </w:tcPr>
          <w:p>
            <w:pPr>
              <w:spacing w:after="0"/>
            </w:pPr>
            <w:r/>
            <w:r>
              <w:rPr>
                <w:rFonts w:ascii="Aptos" w:hAnsi="Aptos"/>
                <w:b/>
                <w:color w:val="FFFFFF"/>
                <w:sz w:val="15"/>
              </w:rPr>
              <w:t>ID</w:t>
            </w:r>
          </w:p>
        </w:tc>
        <w:tc>
          <w:tcPr>
            <w:tcW w:type="dxa" w:w="7937"/>
            <w:vAlign w:val="center"/>
            <w:shd w:fill="111111"/>
          </w:tcPr>
          <w:p>
            <w:pPr>
              <w:spacing w:after="0"/>
            </w:pPr>
            <w:r/>
            <w:r>
              <w:rPr>
                <w:rFonts w:ascii="Aptos" w:hAnsi="Aptos"/>
                <w:b/>
                <w:color w:val="FFFFFF"/>
                <w:sz w:val="15"/>
              </w:rPr>
              <w:t>Criterio de aceptación</w:t>
            </w:r>
          </w:p>
        </w:tc>
      </w:tr>
      <w:tr>
        <w:tc>
          <w:tcPr>
            <w:tcW w:type="dxa" w:w="1134"/>
            <w:vAlign w:val="center"/>
          </w:tcPr>
          <w:p>
            <w:pPr>
              <w:spacing w:after="0"/>
            </w:pPr>
            <w:r/>
            <w:r>
              <w:rPr>
                <w:rFonts w:ascii="Aptos" w:hAnsi="Aptos"/>
                <w:b w:val="0"/>
                <w:sz w:val="15"/>
              </w:rPr>
              <w:t>AC-01</w:t>
            </w:r>
          </w:p>
        </w:tc>
        <w:tc>
          <w:tcPr>
            <w:tcW w:type="dxa" w:w="7937"/>
            <w:vAlign w:val="center"/>
          </w:tcPr>
          <w:p>
            <w:pPr>
              <w:spacing w:after="0"/>
            </w:pPr>
            <w:r/>
            <w:r>
              <w:rPr>
                <w:rFonts w:ascii="Aptos" w:hAnsi="Aptos"/>
                <w:b w:val="0"/>
                <w:sz w:val="15"/>
              </w:rPr>
              <w:t>Ubicación en España resuelve país, región, altitud y propuestas con fuente.</w:t>
            </w:r>
          </w:p>
        </w:tc>
      </w:tr>
      <w:tr>
        <w:tc>
          <w:tcPr>
            <w:tcW w:type="dxa" w:w="1134"/>
            <w:vAlign w:val="center"/>
            <w:shd w:fill="F2F2F2"/>
          </w:tcPr>
          <w:p>
            <w:pPr>
              <w:spacing w:after="0"/>
            </w:pPr>
            <w:r/>
            <w:r>
              <w:rPr>
                <w:rFonts w:ascii="Aptos" w:hAnsi="Aptos"/>
                <w:b w:val="0"/>
                <w:sz w:val="15"/>
              </w:rPr>
              <w:t>AC-02</w:t>
            </w:r>
          </w:p>
        </w:tc>
        <w:tc>
          <w:tcPr>
            <w:tcW w:type="dxa" w:w="7937"/>
            <w:vAlign w:val="center"/>
            <w:shd w:fill="F2F2F2"/>
          </w:tcPr>
          <w:p>
            <w:pPr>
              <w:spacing w:after="0"/>
            </w:pPr>
            <w:r/>
            <w:r>
              <w:rPr>
                <w:rFonts w:ascii="Aptos" w:hAnsi="Aptos"/>
                <w:b w:val="0"/>
                <w:sz w:val="15"/>
              </w:rPr>
              <w:t>Cambio manual de viento conserva propuesta, valor adoptado y justificación.</w:t>
            </w:r>
          </w:p>
        </w:tc>
      </w:tr>
      <w:tr>
        <w:tc>
          <w:tcPr>
            <w:tcW w:type="dxa" w:w="1134"/>
            <w:vAlign w:val="center"/>
          </w:tcPr>
          <w:p>
            <w:pPr>
              <w:spacing w:after="0"/>
            </w:pPr>
            <w:r/>
            <w:r>
              <w:rPr>
                <w:rFonts w:ascii="Aptos" w:hAnsi="Aptos"/>
                <w:b w:val="0"/>
                <w:sz w:val="15"/>
              </w:rPr>
              <w:t>AC-03</w:t>
            </w:r>
          </w:p>
        </w:tc>
        <w:tc>
          <w:tcPr>
            <w:tcW w:type="dxa" w:w="7937"/>
            <w:vAlign w:val="center"/>
          </w:tcPr>
          <w:p>
            <w:pPr>
              <w:spacing w:after="0"/>
            </w:pPr>
            <w:r/>
            <w:r>
              <w:rPr>
                <w:rFonts w:ascii="Aptos" w:hAnsi="Aptos"/>
                <w:b w:val="0"/>
                <w:sz w:val="15"/>
              </w:rPr>
              <w:t>Columna cilíndrica sin accesorios genera 12 casos direccionales equivalentes por simetría.</w:t>
            </w:r>
          </w:p>
        </w:tc>
      </w:tr>
      <w:tr>
        <w:tc>
          <w:tcPr>
            <w:tcW w:type="dxa" w:w="1134"/>
            <w:vAlign w:val="center"/>
            <w:shd w:fill="F2F2F2"/>
          </w:tcPr>
          <w:p>
            <w:pPr>
              <w:spacing w:after="0"/>
            </w:pPr>
            <w:r/>
            <w:r>
              <w:rPr>
                <w:rFonts w:ascii="Aptos" w:hAnsi="Aptos"/>
                <w:b w:val="0"/>
                <w:sz w:val="15"/>
              </w:rPr>
              <w:t>AC-04</w:t>
            </w:r>
          </w:p>
        </w:tc>
        <w:tc>
          <w:tcPr>
            <w:tcW w:type="dxa" w:w="7937"/>
            <w:vAlign w:val="center"/>
            <w:shd w:fill="F2F2F2"/>
          </w:tcPr>
          <w:p>
            <w:pPr>
              <w:spacing w:after="0"/>
            </w:pPr>
            <w:r/>
            <w:r>
              <w:rPr>
                <w:rFonts w:ascii="Aptos" w:hAnsi="Aptos"/>
                <w:b w:val="0"/>
                <w:sz w:val="15"/>
              </w:rPr>
              <w:t>Columna poligonal rotada muestra variación de carga con azimut.</w:t>
            </w:r>
          </w:p>
        </w:tc>
      </w:tr>
      <w:tr>
        <w:tc>
          <w:tcPr>
            <w:tcW w:type="dxa" w:w="1134"/>
            <w:vAlign w:val="center"/>
          </w:tcPr>
          <w:p>
            <w:pPr>
              <w:spacing w:after="0"/>
            </w:pPr>
            <w:r/>
            <w:r>
              <w:rPr>
                <w:rFonts w:ascii="Aptos" w:hAnsi="Aptos"/>
                <w:b w:val="0"/>
                <w:sz w:val="15"/>
              </w:rPr>
              <w:t>AC-05</w:t>
            </w:r>
          </w:p>
        </w:tc>
        <w:tc>
          <w:tcPr>
            <w:tcW w:type="dxa" w:w="7937"/>
            <w:vAlign w:val="center"/>
          </w:tcPr>
          <w:p>
            <w:pPr>
              <w:spacing w:after="0"/>
            </w:pPr>
            <w:r/>
            <w:r>
              <w:rPr>
                <w:rFonts w:ascii="Aptos" w:hAnsi="Aptos"/>
                <w:b w:val="0"/>
                <w:sz w:val="15"/>
              </w:rPr>
              <w:t>Báculo asimétrico añade direcciones críticas además del barrido base.</w:t>
            </w:r>
          </w:p>
        </w:tc>
      </w:tr>
      <w:tr>
        <w:tc>
          <w:tcPr>
            <w:tcW w:type="dxa" w:w="1134"/>
            <w:vAlign w:val="center"/>
            <w:shd w:fill="F2F2F2"/>
          </w:tcPr>
          <w:p>
            <w:pPr>
              <w:spacing w:after="0"/>
            </w:pPr>
            <w:r/>
            <w:r>
              <w:rPr>
                <w:rFonts w:ascii="Aptos" w:hAnsi="Aptos"/>
                <w:b w:val="0"/>
                <w:sz w:val="15"/>
              </w:rPr>
              <w:t>AC-06</w:t>
            </w:r>
          </w:p>
        </w:tc>
        <w:tc>
          <w:tcPr>
            <w:tcW w:type="dxa" w:w="7937"/>
            <w:vAlign w:val="center"/>
            <w:shd w:fill="F2F2F2"/>
          </w:tcPr>
          <w:p>
            <w:pPr>
              <w:spacing w:after="0"/>
            </w:pPr>
            <w:r/>
            <w:r>
              <w:rPr>
                <w:rFonts w:ascii="Aptos" w:hAnsi="Aptos"/>
                <w:b w:val="0"/>
                <w:sz w:val="15"/>
              </w:rPr>
              <w:t>Panel solar inclinado genera fuerza, succión y torsión según orientación.</w:t>
            </w:r>
          </w:p>
        </w:tc>
      </w:tr>
      <w:tr>
        <w:tc>
          <w:tcPr>
            <w:tcW w:type="dxa" w:w="1134"/>
            <w:vAlign w:val="center"/>
          </w:tcPr>
          <w:p>
            <w:pPr>
              <w:spacing w:after="0"/>
            </w:pPr>
            <w:r/>
            <w:r>
              <w:rPr>
                <w:rFonts w:ascii="Aptos" w:hAnsi="Aptos"/>
                <w:b w:val="0"/>
                <w:sz w:val="15"/>
              </w:rPr>
              <w:t>AC-07</w:t>
            </w:r>
          </w:p>
        </w:tc>
        <w:tc>
          <w:tcPr>
            <w:tcW w:type="dxa" w:w="7937"/>
            <w:vAlign w:val="center"/>
          </w:tcPr>
          <w:p>
            <w:pPr>
              <w:spacing w:after="0"/>
            </w:pPr>
            <w:r/>
            <w:r>
              <w:rPr>
                <w:rFonts w:ascii="Aptos" w:hAnsi="Aptos"/>
                <w:b w:val="0"/>
                <w:sz w:val="15"/>
              </w:rPr>
              <w:t>Luminaria sin Cd bloquea cálculo oficial y permite aproximación solo con autorización.</w:t>
            </w:r>
          </w:p>
        </w:tc>
      </w:tr>
      <w:tr>
        <w:tc>
          <w:tcPr>
            <w:tcW w:type="dxa" w:w="1134"/>
            <w:vAlign w:val="center"/>
            <w:shd w:fill="F2F2F2"/>
          </w:tcPr>
          <w:p>
            <w:pPr>
              <w:spacing w:after="0"/>
            </w:pPr>
            <w:r/>
            <w:r>
              <w:rPr>
                <w:rFonts w:ascii="Aptos" w:hAnsi="Aptos"/>
                <w:b w:val="0"/>
                <w:sz w:val="15"/>
              </w:rPr>
              <w:t>AC-08</w:t>
            </w:r>
          </w:p>
        </w:tc>
        <w:tc>
          <w:tcPr>
            <w:tcW w:type="dxa" w:w="7937"/>
            <w:vAlign w:val="center"/>
            <w:shd w:fill="F2F2F2"/>
          </w:tcPr>
          <w:p>
            <w:pPr>
              <w:spacing w:after="0"/>
            </w:pPr>
            <w:r/>
            <w:r>
              <w:rPr>
                <w:rFonts w:ascii="Aptos" w:hAnsi="Aptos"/>
                <w:b w:val="0"/>
                <w:sz w:val="15"/>
              </w:rPr>
              <w:t>Seis cables en distintas cotas producen vectores y momentos correctos.</w:t>
            </w:r>
          </w:p>
        </w:tc>
      </w:tr>
      <w:tr>
        <w:tc>
          <w:tcPr>
            <w:tcW w:type="dxa" w:w="1134"/>
            <w:vAlign w:val="center"/>
          </w:tcPr>
          <w:p>
            <w:pPr>
              <w:spacing w:after="0"/>
            </w:pPr>
            <w:r/>
            <w:r>
              <w:rPr>
                <w:rFonts w:ascii="Aptos" w:hAnsi="Aptos"/>
                <w:b w:val="0"/>
                <w:sz w:val="15"/>
              </w:rPr>
              <w:t>AC-09</w:t>
            </w:r>
          </w:p>
        </w:tc>
        <w:tc>
          <w:tcPr>
            <w:tcW w:type="dxa" w:w="7937"/>
            <w:vAlign w:val="center"/>
          </w:tcPr>
          <w:p>
            <w:pPr>
              <w:spacing w:after="0"/>
            </w:pPr>
            <w:r/>
            <w:r>
              <w:rPr>
                <w:rFonts w:ascii="Aptos" w:hAnsi="Aptos"/>
                <w:b w:val="0"/>
                <w:sz w:val="15"/>
              </w:rPr>
              <w:t>Rotura accidental de un cable crea escenario de estado sin modificar tensión nominal.</w:t>
            </w:r>
          </w:p>
        </w:tc>
      </w:tr>
      <w:tr>
        <w:tc>
          <w:tcPr>
            <w:tcW w:type="dxa" w:w="1134"/>
            <w:vAlign w:val="center"/>
            <w:shd w:fill="F2F2F2"/>
          </w:tcPr>
          <w:p>
            <w:pPr>
              <w:spacing w:after="0"/>
            </w:pPr>
            <w:r/>
            <w:r>
              <w:rPr>
                <w:rFonts w:ascii="Aptos" w:hAnsi="Aptos"/>
                <w:b w:val="0"/>
                <w:sz w:val="15"/>
              </w:rPr>
              <w:t>AC-10</w:t>
            </w:r>
          </w:p>
        </w:tc>
        <w:tc>
          <w:tcPr>
            <w:tcW w:type="dxa" w:w="7937"/>
            <w:vAlign w:val="center"/>
            <w:shd w:fill="F2F2F2"/>
          </w:tcPr>
          <w:p>
            <w:pPr>
              <w:spacing w:after="0"/>
            </w:pPr>
            <w:r/>
            <w:r>
              <w:rPr>
                <w:rFonts w:ascii="Aptos" w:hAnsi="Aptos"/>
                <w:b w:val="0"/>
                <w:sz w:val="15"/>
              </w:rPr>
              <w:t>Peso propio derivado de geometría coincide con referencia analítica.</w:t>
            </w:r>
          </w:p>
        </w:tc>
      </w:tr>
      <w:tr>
        <w:tc>
          <w:tcPr>
            <w:tcW w:type="dxa" w:w="1134"/>
            <w:vAlign w:val="center"/>
          </w:tcPr>
          <w:p>
            <w:pPr>
              <w:spacing w:after="0"/>
            </w:pPr>
            <w:r/>
            <w:r>
              <w:rPr>
                <w:rFonts w:ascii="Aptos" w:hAnsi="Aptos"/>
                <w:b w:val="0"/>
                <w:sz w:val="15"/>
              </w:rPr>
              <w:t>AC-11</w:t>
            </w:r>
          </w:p>
        </w:tc>
        <w:tc>
          <w:tcPr>
            <w:tcW w:type="dxa" w:w="7937"/>
            <w:vAlign w:val="center"/>
          </w:tcPr>
          <w:p>
            <w:pPr>
              <w:spacing w:after="0"/>
            </w:pPr>
            <w:r/>
            <w:r>
              <w:rPr>
                <w:rFonts w:ascii="Aptos" w:hAnsi="Aptos"/>
                <w:b w:val="0"/>
                <w:sz w:val="15"/>
              </w:rPr>
              <w:t>Nieve sobre panel incrementa masa y no duplica área sin regla.</w:t>
            </w:r>
          </w:p>
        </w:tc>
      </w:tr>
      <w:tr>
        <w:tc>
          <w:tcPr>
            <w:tcW w:type="dxa" w:w="1134"/>
            <w:vAlign w:val="center"/>
            <w:shd w:fill="F2F2F2"/>
          </w:tcPr>
          <w:p>
            <w:pPr>
              <w:spacing w:after="0"/>
            </w:pPr>
            <w:r/>
            <w:r>
              <w:rPr>
                <w:rFonts w:ascii="Aptos" w:hAnsi="Aptos"/>
                <w:b w:val="0"/>
                <w:sz w:val="15"/>
              </w:rPr>
              <w:t>AC-12</w:t>
            </w:r>
          </w:p>
        </w:tc>
        <w:tc>
          <w:tcPr>
            <w:tcW w:type="dxa" w:w="7937"/>
            <w:vAlign w:val="center"/>
            <w:shd w:fill="F2F2F2"/>
          </w:tcPr>
          <w:p>
            <w:pPr>
              <w:spacing w:after="0"/>
            </w:pPr>
            <w:r/>
            <w:r>
              <w:rPr>
                <w:rFonts w:ascii="Aptos" w:hAnsi="Aptos"/>
                <w:b w:val="0"/>
                <w:sz w:val="15"/>
              </w:rPr>
              <w:t>Hielo radial modifica masa lineal y diámetro aerodinámico.</w:t>
            </w:r>
          </w:p>
        </w:tc>
      </w:tr>
      <w:tr>
        <w:tc>
          <w:tcPr>
            <w:tcW w:type="dxa" w:w="1134"/>
            <w:vAlign w:val="center"/>
          </w:tcPr>
          <w:p>
            <w:pPr>
              <w:spacing w:after="0"/>
            </w:pPr>
            <w:r/>
            <w:r>
              <w:rPr>
                <w:rFonts w:ascii="Aptos" w:hAnsi="Aptos"/>
                <w:b w:val="0"/>
                <w:sz w:val="15"/>
              </w:rPr>
              <w:t>AC-13</w:t>
            </w:r>
          </w:p>
        </w:tc>
        <w:tc>
          <w:tcPr>
            <w:tcW w:type="dxa" w:w="7937"/>
            <w:vAlign w:val="center"/>
          </w:tcPr>
          <w:p>
            <w:pPr>
              <w:spacing w:after="0"/>
            </w:pPr>
            <w:r/>
            <w:r>
              <w:rPr>
                <w:rFonts w:ascii="Aptos" w:hAnsi="Aptos"/>
                <w:b w:val="0"/>
                <w:sz w:val="15"/>
              </w:rPr>
              <w:t>Sismo sin clase de suelo confirmada genera escenarios o bloqueo según madurez.</w:t>
            </w:r>
          </w:p>
        </w:tc>
      </w:tr>
      <w:tr>
        <w:tc>
          <w:tcPr>
            <w:tcW w:type="dxa" w:w="1134"/>
            <w:vAlign w:val="center"/>
            <w:shd w:fill="F2F2F2"/>
          </w:tcPr>
          <w:p>
            <w:pPr>
              <w:spacing w:after="0"/>
            </w:pPr>
            <w:r/>
            <w:r>
              <w:rPr>
                <w:rFonts w:ascii="Aptos" w:hAnsi="Aptos"/>
                <w:b w:val="0"/>
                <w:sz w:val="15"/>
              </w:rPr>
              <w:t>AC-14</w:t>
            </w:r>
          </w:p>
        </w:tc>
        <w:tc>
          <w:tcPr>
            <w:tcW w:type="dxa" w:w="7937"/>
            <w:vAlign w:val="center"/>
            <w:shd w:fill="F2F2F2"/>
          </w:tcPr>
          <w:p>
            <w:pPr>
              <w:spacing w:after="0"/>
            </w:pPr>
            <w:r/>
            <w:r>
              <w:rPr>
                <w:rFonts w:ascii="Aptos" w:hAnsi="Aptos"/>
                <w:b w:val="0"/>
                <w:sz w:val="15"/>
              </w:rPr>
              <w:t>Temperatura libre no genera esfuerzo impuesto.</w:t>
            </w:r>
          </w:p>
        </w:tc>
      </w:tr>
      <w:tr>
        <w:tc>
          <w:tcPr>
            <w:tcW w:type="dxa" w:w="1134"/>
            <w:vAlign w:val="center"/>
          </w:tcPr>
          <w:p>
            <w:pPr>
              <w:spacing w:after="0"/>
            </w:pPr>
            <w:r/>
            <w:r>
              <w:rPr>
                <w:rFonts w:ascii="Aptos" w:hAnsi="Aptos"/>
                <w:b w:val="0"/>
                <w:sz w:val="15"/>
              </w:rPr>
              <w:t>AC-15</w:t>
            </w:r>
          </w:p>
        </w:tc>
        <w:tc>
          <w:tcPr>
            <w:tcW w:type="dxa" w:w="7937"/>
            <w:vAlign w:val="center"/>
          </w:tcPr>
          <w:p>
            <w:pPr>
              <w:spacing w:after="0"/>
            </w:pPr>
            <w:r/>
            <w:r>
              <w:rPr>
                <w:rFonts w:ascii="Aptos" w:hAnsi="Aptos"/>
                <w:b w:val="0"/>
                <w:sz w:val="15"/>
              </w:rPr>
              <w:t>Barrido refina alrededor de máximo y registra criterio de parada.</w:t>
            </w:r>
          </w:p>
        </w:tc>
      </w:tr>
      <w:tr>
        <w:tc>
          <w:tcPr>
            <w:tcW w:type="dxa" w:w="1134"/>
            <w:vAlign w:val="center"/>
            <w:shd w:fill="F2F2F2"/>
          </w:tcPr>
          <w:p>
            <w:pPr>
              <w:spacing w:after="0"/>
            </w:pPr>
            <w:r/>
            <w:r>
              <w:rPr>
                <w:rFonts w:ascii="Aptos" w:hAnsi="Aptos"/>
                <w:b w:val="0"/>
                <w:sz w:val="15"/>
              </w:rPr>
              <w:t>AC-16</w:t>
            </w:r>
          </w:p>
        </w:tc>
        <w:tc>
          <w:tcPr>
            <w:tcW w:type="dxa" w:w="7937"/>
            <w:vAlign w:val="center"/>
            <w:shd w:fill="F2F2F2"/>
          </w:tcPr>
          <w:p>
            <w:pPr>
              <w:spacing w:after="0"/>
            </w:pPr>
            <w:r/>
            <w:r>
              <w:rPr>
                <w:rFonts w:ascii="Aptos" w:hAnsi="Aptos"/>
                <w:b w:val="0"/>
                <w:sz w:val="15"/>
              </w:rPr>
              <w:t>Combinaciones excluyen simultaneidad de direcciones de viento incompatibles.</w:t>
            </w:r>
          </w:p>
        </w:tc>
      </w:tr>
      <w:tr>
        <w:tc>
          <w:tcPr>
            <w:tcW w:type="dxa" w:w="1134"/>
            <w:vAlign w:val="center"/>
          </w:tcPr>
          <w:p>
            <w:pPr>
              <w:spacing w:after="0"/>
            </w:pPr>
            <w:r/>
            <w:r>
              <w:rPr>
                <w:rFonts w:ascii="Aptos" w:hAnsi="Aptos"/>
                <w:b w:val="0"/>
                <w:sz w:val="15"/>
              </w:rPr>
              <w:t>AC-17</w:t>
            </w:r>
          </w:p>
        </w:tc>
        <w:tc>
          <w:tcPr>
            <w:tcW w:type="dxa" w:w="7937"/>
            <w:vAlign w:val="center"/>
          </w:tcPr>
          <w:p>
            <w:pPr>
              <w:spacing w:after="0"/>
            </w:pPr>
            <w:r/>
            <w:r>
              <w:rPr>
                <w:rFonts w:ascii="Aptos" w:hAnsi="Aptos"/>
                <w:b w:val="0"/>
                <w:sz w:val="15"/>
              </w:rPr>
              <w:t>Cambio de orientación de luminaria invalida solo resultados dependientes.</w:t>
            </w:r>
          </w:p>
        </w:tc>
      </w:tr>
      <w:tr>
        <w:tc>
          <w:tcPr>
            <w:tcW w:type="dxa" w:w="1134"/>
            <w:vAlign w:val="center"/>
            <w:shd w:fill="F2F2F2"/>
          </w:tcPr>
          <w:p>
            <w:pPr>
              <w:spacing w:after="0"/>
            </w:pPr>
            <w:r/>
            <w:r>
              <w:rPr>
                <w:rFonts w:ascii="Aptos" w:hAnsi="Aptos"/>
                <w:b w:val="0"/>
                <w:sz w:val="15"/>
              </w:rPr>
              <w:t>AC-18</w:t>
            </w:r>
          </w:p>
        </w:tc>
        <w:tc>
          <w:tcPr>
            <w:tcW w:type="dxa" w:w="7937"/>
            <w:vAlign w:val="center"/>
            <w:shd w:fill="F2F2F2"/>
          </w:tcPr>
          <w:p>
            <w:pPr>
              <w:spacing w:after="0"/>
            </w:pPr>
            <w:r/>
            <w:r>
              <w:rPr>
                <w:rFonts w:ascii="Aptos" w:hAnsi="Aptos"/>
                <w:b w:val="0"/>
                <w:sz w:val="15"/>
              </w:rPr>
              <w:t>Misma entrada produce mismo hash y mismas cargas.</w:t>
            </w:r>
          </w:p>
        </w:tc>
      </w:tr>
      <w:tr>
        <w:tc>
          <w:tcPr>
            <w:tcW w:type="dxa" w:w="1134"/>
            <w:vAlign w:val="center"/>
          </w:tcPr>
          <w:p>
            <w:pPr>
              <w:spacing w:after="0"/>
            </w:pPr>
            <w:r/>
            <w:r>
              <w:rPr>
                <w:rFonts w:ascii="Aptos" w:hAnsi="Aptos"/>
                <w:b w:val="0"/>
                <w:sz w:val="15"/>
              </w:rPr>
              <w:t>AC-19</w:t>
            </w:r>
          </w:p>
        </w:tc>
        <w:tc>
          <w:tcPr>
            <w:tcW w:type="dxa" w:w="7937"/>
            <w:vAlign w:val="center"/>
          </w:tcPr>
          <w:p>
            <w:pPr>
              <w:spacing w:after="0"/>
            </w:pPr>
            <w:r/>
            <w:r>
              <w:rPr>
                <w:rFonts w:ascii="Aptos" w:hAnsi="Aptos"/>
                <w:b w:val="0"/>
                <w:sz w:val="15"/>
              </w:rPr>
              <w:t>Proyecto histórico se recalcula con la biblioteca congelada aunque exista versión nueva.</w:t>
            </w:r>
          </w:p>
        </w:tc>
      </w:tr>
      <w:tr>
        <w:tc>
          <w:tcPr>
            <w:tcW w:type="dxa" w:w="1134"/>
            <w:vAlign w:val="center"/>
            <w:shd w:fill="F2F2F2"/>
          </w:tcPr>
          <w:p>
            <w:pPr>
              <w:spacing w:after="0"/>
            </w:pPr>
            <w:r/>
            <w:r>
              <w:rPr>
                <w:rFonts w:ascii="Aptos" w:hAnsi="Aptos"/>
                <w:b w:val="0"/>
                <w:sz w:val="15"/>
              </w:rPr>
              <w:t>AC-20</w:t>
            </w:r>
          </w:p>
        </w:tc>
        <w:tc>
          <w:tcPr>
            <w:tcW w:type="dxa" w:w="7937"/>
            <w:vAlign w:val="center"/>
            <w:shd w:fill="F2F2F2"/>
          </w:tcPr>
          <w:p>
            <w:pPr>
              <w:spacing w:after="0"/>
            </w:pPr>
            <w:r/>
            <w:r>
              <w:rPr>
                <w:rFonts w:ascii="Aptos" w:hAnsi="Aptos"/>
                <w:b w:val="0"/>
                <w:sz w:val="15"/>
              </w:rPr>
              <w:t>Mapa fuera de cobertura no extrapola sin regla expresa.</w:t>
            </w:r>
          </w:p>
        </w:tc>
      </w:tr>
      <w:tr>
        <w:tc>
          <w:tcPr>
            <w:tcW w:type="dxa" w:w="1134"/>
            <w:vAlign w:val="center"/>
          </w:tcPr>
          <w:p>
            <w:pPr>
              <w:spacing w:after="0"/>
            </w:pPr>
            <w:r/>
            <w:r>
              <w:rPr>
                <w:rFonts w:ascii="Aptos" w:hAnsi="Aptos"/>
                <w:b w:val="0"/>
                <w:sz w:val="15"/>
              </w:rPr>
              <w:t>AC-21</w:t>
            </w:r>
          </w:p>
        </w:tc>
        <w:tc>
          <w:tcPr>
            <w:tcW w:type="dxa" w:w="7937"/>
            <w:vAlign w:val="center"/>
          </w:tcPr>
          <w:p>
            <w:pPr>
              <w:spacing w:after="0"/>
            </w:pPr>
            <w:r/>
            <w:r>
              <w:rPr>
                <w:rFonts w:ascii="Aptos" w:hAnsi="Aptos"/>
                <w:b w:val="0"/>
                <w:sz w:val="15"/>
              </w:rPr>
              <w:t>Carga espacial conserva equilibrio de fuerza y momento tras discretización.</w:t>
            </w:r>
          </w:p>
        </w:tc>
      </w:tr>
      <w:tr>
        <w:tc>
          <w:tcPr>
            <w:tcW w:type="dxa" w:w="1134"/>
            <w:vAlign w:val="center"/>
            <w:shd w:fill="F2F2F2"/>
          </w:tcPr>
          <w:p>
            <w:pPr>
              <w:spacing w:after="0"/>
            </w:pPr>
            <w:r/>
            <w:r>
              <w:rPr>
                <w:rFonts w:ascii="Aptos" w:hAnsi="Aptos"/>
                <w:b w:val="0"/>
                <w:sz w:val="15"/>
              </w:rPr>
              <w:t>AC-22</w:t>
            </w:r>
          </w:p>
        </w:tc>
        <w:tc>
          <w:tcPr>
            <w:tcW w:type="dxa" w:w="7937"/>
            <w:vAlign w:val="center"/>
            <w:shd w:fill="F2F2F2"/>
          </w:tcPr>
          <w:p>
            <w:pPr>
              <w:spacing w:after="0"/>
            </w:pPr>
            <w:r/>
            <w:r>
              <w:rPr>
                <w:rFonts w:ascii="Aptos" w:hAnsi="Aptos"/>
                <w:b w:val="0"/>
                <w:sz w:val="15"/>
              </w:rPr>
              <w:t>Comparación de escenarios identifica diferencias de ubicación, acciones y combinaciones.</w:t>
            </w:r>
          </w:p>
        </w:tc>
      </w:tr>
      <w:tr>
        <w:tc>
          <w:tcPr>
            <w:tcW w:type="dxa" w:w="1134"/>
            <w:vAlign w:val="center"/>
          </w:tcPr>
          <w:p>
            <w:pPr>
              <w:spacing w:after="0"/>
            </w:pPr>
            <w:r/>
            <w:r>
              <w:rPr>
                <w:rFonts w:ascii="Aptos" w:hAnsi="Aptos"/>
                <w:b w:val="0"/>
                <w:sz w:val="15"/>
              </w:rPr>
              <w:t>AC-23</w:t>
            </w:r>
          </w:p>
        </w:tc>
        <w:tc>
          <w:tcPr>
            <w:tcW w:type="dxa" w:w="7937"/>
            <w:vAlign w:val="center"/>
          </w:tcPr>
          <w:p>
            <w:pPr>
              <w:spacing w:after="0"/>
            </w:pPr>
            <w:r/>
            <w:r>
              <w:rPr>
                <w:rFonts w:ascii="Aptos" w:hAnsi="Aptos"/>
                <w:b w:val="0"/>
                <w:sz w:val="15"/>
              </w:rPr>
              <w:t>Usuario comercial no puede aprobar override de alta criticidad.</w:t>
            </w:r>
          </w:p>
        </w:tc>
      </w:tr>
      <w:tr>
        <w:tc>
          <w:tcPr>
            <w:tcW w:type="dxa" w:w="1134"/>
            <w:vAlign w:val="center"/>
            <w:shd w:fill="F2F2F2"/>
          </w:tcPr>
          <w:p>
            <w:pPr>
              <w:spacing w:after="0"/>
            </w:pPr>
            <w:r/>
            <w:r>
              <w:rPr>
                <w:rFonts w:ascii="Aptos" w:hAnsi="Aptos"/>
                <w:b w:val="0"/>
                <w:sz w:val="15"/>
              </w:rPr>
              <w:t>AC-24</w:t>
            </w:r>
          </w:p>
        </w:tc>
        <w:tc>
          <w:tcPr>
            <w:tcW w:type="dxa" w:w="7937"/>
            <w:vAlign w:val="center"/>
            <w:shd w:fill="F2F2F2"/>
          </w:tcPr>
          <w:p>
            <w:pPr>
              <w:spacing w:after="0"/>
            </w:pPr>
            <w:r/>
            <w:r>
              <w:rPr>
                <w:rFonts w:ascii="Aptos" w:hAnsi="Aptos"/>
                <w:b w:val="0"/>
                <w:sz w:val="15"/>
              </w:rPr>
              <w:t>Exportación de manifest contiene todas las versiones y fuentes.</w:t>
            </w:r>
          </w:p>
        </w:tc>
      </w:tr>
      <w:tr>
        <w:tc>
          <w:tcPr>
            <w:tcW w:type="dxa" w:w="1134"/>
            <w:vAlign w:val="center"/>
          </w:tcPr>
          <w:p>
            <w:pPr>
              <w:spacing w:after="0"/>
            </w:pPr>
            <w:r/>
            <w:r>
              <w:rPr>
                <w:rFonts w:ascii="Aptos" w:hAnsi="Aptos"/>
                <w:b w:val="0"/>
                <w:sz w:val="15"/>
              </w:rPr>
              <w:t>AC-25</w:t>
            </w:r>
          </w:p>
        </w:tc>
        <w:tc>
          <w:tcPr>
            <w:tcW w:type="dxa" w:w="7937"/>
            <w:vAlign w:val="center"/>
          </w:tcPr>
          <w:p>
            <w:pPr>
              <w:spacing w:after="0"/>
            </w:pPr>
            <w:r/>
            <w:r>
              <w:rPr>
                <w:rFonts w:ascii="Aptos" w:hAnsi="Aptos"/>
                <w:b w:val="0"/>
                <w:sz w:val="15"/>
              </w:rPr>
              <w:t>Proyecto de 30 m con segmentos, panel, 4 luminarias y 6 cables cumple rendimiento objetivo.</w:t>
            </w:r>
          </w:p>
        </w:tc>
      </w:tr>
      <w:tr>
        <w:tc>
          <w:tcPr>
            <w:tcW w:type="dxa" w:w="1134"/>
            <w:vAlign w:val="center"/>
            <w:shd w:fill="F2F2F2"/>
          </w:tcPr>
          <w:p>
            <w:pPr>
              <w:spacing w:after="0"/>
            </w:pPr>
            <w:r/>
            <w:r>
              <w:rPr>
                <w:rFonts w:ascii="Aptos" w:hAnsi="Aptos"/>
                <w:b w:val="0"/>
                <w:sz w:val="15"/>
              </w:rPr>
              <w:t>AC-26</w:t>
            </w:r>
          </w:p>
        </w:tc>
        <w:tc>
          <w:tcPr>
            <w:tcW w:type="dxa" w:w="7937"/>
            <w:vAlign w:val="center"/>
            <w:shd w:fill="F2F2F2"/>
          </w:tcPr>
          <w:p>
            <w:pPr>
              <w:spacing w:after="0"/>
            </w:pPr>
            <w:r/>
            <w:r>
              <w:rPr>
                <w:rFonts w:ascii="Aptos" w:hAnsi="Aptos"/>
                <w:b w:val="0"/>
                <w:sz w:val="15"/>
              </w:rPr>
              <w:t>Sensibilidad ±10 % de viento actualiza resultados sin alterar el escenario base.</w:t>
            </w:r>
          </w:p>
        </w:tc>
      </w:tr>
      <w:tr>
        <w:tc>
          <w:tcPr>
            <w:tcW w:type="dxa" w:w="1134"/>
            <w:vAlign w:val="center"/>
          </w:tcPr>
          <w:p>
            <w:pPr>
              <w:spacing w:after="0"/>
            </w:pPr>
            <w:r/>
            <w:r>
              <w:rPr>
                <w:rFonts w:ascii="Aptos" w:hAnsi="Aptos"/>
                <w:b w:val="0"/>
                <w:sz w:val="15"/>
              </w:rPr>
              <w:t>AC-27</w:t>
            </w:r>
          </w:p>
        </w:tc>
        <w:tc>
          <w:tcPr>
            <w:tcW w:type="dxa" w:w="7937"/>
            <w:vAlign w:val="center"/>
          </w:tcPr>
          <w:p>
            <w:pPr>
              <w:spacing w:after="0"/>
            </w:pPr>
            <w:r/>
            <w:r>
              <w:rPr>
                <w:rFonts w:ascii="Aptos" w:hAnsi="Aptos"/>
                <w:b w:val="0"/>
                <w:sz w:val="15"/>
              </w:rPr>
              <w:t>Dato de confianza C aparece en informe y exige validación OT para cálculo final.</w:t>
            </w:r>
          </w:p>
        </w:tc>
      </w:tr>
      <w:tr>
        <w:tc>
          <w:tcPr>
            <w:tcW w:type="dxa" w:w="1134"/>
            <w:vAlign w:val="center"/>
            <w:shd w:fill="F2F2F2"/>
          </w:tcPr>
          <w:p>
            <w:pPr>
              <w:spacing w:after="0"/>
            </w:pPr>
            <w:r/>
            <w:r>
              <w:rPr>
                <w:rFonts w:ascii="Aptos" w:hAnsi="Aptos"/>
                <w:b w:val="0"/>
                <w:sz w:val="15"/>
              </w:rPr>
              <w:t>AC-28</w:t>
            </w:r>
          </w:p>
        </w:tc>
        <w:tc>
          <w:tcPr>
            <w:tcW w:type="dxa" w:w="7937"/>
            <w:vAlign w:val="center"/>
            <w:shd w:fill="F2F2F2"/>
          </w:tcPr>
          <w:p>
            <w:pPr>
              <w:spacing w:after="0"/>
            </w:pPr>
            <w:r/>
            <w:r>
              <w:rPr>
                <w:rFonts w:ascii="Aptos" w:hAnsi="Aptos"/>
                <w:b w:val="0"/>
                <w:sz w:val="15"/>
              </w:rPr>
              <w:t>Cambio de norma genera análisis de impacto antes de migrar.</w:t>
            </w:r>
          </w:p>
        </w:tc>
      </w:tr>
      <w:tr>
        <w:tc>
          <w:tcPr>
            <w:tcW w:type="dxa" w:w="1134"/>
            <w:vAlign w:val="center"/>
          </w:tcPr>
          <w:p>
            <w:pPr>
              <w:spacing w:after="0"/>
            </w:pPr>
            <w:r/>
            <w:r>
              <w:rPr>
                <w:rFonts w:ascii="Aptos" w:hAnsi="Aptos"/>
                <w:b w:val="0"/>
                <w:sz w:val="15"/>
              </w:rPr>
              <w:t>AC-29</w:t>
            </w:r>
          </w:p>
        </w:tc>
        <w:tc>
          <w:tcPr>
            <w:tcW w:type="dxa" w:w="7937"/>
            <w:vAlign w:val="center"/>
          </w:tcPr>
          <w:p>
            <w:pPr>
              <w:spacing w:after="0"/>
            </w:pPr>
            <w:r/>
            <w:r>
              <w:rPr>
                <w:rFonts w:ascii="Aptos" w:hAnsi="Aptos"/>
                <w:b w:val="0"/>
                <w:sz w:val="15"/>
              </w:rPr>
              <w:t>Vectores de cables se representan inequívocamente en 3D y tabla.</w:t>
            </w:r>
          </w:p>
        </w:tc>
      </w:tr>
      <w:tr>
        <w:tc>
          <w:tcPr>
            <w:tcW w:type="dxa" w:w="1134"/>
            <w:vAlign w:val="center"/>
            <w:shd w:fill="F2F2F2"/>
          </w:tcPr>
          <w:p>
            <w:pPr>
              <w:spacing w:after="0"/>
            </w:pPr>
            <w:r/>
            <w:r>
              <w:rPr>
                <w:rFonts w:ascii="Aptos" w:hAnsi="Aptos"/>
                <w:b w:val="0"/>
                <w:sz w:val="15"/>
              </w:rPr>
              <w:t>AC-30</w:t>
            </w:r>
          </w:p>
        </w:tc>
        <w:tc>
          <w:tcPr>
            <w:tcW w:type="dxa" w:w="7937"/>
            <w:vAlign w:val="center"/>
            <w:shd w:fill="F2F2F2"/>
          </w:tcPr>
          <w:p>
            <w:pPr>
              <w:spacing w:after="0"/>
            </w:pPr>
            <w:r/>
            <w:r>
              <w:rPr>
                <w:rFonts w:ascii="Aptos" w:hAnsi="Aptos"/>
                <w:b w:val="0"/>
                <w:sz w:val="15"/>
              </w:rPr>
              <w:t>Generación de combinaciones no crea duplicados algebraicamente equivalentes.</w:t>
            </w:r>
          </w:p>
        </w:tc>
      </w:tr>
    </w:tbl>
    <w:p>
      <w:pPr>
        <w:spacing w:after="0"/>
      </w:pPr>
    </w:p>
    <w:p>
      <w:pPr>
        <w:pStyle w:val="Heading1"/>
        <w:spacing w:after="80"/>
      </w:pPr>
      <w:r>
        <w:t>31. Entregables y criterio de cierre</w:t>
      </w:r>
    </w:p>
    <w:p>
      <w:pPr>
        <w:pStyle w:val="Heading2"/>
        <w:spacing w:after="80"/>
      </w:pPr>
      <w:r>
        <w:t>31.1 Entregables</w:t>
      </w:r>
    </w:p>
    <w:p>
      <w:pPr>
        <w:pStyle w:val="ListBullet"/>
        <w:spacing w:after="30"/>
      </w:pPr>
      <w:r>
        <w:t>Esquema de datos y migraciones de Fase 3.</w:t>
      </w:r>
    </w:p>
    <w:p>
      <w:pPr>
        <w:pStyle w:val="ListBullet"/>
        <w:spacing w:after="30"/>
      </w:pPr>
      <w:r>
        <w:t>Biblioteca inicial de reglas y parámetros con evidencias.</w:t>
      </w:r>
    </w:p>
    <w:p>
      <w:pPr>
        <w:pStyle w:val="ListBullet"/>
        <w:spacing w:after="30"/>
      </w:pPr>
      <w:r>
        <w:t>Servicios de ubicación, viento, permanentes, cables, clima, sismo y combinaciones.</w:t>
      </w:r>
    </w:p>
    <w:p>
      <w:pPr>
        <w:pStyle w:val="ListBullet"/>
        <w:spacing w:after="30"/>
      </w:pPr>
      <w:r>
        <w:t>Contrato de cargas espaciales con Fase 2 y motor estructural.</w:t>
      </w:r>
    </w:p>
    <w:p>
      <w:pPr>
        <w:pStyle w:val="ListBullet"/>
        <w:spacing w:after="30"/>
      </w:pPr>
      <w:r>
        <w:t>Interfaces de mapa, exposición, cables, casos, combinaciones y diagnósticos.</w:t>
      </w:r>
    </w:p>
    <w:p>
      <w:pPr>
        <w:pStyle w:val="ListBullet"/>
        <w:spacing w:after="30"/>
      </w:pPr>
      <w:r>
        <w:t>Golden masters y suite automatizada de pruebas.</w:t>
      </w:r>
    </w:p>
    <w:p>
      <w:pPr>
        <w:pStyle w:val="ListBullet"/>
        <w:spacing w:after="30"/>
      </w:pPr>
      <w:r>
        <w:t>Manual de administración de fuentes y bibliotecas.</w:t>
      </w:r>
    </w:p>
    <w:p>
      <w:pPr>
        <w:pStyle w:val="ListBullet"/>
        <w:spacing w:after="30"/>
      </w:pPr>
      <w:r>
        <w:t>Manual de usuario técnico-comercial y Oficina Técnica.</w:t>
      </w:r>
    </w:p>
    <w:p>
      <w:pPr>
        <w:pStyle w:val="ListBullet"/>
        <w:spacing w:after="30"/>
      </w:pPr>
      <w:r>
        <w:t>Registro de limitaciones y países/capas soportados.</w:t>
      </w:r>
    </w:p>
    <w:p>
      <w:pPr>
        <w:pStyle w:val="Heading2"/>
        <w:spacing w:after="80"/>
      </w:pPr>
      <w:r>
        <w:t>31.2 Criterio de cierre</w:t>
      </w:r>
    </w:p>
    <w:p>
      <w:pPr>
        <w:pStyle w:val="ListBullet"/>
        <w:spacing w:after="30"/>
      </w:pPr>
      <w:r>
        <w:t>Todos los requisitos MUST implementados o formalmente aplazados con decisión aprobada.</w:t>
      </w:r>
    </w:p>
    <w:p>
      <w:pPr>
        <w:pStyle w:val="ListBullet"/>
        <w:spacing w:after="30"/>
      </w:pPr>
      <w:r>
        <w:t>Casos AC-01 a AC-30 superados.</w:t>
      </w:r>
    </w:p>
    <w:p>
      <w:pPr>
        <w:pStyle w:val="ListBullet"/>
        <w:spacing w:after="30"/>
      </w:pPr>
      <w:r>
        <w:t>Revisión normativa de fórmulas y tablas completada por Oficina Técnica.</w:t>
      </w:r>
    </w:p>
    <w:p>
      <w:pPr>
        <w:pStyle w:val="ListBullet"/>
        <w:spacing w:after="30"/>
      </w:pPr>
      <w:r>
        <w:t>Resultados reproducibles y auditables desde snapshot.</w:t>
      </w:r>
    </w:p>
    <w:p>
      <w:pPr>
        <w:pStyle w:val="ListBullet"/>
        <w:spacing w:after="30"/>
      </w:pPr>
      <w:r>
        <w:t>Rendimiento y tolerancias cuantitativas alcanzados.</w:t>
      </w:r>
    </w:p>
    <w:p>
      <w:pPr>
        <w:pStyle w:val="ListBullet"/>
        <w:spacing w:after="30"/>
      </w:pPr>
      <w:r>
        <w:t>Sin errores críticos abiertos en seguridad, unidades o transformaciones.</w:t>
      </w:r>
    </w:p>
    <w:p>
      <w:pPr>
        <w:pStyle w:val="ListBullet"/>
        <w:spacing w:after="30"/>
      </w:pPr>
      <w:r>
        <w:t>Contrato de salida aceptado por el equipo del motor estructural.</w:t>
      </w:r>
    </w:p>
    <w:p>
      <w:pPr>
        <w:pStyle w:val="Heading1"/>
        <w:spacing w:after="80"/>
      </w:pPr>
      <w:r>
        <w:t>32. Riesgos, decisiones y ampliaciones futuras</w:t>
      </w:r>
    </w:p>
    <w:tbl>
      <w:tblPr>
        <w:tblStyle w:val="TableGrid"/>
        <w:tblW w:type="auto" w:w="0"/>
        <w:jc w:val="center"/>
        <w:tblLook w:firstColumn="1" w:firstRow="1" w:lastColumn="0" w:lastRow="0" w:noHBand="0" w:noVBand="1" w:val="04A0"/>
      </w:tblPr>
      <w:tblGrid>
        <w:gridCol w:w="3438"/>
        <w:gridCol w:w="3438"/>
        <w:gridCol w:w="3438"/>
      </w:tblGrid>
      <w:tr>
        <w:tc>
          <w:tcPr>
            <w:tcW w:type="dxa" w:w="1984"/>
            <w:vAlign w:val="center"/>
            <w:shd w:fill="111111"/>
          </w:tcPr>
          <w:p>
            <w:pPr>
              <w:spacing w:after="0"/>
            </w:pPr>
            <w:r/>
            <w:r>
              <w:rPr>
                <w:rFonts w:ascii="Aptos" w:hAnsi="Aptos"/>
                <w:b/>
                <w:color w:val="FFFFFF"/>
                <w:sz w:val="15"/>
              </w:rPr>
              <w:t>Tema</w:t>
            </w:r>
          </w:p>
        </w:tc>
        <w:tc>
          <w:tcPr>
            <w:tcW w:type="dxa" w:w="3969"/>
            <w:vAlign w:val="center"/>
            <w:shd w:fill="111111"/>
          </w:tcPr>
          <w:p>
            <w:pPr>
              <w:spacing w:after="0"/>
            </w:pPr>
            <w:r/>
            <w:r>
              <w:rPr>
                <w:rFonts w:ascii="Aptos" w:hAnsi="Aptos"/>
                <w:b/>
                <w:color w:val="FFFFFF"/>
                <w:sz w:val="15"/>
              </w:rPr>
              <w:t>Riesgo / decisión pendiente</w:t>
            </w:r>
          </w:p>
        </w:tc>
        <w:tc>
          <w:tcPr>
            <w:tcW w:type="dxa" w:w="3685"/>
            <w:vAlign w:val="center"/>
            <w:shd w:fill="111111"/>
          </w:tcPr>
          <w:p>
            <w:pPr>
              <w:spacing w:after="0"/>
            </w:pPr>
            <w:r/>
            <w:r>
              <w:rPr>
                <w:rFonts w:ascii="Aptos" w:hAnsi="Aptos"/>
                <w:b/>
                <w:color w:val="FFFFFF"/>
                <w:sz w:val="15"/>
              </w:rPr>
              <w:t>Tratamiento</w:t>
            </w:r>
          </w:p>
        </w:tc>
      </w:tr>
      <w:tr>
        <w:tc>
          <w:tcPr>
            <w:tcW w:type="dxa" w:w="1984"/>
            <w:vAlign w:val="center"/>
          </w:tcPr>
          <w:p>
            <w:pPr>
              <w:spacing w:after="0"/>
            </w:pPr>
            <w:r/>
            <w:r>
              <w:rPr>
                <w:rFonts w:ascii="Aptos" w:hAnsi="Aptos"/>
                <w:b w:val="0"/>
                <w:sz w:val="15"/>
              </w:rPr>
              <w:t>Fuentes geográficas</w:t>
            </w:r>
          </w:p>
        </w:tc>
        <w:tc>
          <w:tcPr>
            <w:tcW w:type="dxa" w:w="3969"/>
            <w:vAlign w:val="center"/>
          </w:tcPr>
          <w:p>
            <w:pPr>
              <w:spacing w:after="0"/>
            </w:pPr>
            <w:r/>
            <w:r>
              <w:rPr>
                <w:rFonts w:ascii="Aptos" w:hAnsi="Aptos"/>
                <w:b w:val="0"/>
                <w:sz w:val="15"/>
              </w:rPr>
              <w:t>Licencias, cobertura y cambios de proveedor</w:t>
            </w:r>
          </w:p>
        </w:tc>
        <w:tc>
          <w:tcPr>
            <w:tcW w:type="dxa" w:w="3685"/>
            <w:vAlign w:val="center"/>
          </w:tcPr>
          <w:p>
            <w:pPr>
              <w:spacing w:after="0"/>
            </w:pPr>
            <w:r/>
            <w:r>
              <w:rPr>
                <w:rFonts w:ascii="Aptos" w:hAnsi="Aptos"/>
                <w:b w:val="0"/>
                <w:sz w:val="15"/>
              </w:rPr>
              <w:t>Adaptadores, caché, versión y fuente alternativa</w:t>
            </w:r>
          </w:p>
        </w:tc>
      </w:tr>
      <w:tr>
        <w:tc>
          <w:tcPr>
            <w:tcW w:type="dxa" w:w="1984"/>
            <w:vAlign w:val="center"/>
            <w:shd w:fill="F2F2F2"/>
          </w:tcPr>
          <w:p>
            <w:pPr>
              <w:spacing w:after="0"/>
            </w:pPr>
            <w:r/>
            <w:r>
              <w:rPr>
                <w:rFonts w:ascii="Aptos" w:hAnsi="Aptos"/>
                <w:b w:val="0"/>
                <w:sz w:val="15"/>
              </w:rPr>
              <w:t>Anexos nacionales</w:t>
            </w:r>
          </w:p>
        </w:tc>
        <w:tc>
          <w:tcPr>
            <w:tcW w:type="dxa" w:w="3969"/>
            <w:vAlign w:val="center"/>
            <w:shd w:fill="F2F2F2"/>
          </w:tcPr>
          <w:p>
            <w:pPr>
              <w:spacing w:after="0"/>
            </w:pPr>
            <w:r/>
            <w:r>
              <w:rPr>
                <w:rFonts w:ascii="Aptos" w:hAnsi="Aptos"/>
                <w:b w:val="0"/>
                <w:sz w:val="15"/>
              </w:rPr>
              <w:t>Heterogeneidad y disponibilidad</w:t>
            </w:r>
          </w:p>
        </w:tc>
        <w:tc>
          <w:tcPr>
            <w:tcW w:type="dxa" w:w="3685"/>
            <w:vAlign w:val="center"/>
            <w:shd w:fill="F2F2F2"/>
          </w:tcPr>
          <w:p>
            <w:pPr>
              <w:spacing w:after="0"/>
            </w:pPr>
            <w:r/>
            <w:r>
              <w:rPr>
                <w:rFonts w:ascii="Aptos" w:hAnsi="Aptos"/>
                <w:b w:val="0"/>
                <w:sz w:val="15"/>
              </w:rPr>
              <w:t>Implementación país por país con matriz de cobertura</w:t>
            </w:r>
          </w:p>
        </w:tc>
      </w:tr>
      <w:tr>
        <w:tc>
          <w:tcPr>
            <w:tcW w:type="dxa" w:w="1984"/>
            <w:vAlign w:val="center"/>
          </w:tcPr>
          <w:p>
            <w:pPr>
              <w:spacing w:after="0"/>
            </w:pPr>
            <w:r/>
            <w:r>
              <w:rPr>
                <w:rFonts w:ascii="Aptos" w:hAnsi="Aptos"/>
                <w:b w:val="0"/>
                <w:sz w:val="15"/>
              </w:rPr>
              <w:t>Coeficientes de accesorios</w:t>
            </w:r>
          </w:p>
        </w:tc>
        <w:tc>
          <w:tcPr>
            <w:tcW w:type="dxa" w:w="3969"/>
            <w:vAlign w:val="center"/>
          </w:tcPr>
          <w:p>
            <w:pPr>
              <w:spacing w:after="0"/>
            </w:pPr>
            <w:r/>
            <w:r>
              <w:rPr>
                <w:rFonts w:ascii="Aptos" w:hAnsi="Aptos"/>
                <w:b w:val="0"/>
                <w:sz w:val="15"/>
              </w:rPr>
              <w:t>Datos incompletos de fabricantes</w:t>
            </w:r>
          </w:p>
        </w:tc>
        <w:tc>
          <w:tcPr>
            <w:tcW w:type="dxa" w:w="3685"/>
            <w:vAlign w:val="center"/>
          </w:tcPr>
          <w:p>
            <w:pPr>
              <w:spacing w:after="0"/>
            </w:pPr>
            <w:r/>
            <w:r>
              <w:rPr>
                <w:rFonts w:ascii="Aptos" w:hAnsi="Aptos"/>
                <w:b w:val="0"/>
                <w:sz w:val="15"/>
              </w:rPr>
              <w:t>Biblioteca Salvi y aproximaciones conservadoras aprobadas</w:t>
            </w:r>
          </w:p>
        </w:tc>
      </w:tr>
      <w:tr>
        <w:tc>
          <w:tcPr>
            <w:tcW w:type="dxa" w:w="1984"/>
            <w:vAlign w:val="center"/>
            <w:shd w:fill="F2F2F2"/>
          </w:tcPr>
          <w:p>
            <w:pPr>
              <w:spacing w:after="0"/>
            </w:pPr>
            <w:r/>
            <w:r>
              <w:rPr>
                <w:rFonts w:ascii="Aptos" w:hAnsi="Aptos"/>
                <w:b w:val="0"/>
                <w:sz w:val="15"/>
              </w:rPr>
              <w:t>Catenarias</w:t>
            </w:r>
          </w:p>
        </w:tc>
        <w:tc>
          <w:tcPr>
            <w:tcW w:type="dxa" w:w="3969"/>
            <w:vAlign w:val="center"/>
            <w:shd w:fill="F2F2F2"/>
          </w:tcPr>
          <w:p>
            <w:pPr>
              <w:spacing w:after="0"/>
            </w:pPr>
            <w:r/>
            <w:r>
              <w:rPr>
                <w:rFonts w:ascii="Aptos" w:hAnsi="Aptos"/>
                <w:b w:val="0"/>
                <w:sz w:val="15"/>
              </w:rPr>
              <w:t>Tensión introducida puede no reflejar temperatura/estado real</w:t>
            </w:r>
          </w:p>
        </w:tc>
        <w:tc>
          <w:tcPr>
            <w:tcW w:type="dxa" w:w="3685"/>
            <w:vAlign w:val="center"/>
            <w:shd w:fill="F2F2F2"/>
          </w:tcPr>
          <w:p>
            <w:pPr>
              <w:spacing w:after="0"/>
            </w:pPr>
            <w:r/>
            <w:r>
              <w:rPr>
                <w:rFonts w:ascii="Aptos" w:hAnsi="Aptos"/>
                <w:b w:val="0"/>
                <w:sz w:val="15"/>
              </w:rPr>
              <w:t>Incertidumbre y futura fase automática</w:t>
            </w:r>
          </w:p>
        </w:tc>
      </w:tr>
      <w:tr>
        <w:tc>
          <w:tcPr>
            <w:tcW w:type="dxa" w:w="1984"/>
            <w:vAlign w:val="center"/>
          </w:tcPr>
          <w:p>
            <w:pPr>
              <w:spacing w:after="0"/>
            </w:pPr>
            <w:r/>
            <w:r>
              <w:rPr>
                <w:rFonts w:ascii="Aptos" w:hAnsi="Aptos"/>
                <w:b w:val="0"/>
                <w:sz w:val="15"/>
              </w:rPr>
              <w:t>Fatiga dinámica</w:t>
            </w:r>
          </w:p>
        </w:tc>
        <w:tc>
          <w:tcPr>
            <w:tcW w:type="dxa" w:w="3969"/>
            <w:vAlign w:val="center"/>
          </w:tcPr>
          <w:p>
            <w:pPr>
              <w:spacing w:after="0"/>
            </w:pPr>
            <w:r/>
            <w:r>
              <w:rPr>
                <w:rFonts w:ascii="Aptos" w:hAnsi="Aptos"/>
                <w:b w:val="0"/>
                <w:sz w:val="15"/>
              </w:rPr>
              <w:t>Modelo estático insuficiente en algunos casos</w:t>
            </w:r>
          </w:p>
        </w:tc>
        <w:tc>
          <w:tcPr>
            <w:tcW w:type="dxa" w:w="3685"/>
            <w:vAlign w:val="center"/>
          </w:tcPr>
          <w:p>
            <w:pPr>
              <w:spacing w:after="0"/>
            </w:pPr>
            <w:r/>
            <w:r>
              <w:rPr>
                <w:rFonts w:ascii="Aptos" w:hAnsi="Aptos"/>
                <w:b w:val="0"/>
                <w:sz w:val="15"/>
              </w:rPr>
              <w:t>Detector de riesgo y análisis especializado</w:t>
            </w:r>
          </w:p>
        </w:tc>
      </w:tr>
      <w:tr>
        <w:tc>
          <w:tcPr>
            <w:tcW w:type="dxa" w:w="1984"/>
            <w:vAlign w:val="center"/>
            <w:shd w:fill="F2F2F2"/>
          </w:tcPr>
          <w:p>
            <w:pPr>
              <w:spacing w:after="0"/>
            </w:pPr>
            <w:r/>
            <w:r>
              <w:rPr>
                <w:rFonts w:ascii="Aptos" w:hAnsi="Aptos"/>
                <w:b w:val="0"/>
                <w:sz w:val="15"/>
              </w:rPr>
              <w:t>Sismo</w:t>
            </w:r>
          </w:p>
        </w:tc>
        <w:tc>
          <w:tcPr>
            <w:tcW w:type="dxa" w:w="3969"/>
            <w:vAlign w:val="center"/>
            <w:shd w:fill="F2F2F2"/>
          </w:tcPr>
          <w:p>
            <w:pPr>
              <w:spacing w:after="0"/>
            </w:pPr>
            <w:r/>
            <w:r>
              <w:rPr>
                <w:rFonts w:ascii="Aptos" w:hAnsi="Aptos"/>
                <w:b w:val="0"/>
                <w:sz w:val="15"/>
              </w:rPr>
              <w:t>Falta de geotecnia</w:t>
            </w:r>
          </w:p>
        </w:tc>
        <w:tc>
          <w:tcPr>
            <w:tcW w:type="dxa" w:w="3685"/>
            <w:vAlign w:val="center"/>
            <w:shd w:fill="F2F2F2"/>
          </w:tcPr>
          <w:p>
            <w:pPr>
              <w:spacing w:after="0"/>
            </w:pPr>
            <w:r/>
            <w:r>
              <w:rPr>
                <w:rFonts w:ascii="Aptos" w:hAnsi="Aptos"/>
                <w:b w:val="0"/>
                <w:sz w:val="15"/>
              </w:rPr>
              <w:t>Escenarios y bloqueo por madurez</w:t>
            </w:r>
          </w:p>
        </w:tc>
      </w:tr>
      <w:tr>
        <w:tc>
          <w:tcPr>
            <w:tcW w:type="dxa" w:w="1984"/>
            <w:vAlign w:val="center"/>
          </w:tcPr>
          <w:p>
            <w:pPr>
              <w:spacing w:after="0"/>
            </w:pPr>
            <w:r/>
            <w:r>
              <w:rPr>
                <w:rFonts w:ascii="Aptos" w:hAnsi="Aptos"/>
                <w:b w:val="0"/>
                <w:sz w:val="15"/>
              </w:rPr>
              <w:t>Combinaciones</w:t>
            </w:r>
          </w:p>
        </w:tc>
        <w:tc>
          <w:tcPr>
            <w:tcW w:type="dxa" w:w="3969"/>
            <w:vAlign w:val="center"/>
          </w:tcPr>
          <w:p>
            <w:pPr>
              <w:spacing w:after="0"/>
            </w:pPr>
            <w:r/>
            <w:r>
              <w:rPr>
                <w:rFonts w:ascii="Aptos" w:hAnsi="Aptos"/>
                <w:b w:val="0"/>
                <w:sz w:val="15"/>
              </w:rPr>
              <w:t>Explosión combinatoria</w:t>
            </w:r>
          </w:p>
        </w:tc>
        <w:tc>
          <w:tcPr>
            <w:tcW w:type="dxa" w:w="3685"/>
            <w:vAlign w:val="center"/>
          </w:tcPr>
          <w:p>
            <w:pPr>
              <w:spacing w:after="0"/>
            </w:pPr>
            <w:r/>
            <w:r>
              <w:rPr>
                <w:rFonts w:ascii="Aptos" w:hAnsi="Aptos"/>
                <w:b w:val="0"/>
                <w:sz w:val="15"/>
              </w:rPr>
              <w:t>Grupos de exclusión, normalización y poda validada</w:t>
            </w:r>
          </w:p>
        </w:tc>
      </w:tr>
      <w:tr>
        <w:tc>
          <w:tcPr>
            <w:tcW w:type="dxa" w:w="1984"/>
            <w:vAlign w:val="center"/>
            <w:shd w:fill="F2F2F2"/>
          </w:tcPr>
          <w:p>
            <w:pPr>
              <w:spacing w:after="0"/>
            </w:pPr>
            <w:r/>
            <w:r>
              <w:rPr>
                <w:rFonts w:ascii="Aptos" w:hAnsi="Aptos"/>
                <w:b w:val="0"/>
                <w:sz w:val="15"/>
              </w:rPr>
              <w:t>Normativa vigente</w:t>
            </w:r>
          </w:p>
        </w:tc>
        <w:tc>
          <w:tcPr>
            <w:tcW w:type="dxa" w:w="3969"/>
            <w:vAlign w:val="center"/>
            <w:shd w:fill="F2F2F2"/>
          </w:tcPr>
          <w:p>
            <w:pPr>
              <w:spacing w:after="0"/>
            </w:pPr>
            <w:r/>
            <w:r>
              <w:rPr>
                <w:rFonts w:ascii="Aptos" w:hAnsi="Aptos"/>
                <w:b w:val="0"/>
                <w:sz w:val="15"/>
              </w:rPr>
              <w:t>Cambios posteriores al desarrollo</w:t>
            </w:r>
          </w:p>
        </w:tc>
        <w:tc>
          <w:tcPr>
            <w:tcW w:type="dxa" w:w="3685"/>
            <w:vAlign w:val="center"/>
            <w:shd w:fill="F2F2F2"/>
          </w:tcPr>
          <w:p>
            <w:pPr>
              <w:spacing w:after="0"/>
            </w:pPr>
            <w:r/>
            <w:r>
              <w:rPr>
                <w:rFonts w:ascii="Aptos" w:hAnsi="Aptos"/>
                <w:b w:val="0"/>
                <w:sz w:val="15"/>
              </w:rPr>
              <w:t>Registro versionado y proceso de actualización</w:t>
            </w:r>
          </w:p>
        </w:tc>
      </w:tr>
      <w:tr>
        <w:tc>
          <w:tcPr>
            <w:tcW w:type="dxa" w:w="1984"/>
            <w:vAlign w:val="center"/>
          </w:tcPr>
          <w:p>
            <w:pPr>
              <w:spacing w:after="0"/>
            </w:pPr>
            <w:r/>
            <w:r>
              <w:rPr>
                <w:rFonts w:ascii="Aptos" w:hAnsi="Aptos"/>
                <w:b w:val="0"/>
                <w:sz w:val="15"/>
              </w:rPr>
              <w:t>IA</w:t>
            </w:r>
          </w:p>
        </w:tc>
        <w:tc>
          <w:tcPr>
            <w:tcW w:type="dxa" w:w="3969"/>
            <w:vAlign w:val="center"/>
          </w:tcPr>
          <w:p>
            <w:pPr>
              <w:spacing w:after="0"/>
            </w:pPr>
            <w:r/>
            <w:r>
              <w:rPr>
                <w:rFonts w:ascii="Aptos" w:hAnsi="Aptos"/>
                <w:b w:val="0"/>
                <w:sz w:val="15"/>
              </w:rPr>
              <w:t>Riesgo de sugerencia no autorizada</w:t>
            </w:r>
          </w:p>
        </w:tc>
        <w:tc>
          <w:tcPr>
            <w:tcW w:type="dxa" w:w="3685"/>
            <w:vAlign w:val="center"/>
          </w:tcPr>
          <w:p>
            <w:pPr>
              <w:spacing w:after="0"/>
            </w:pPr>
            <w:r/>
            <w:r>
              <w:rPr>
                <w:rFonts w:ascii="Aptos" w:hAnsi="Aptos"/>
                <w:b w:val="0"/>
                <w:sz w:val="15"/>
              </w:rPr>
              <w:t>IA explicativa sin acceso a reglas críticas</w:t>
            </w:r>
          </w:p>
        </w:tc>
      </w:tr>
    </w:tbl>
    <w:p>
      <w:pPr>
        <w:spacing w:after="0"/>
      </w:pPr>
    </w:p>
    <w:p>
      <w:pPr>
        <w:pStyle w:val="Heading2"/>
        <w:spacing w:after="80"/>
      </w:pPr>
      <w:r>
        <w:t>32.1 Ampliaciones futuras</w:t>
      </w:r>
    </w:p>
    <w:p>
      <w:pPr>
        <w:pStyle w:val="ListBullet"/>
        <w:spacing w:after="30"/>
      </w:pPr>
      <w:r>
        <w:t>Cálculo completo de catenarias desde vano, flecha, material, temperatura, viento e hielo.</w:t>
      </w:r>
    </w:p>
    <w:p>
      <w:pPr>
        <w:pStyle w:val="ListBullet"/>
        <w:spacing w:after="30"/>
      </w:pPr>
      <w:r>
        <w:t>Integración de datos meteorológicos y climáticos de proyecto.</w:t>
      </w:r>
    </w:p>
    <w:p>
      <w:pPr>
        <w:pStyle w:val="ListBullet"/>
        <w:spacing w:after="30"/>
      </w:pPr>
      <w:r>
        <w:t>Normas AASHTO, AS/NZS, BS y otras jurisdicciones.</w:t>
      </w:r>
    </w:p>
    <w:p>
      <w:pPr>
        <w:pStyle w:val="ListBullet"/>
        <w:spacing w:after="30"/>
      </w:pPr>
      <w:r>
        <w:t>Microzonificación sísmica y topográfica avanzada.</w:t>
      </w:r>
    </w:p>
    <w:p>
      <w:pPr>
        <w:pStyle w:val="ListBullet"/>
        <w:spacing w:after="30"/>
      </w:pPr>
      <w:r>
        <w:t>Modelos aeroelásticos y acoplamiento con CFD/FEM.</w:t>
      </w:r>
    </w:p>
    <w:p>
      <w:pPr>
        <w:pStyle w:val="ListBullet"/>
        <w:spacing w:after="30"/>
      </w:pPr>
      <w:r>
        <w:t>Aprendizaje supervisado sobre parámetros aprobados, siempre fuera del núcleo determinista.</w:t>
      </w:r>
    </w:p>
    <w:p>
      <w:pPr>
        <w:pStyle w:val="ListBullet"/>
        <w:spacing w:after="30"/>
      </w:pPr>
      <w:r>
        <w:t>Conexión con GIS de Salvi Studio para cálculo masivo de redes de columnas.</w:t>
      </w:r>
    </w:p>
    <w:p>
      <w:pPr>
        <w:pStyle w:val="Heading1"/>
        <w:spacing w:after="80"/>
      </w:pPr>
      <w:r>
        <w:t>Anexo A. Convenciones y códigos</w:t>
      </w:r>
    </w:p>
    <w:tbl>
      <w:tblPr>
        <w:tblStyle w:val="TableGrid"/>
        <w:tblW w:type="auto" w:w="0"/>
        <w:jc w:val="center"/>
        <w:tblLook w:firstColumn="1" w:firstRow="1" w:lastColumn="0" w:lastRow="0" w:noHBand="0" w:noVBand="1" w:val="04A0"/>
      </w:tblPr>
      <w:tblGrid>
        <w:gridCol w:w="5156"/>
        <w:gridCol w:w="5156"/>
      </w:tblGrid>
      <w:tr>
        <w:tc>
          <w:tcPr>
            <w:tcW w:type="dxa" w:w="1701"/>
            <w:vAlign w:val="center"/>
            <w:shd w:fill="111111"/>
          </w:tcPr>
          <w:p>
            <w:pPr>
              <w:spacing w:after="0"/>
            </w:pPr>
            <w:r/>
            <w:r>
              <w:rPr>
                <w:rFonts w:ascii="Aptos" w:hAnsi="Aptos"/>
                <w:b/>
                <w:color w:val="FFFFFF"/>
                <w:sz w:val="15"/>
              </w:rPr>
              <w:t>Código</w:t>
            </w:r>
          </w:p>
        </w:tc>
        <w:tc>
          <w:tcPr>
            <w:tcW w:type="dxa" w:w="7370"/>
            <w:vAlign w:val="center"/>
            <w:shd w:fill="111111"/>
          </w:tcPr>
          <w:p>
            <w:pPr>
              <w:spacing w:after="0"/>
            </w:pPr>
            <w:r/>
            <w:r>
              <w:rPr>
                <w:rFonts w:ascii="Aptos" w:hAnsi="Aptos"/>
                <w:b/>
                <w:color w:val="FFFFFF"/>
                <w:sz w:val="15"/>
              </w:rPr>
              <w:t>Significado</w:t>
            </w:r>
          </w:p>
        </w:tc>
      </w:tr>
      <w:tr>
        <w:tc>
          <w:tcPr>
            <w:tcW w:type="dxa" w:w="1701"/>
            <w:vAlign w:val="center"/>
          </w:tcPr>
          <w:p>
            <w:pPr>
              <w:spacing w:after="0"/>
            </w:pPr>
            <w:r/>
            <w:r>
              <w:rPr>
                <w:rFonts w:ascii="Aptos" w:hAnsi="Aptos"/>
                <w:b w:val="0"/>
                <w:sz w:val="15"/>
              </w:rPr>
              <w:t>GEO</w:t>
            </w:r>
          </w:p>
        </w:tc>
        <w:tc>
          <w:tcPr>
            <w:tcW w:type="dxa" w:w="7370"/>
            <w:vAlign w:val="center"/>
          </w:tcPr>
          <w:p>
            <w:pPr>
              <w:spacing w:after="0"/>
            </w:pPr>
            <w:r/>
            <w:r>
              <w:rPr>
                <w:rFonts w:ascii="Aptos" w:hAnsi="Aptos"/>
                <w:b w:val="0"/>
                <w:sz w:val="15"/>
              </w:rPr>
              <w:t>Ubicación y datos geográficos</w:t>
            </w:r>
          </w:p>
        </w:tc>
      </w:tr>
      <w:tr>
        <w:tc>
          <w:tcPr>
            <w:tcW w:type="dxa" w:w="1701"/>
            <w:vAlign w:val="center"/>
            <w:shd w:fill="F2F2F2"/>
          </w:tcPr>
          <w:p>
            <w:pPr>
              <w:spacing w:after="0"/>
            </w:pPr>
            <w:r/>
            <w:r>
              <w:rPr>
                <w:rFonts w:ascii="Aptos" w:hAnsi="Aptos"/>
                <w:b w:val="0"/>
                <w:sz w:val="15"/>
              </w:rPr>
              <w:t>NOR</w:t>
            </w:r>
          </w:p>
        </w:tc>
        <w:tc>
          <w:tcPr>
            <w:tcW w:type="dxa" w:w="7370"/>
            <w:vAlign w:val="center"/>
            <w:shd w:fill="F2F2F2"/>
          </w:tcPr>
          <w:p>
            <w:pPr>
              <w:spacing w:after="0"/>
            </w:pPr>
            <w:r/>
            <w:r>
              <w:rPr>
                <w:rFonts w:ascii="Aptos" w:hAnsi="Aptos"/>
                <w:b w:val="0"/>
                <w:sz w:val="15"/>
              </w:rPr>
              <w:t>Reglas normativas</w:t>
            </w:r>
          </w:p>
        </w:tc>
      </w:tr>
      <w:tr>
        <w:tc>
          <w:tcPr>
            <w:tcW w:type="dxa" w:w="1701"/>
            <w:vAlign w:val="center"/>
          </w:tcPr>
          <w:p>
            <w:pPr>
              <w:spacing w:after="0"/>
            </w:pPr>
            <w:r/>
            <w:r>
              <w:rPr>
                <w:rFonts w:ascii="Aptos" w:hAnsi="Aptos"/>
                <w:b w:val="0"/>
                <w:sz w:val="15"/>
              </w:rPr>
              <w:t>WND</w:t>
            </w:r>
          </w:p>
        </w:tc>
        <w:tc>
          <w:tcPr>
            <w:tcW w:type="dxa" w:w="7370"/>
            <w:vAlign w:val="center"/>
          </w:tcPr>
          <w:p>
            <w:pPr>
              <w:spacing w:after="0"/>
            </w:pPr>
            <w:r/>
            <w:r>
              <w:rPr>
                <w:rFonts w:ascii="Aptos" w:hAnsi="Aptos"/>
                <w:b w:val="0"/>
                <w:sz w:val="15"/>
              </w:rPr>
              <w:t>Viento</w:t>
            </w:r>
          </w:p>
        </w:tc>
      </w:tr>
      <w:tr>
        <w:tc>
          <w:tcPr>
            <w:tcW w:type="dxa" w:w="1701"/>
            <w:vAlign w:val="center"/>
            <w:shd w:fill="F2F2F2"/>
          </w:tcPr>
          <w:p>
            <w:pPr>
              <w:spacing w:after="0"/>
            </w:pPr>
            <w:r/>
            <w:r>
              <w:rPr>
                <w:rFonts w:ascii="Aptos" w:hAnsi="Aptos"/>
                <w:b w:val="0"/>
                <w:sz w:val="15"/>
              </w:rPr>
              <w:t>AER</w:t>
            </w:r>
          </w:p>
        </w:tc>
        <w:tc>
          <w:tcPr>
            <w:tcW w:type="dxa" w:w="7370"/>
            <w:vAlign w:val="center"/>
            <w:shd w:fill="F2F2F2"/>
          </w:tcPr>
          <w:p>
            <w:pPr>
              <w:spacing w:after="0"/>
            </w:pPr>
            <w:r/>
            <w:r>
              <w:rPr>
                <w:rFonts w:ascii="Aptos" w:hAnsi="Aptos"/>
                <w:b w:val="0"/>
                <w:sz w:val="15"/>
              </w:rPr>
              <w:t>Aerodinámica</w:t>
            </w:r>
          </w:p>
        </w:tc>
      </w:tr>
      <w:tr>
        <w:tc>
          <w:tcPr>
            <w:tcW w:type="dxa" w:w="1701"/>
            <w:vAlign w:val="center"/>
          </w:tcPr>
          <w:p>
            <w:pPr>
              <w:spacing w:after="0"/>
            </w:pPr>
            <w:r/>
            <w:r>
              <w:rPr>
                <w:rFonts w:ascii="Aptos" w:hAnsi="Aptos"/>
                <w:b w:val="0"/>
                <w:sz w:val="15"/>
              </w:rPr>
              <w:t>DIR</w:t>
            </w:r>
          </w:p>
        </w:tc>
        <w:tc>
          <w:tcPr>
            <w:tcW w:type="dxa" w:w="7370"/>
            <w:vAlign w:val="center"/>
          </w:tcPr>
          <w:p>
            <w:pPr>
              <w:spacing w:after="0"/>
            </w:pPr>
            <w:r/>
            <w:r>
              <w:rPr>
                <w:rFonts w:ascii="Aptos" w:hAnsi="Aptos"/>
                <w:b w:val="0"/>
                <w:sz w:val="15"/>
              </w:rPr>
              <w:t>Direcciones</w:t>
            </w:r>
          </w:p>
        </w:tc>
      </w:tr>
      <w:tr>
        <w:tc>
          <w:tcPr>
            <w:tcW w:type="dxa" w:w="1701"/>
            <w:vAlign w:val="center"/>
            <w:shd w:fill="F2F2F2"/>
          </w:tcPr>
          <w:p>
            <w:pPr>
              <w:spacing w:after="0"/>
            </w:pPr>
            <w:r/>
            <w:r>
              <w:rPr>
                <w:rFonts w:ascii="Aptos" w:hAnsi="Aptos"/>
                <w:b w:val="0"/>
                <w:sz w:val="15"/>
              </w:rPr>
              <w:t>PER</w:t>
            </w:r>
          </w:p>
        </w:tc>
        <w:tc>
          <w:tcPr>
            <w:tcW w:type="dxa" w:w="7370"/>
            <w:vAlign w:val="center"/>
            <w:shd w:fill="F2F2F2"/>
          </w:tcPr>
          <w:p>
            <w:pPr>
              <w:spacing w:after="0"/>
            </w:pPr>
            <w:r/>
            <w:r>
              <w:rPr>
                <w:rFonts w:ascii="Aptos" w:hAnsi="Aptos"/>
                <w:b w:val="0"/>
                <w:sz w:val="15"/>
              </w:rPr>
              <w:t>Permanentes</w:t>
            </w:r>
          </w:p>
        </w:tc>
      </w:tr>
      <w:tr>
        <w:tc>
          <w:tcPr>
            <w:tcW w:type="dxa" w:w="1701"/>
            <w:vAlign w:val="center"/>
          </w:tcPr>
          <w:p>
            <w:pPr>
              <w:spacing w:after="0"/>
            </w:pPr>
            <w:r/>
            <w:r>
              <w:rPr>
                <w:rFonts w:ascii="Aptos" w:hAnsi="Aptos"/>
                <w:b w:val="0"/>
                <w:sz w:val="15"/>
              </w:rPr>
              <w:t>CAT</w:t>
            </w:r>
          </w:p>
        </w:tc>
        <w:tc>
          <w:tcPr>
            <w:tcW w:type="dxa" w:w="7370"/>
            <w:vAlign w:val="center"/>
          </w:tcPr>
          <w:p>
            <w:pPr>
              <w:spacing w:after="0"/>
            </w:pPr>
            <w:r/>
            <w:r>
              <w:rPr>
                <w:rFonts w:ascii="Aptos" w:hAnsi="Aptos"/>
                <w:b w:val="0"/>
                <w:sz w:val="15"/>
              </w:rPr>
              <w:t>Catenarias</w:t>
            </w:r>
          </w:p>
        </w:tc>
      </w:tr>
      <w:tr>
        <w:tc>
          <w:tcPr>
            <w:tcW w:type="dxa" w:w="1701"/>
            <w:vAlign w:val="center"/>
            <w:shd w:fill="F2F2F2"/>
          </w:tcPr>
          <w:p>
            <w:pPr>
              <w:spacing w:after="0"/>
            </w:pPr>
            <w:r/>
            <w:r>
              <w:rPr>
                <w:rFonts w:ascii="Aptos" w:hAnsi="Aptos"/>
                <w:b w:val="0"/>
                <w:sz w:val="15"/>
              </w:rPr>
              <w:t>SNW</w:t>
            </w:r>
          </w:p>
        </w:tc>
        <w:tc>
          <w:tcPr>
            <w:tcW w:type="dxa" w:w="7370"/>
            <w:vAlign w:val="center"/>
            <w:shd w:fill="F2F2F2"/>
          </w:tcPr>
          <w:p>
            <w:pPr>
              <w:spacing w:after="0"/>
            </w:pPr>
            <w:r/>
            <w:r>
              <w:rPr>
                <w:rFonts w:ascii="Aptos" w:hAnsi="Aptos"/>
                <w:b w:val="0"/>
                <w:sz w:val="15"/>
              </w:rPr>
              <w:t>Nieve/hielo</w:t>
            </w:r>
          </w:p>
        </w:tc>
      </w:tr>
      <w:tr>
        <w:tc>
          <w:tcPr>
            <w:tcW w:type="dxa" w:w="1701"/>
            <w:vAlign w:val="center"/>
          </w:tcPr>
          <w:p>
            <w:pPr>
              <w:spacing w:after="0"/>
            </w:pPr>
            <w:r/>
            <w:r>
              <w:rPr>
                <w:rFonts w:ascii="Aptos" w:hAnsi="Aptos"/>
                <w:b w:val="0"/>
                <w:sz w:val="15"/>
              </w:rPr>
              <w:t>SEI</w:t>
            </w:r>
          </w:p>
        </w:tc>
        <w:tc>
          <w:tcPr>
            <w:tcW w:type="dxa" w:w="7370"/>
            <w:vAlign w:val="center"/>
          </w:tcPr>
          <w:p>
            <w:pPr>
              <w:spacing w:after="0"/>
            </w:pPr>
            <w:r/>
            <w:r>
              <w:rPr>
                <w:rFonts w:ascii="Aptos" w:hAnsi="Aptos"/>
                <w:b w:val="0"/>
                <w:sz w:val="15"/>
              </w:rPr>
              <w:t>Sismo</w:t>
            </w:r>
          </w:p>
        </w:tc>
      </w:tr>
      <w:tr>
        <w:tc>
          <w:tcPr>
            <w:tcW w:type="dxa" w:w="1701"/>
            <w:vAlign w:val="center"/>
            <w:shd w:fill="F2F2F2"/>
          </w:tcPr>
          <w:p>
            <w:pPr>
              <w:spacing w:after="0"/>
            </w:pPr>
            <w:r/>
            <w:r>
              <w:rPr>
                <w:rFonts w:ascii="Aptos" w:hAnsi="Aptos"/>
                <w:b w:val="0"/>
                <w:sz w:val="15"/>
              </w:rPr>
              <w:t>TMP</w:t>
            </w:r>
          </w:p>
        </w:tc>
        <w:tc>
          <w:tcPr>
            <w:tcW w:type="dxa" w:w="7370"/>
            <w:vAlign w:val="center"/>
            <w:shd w:fill="F2F2F2"/>
          </w:tcPr>
          <w:p>
            <w:pPr>
              <w:spacing w:after="0"/>
            </w:pPr>
            <w:r/>
            <w:r>
              <w:rPr>
                <w:rFonts w:ascii="Aptos" w:hAnsi="Aptos"/>
                <w:b w:val="0"/>
                <w:sz w:val="15"/>
              </w:rPr>
              <w:t>Temperatura</w:t>
            </w:r>
          </w:p>
        </w:tc>
      </w:tr>
      <w:tr>
        <w:tc>
          <w:tcPr>
            <w:tcW w:type="dxa" w:w="1701"/>
            <w:vAlign w:val="center"/>
          </w:tcPr>
          <w:p>
            <w:pPr>
              <w:spacing w:after="0"/>
            </w:pPr>
            <w:r/>
            <w:r>
              <w:rPr>
                <w:rFonts w:ascii="Aptos" w:hAnsi="Aptos"/>
                <w:b w:val="0"/>
                <w:sz w:val="15"/>
              </w:rPr>
              <w:t>ACC</w:t>
            </w:r>
          </w:p>
        </w:tc>
        <w:tc>
          <w:tcPr>
            <w:tcW w:type="dxa" w:w="7370"/>
            <w:vAlign w:val="center"/>
          </w:tcPr>
          <w:p>
            <w:pPr>
              <w:spacing w:after="0"/>
            </w:pPr>
            <w:r/>
            <w:r>
              <w:rPr>
                <w:rFonts w:ascii="Aptos" w:hAnsi="Aptos"/>
                <w:b w:val="0"/>
                <w:sz w:val="15"/>
              </w:rPr>
              <w:t>Accidental</w:t>
            </w:r>
          </w:p>
        </w:tc>
      </w:tr>
      <w:tr>
        <w:tc>
          <w:tcPr>
            <w:tcW w:type="dxa" w:w="1701"/>
            <w:vAlign w:val="center"/>
            <w:shd w:fill="F2F2F2"/>
          </w:tcPr>
          <w:p>
            <w:pPr>
              <w:spacing w:after="0"/>
            </w:pPr>
            <w:r/>
            <w:r>
              <w:rPr>
                <w:rFonts w:ascii="Aptos" w:hAnsi="Aptos"/>
                <w:b w:val="0"/>
                <w:sz w:val="15"/>
              </w:rPr>
              <w:t>COM</w:t>
            </w:r>
          </w:p>
        </w:tc>
        <w:tc>
          <w:tcPr>
            <w:tcW w:type="dxa" w:w="7370"/>
            <w:vAlign w:val="center"/>
            <w:shd w:fill="F2F2F2"/>
          </w:tcPr>
          <w:p>
            <w:pPr>
              <w:spacing w:after="0"/>
            </w:pPr>
            <w:r/>
            <w:r>
              <w:rPr>
                <w:rFonts w:ascii="Aptos" w:hAnsi="Aptos"/>
                <w:b w:val="0"/>
                <w:sz w:val="15"/>
              </w:rPr>
              <w:t>Combinaciones</w:t>
            </w:r>
          </w:p>
        </w:tc>
      </w:tr>
      <w:tr>
        <w:tc>
          <w:tcPr>
            <w:tcW w:type="dxa" w:w="1701"/>
            <w:vAlign w:val="center"/>
          </w:tcPr>
          <w:p>
            <w:pPr>
              <w:spacing w:after="0"/>
            </w:pPr>
            <w:r/>
            <w:r>
              <w:rPr>
                <w:rFonts w:ascii="Aptos" w:hAnsi="Aptos"/>
                <w:b w:val="0"/>
                <w:sz w:val="15"/>
              </w:rPr>
              <w:t>FAT</w:t>
            </w:r>
          </w:p>
        </w:tc>
        <w:tc>
          <w:tcPr>
            <w:tcW w:type="dxa" w:w="7370"/>
            <w:vAlign w:val="center"/>
          </w:tcPr>
          <w:p>
            <w:pPr>
              <w:spacing w:after="0"/>
            </w:pPr>
            <w:r/>
            <w:r>
              <w:rPr>
                <w:rFonts w:ascii="Aptos" w:hAnsi="Aptos"/>
                <w:b w:val="0"/>
                <w:sz w:val="15"/>
              </w:rPr>
              <w:t>Fatiga</w:t>
            </w:r>
          </w:p>
        </w:tc>
      </w:tr>
      <w:tr>
        <w:tc>
          <w:tcPr>
            <w:tcW w:type="dxa" w:w="1701"/>
            <w:vAlign w:val="center"/>
            <w:shd w:fill="F2F2F2"/>
          </w:tcPr>
          <w:p>
            <w:pPr>
              <w:spacing w:after="0"/>
            </w:pPr>
            <w:r/>
            <w:r>
              <w:rPr>
                <w:rFonts w:ascii="Aptos" w:hAnsi="Aptos"/>
                <w:b w:val="0"/>
                <w:sz w:val="15"/>
              </w:rPr>
              <w:t>LOD</w:t>
            </w:r>
          </w:p>
        </w:tc>
        <w:tc>
          <w:tcPr>
            <w:tcW w:type="dxa" w:w="7370"/>
            <w:vAlign w:val="center"/>
            <w:shd w:fill="F2F2F2"/>
          </w:tcPr>
          <w:p>
            <w:pPr>
              <w:spacing w:after="0"/>
            </w:pPr>
            <w:r/>
            <w:r>
              <w:rPr>
                <w:rFonts w:ascii="Aptos" w:hAnsi="Aptos"/>
                <w:b w:val="0"/>
                <w:sz w:val="15"/>
              </w:rPr>
              <w:t>Aplicación de cargas</w:t>
            </w:r>
          </w:p>
        </w:tc>
      </w:tr>
      <w:tr>
        <w:tc>
          <w:tcPr>
            <w:tcW w:type="dxa" w:w="1701"/>
            <w:vAlign w:val="center"/>
          </w:tcPr>
          <w:p>
            <w:pPr>
              <w:spacing w:after="0"/>
            </w:pPr>
            <w:r/>
            <w:r>
              <w:rPr>
                <w:rFonts w:ascii="Aptos" w:hAnsi="Aptos"/>
                <w:b w:val="0"/>
                <w:sz w:val="15"/>
              </w:rPr>
              <w:t>DAT</w:t>
            </w:r>
          </w:p>
        </w:tc>
        <w:tc>
          <w:tcPr>
            <w:tcW w:type="dxa" w:w="7370"/>
            <w:vAlign w:val="center"/>
          </w:tcPr>
          <w:p>
            <w:pPr>
              <w:spacing w:after="0"/>
            </w:pPr>
            <w:r/>
            <w:r>
              <w:rPr>
                <w:rFonts w:ascii="Aptos" w:hAnsi="Aptos"/>
                <w:b w:val="0"/>
                <w:sz w:val="15"/>
              </w:rPr>
              <w:t>Datos</w:t>
            </w:r>
          </w:p>
        </w:tc>
      </w:tr>
      <w:tr>
        <w:tc>
          <w:tcPr>
            <w:tcW w:type="dxa" w:w="1701"/>
            <w:vAlign w:val="center"/>
            <w:shd w:fill="F2F2F2"/>
          </w:tcPr>
          <w:p>
            <w:pPr>
              <w:spacing w:after="0"/>
            </w:pPr>
            <w:r/>
            <w:r>
              <w:rPr>
                <w:rFonts w:ascii="Aptos" w:hAnsi="Aptos"/>
                <w:b w:val="0"/>
                <w:sz w:val="15"/>
              </w:rPr>
              <w:t>API</w:t>
            </w:r>
          </w:p>
        </w:tc>
        <w:tc>
          <w:tcPr>
            <w:tcW w:type="dxa" w:w="7370"/>
            <w:vAlign w:val="center"/>
            <w:shd w:fill="F2F2F2"/>
          </w:tcPr>
          <w:p>
            <w:pPr>
              <w:spacing w:after="0"/>
            </w:pPr>
            <w:r/>
            <w:r>
              <w:rPr>
                <w:rFonts w:ascii="Aptos" w:hAnsi="Aptos"/>
                <w:b w:val="0"/>
                <w:sz w:val="15"/>
              </w:rPr>
              <w:t>Interfaces</w:t>
            </w:r>
          </w:p>
        </w:tc>
      </w:tr>
    </w:tbl>
    <w:p>
      <w:pPr>
        <w:spacing w:after="0"/>
      </w:pPr>
    </w:p>
    <w:p>
      <w:pPr>
        <w:pStyle w:val="Smallnote"/>
        <w:spacing w:after="80"/>
      </w:pPr>
      <w:r>
        <w:t>Las referencias normativas exactas, fórmulas, tablas y anexos nacionales se incorporarán en la biblioteca controlada durante la implementación. Este documento especifica el comportamiento del producto y la trazabilidad requerida; no reproduce el contenido protegido de las normas.</w:t>
      </w:r>
    </w:p>
    <w:p>
      <w:r>
        <w:br w:type="page"/>
      </w:r>
    </w:p>
    <w:p>
      <w:pPr>
        <w:pStyle w:val="Heading1"/>
      </w:pPr>
      <w:r>
        <w:t>33. Ampliaciones incorporadas en la versión 0.2</w:t>
      </w:r>
    </w:p>
    <w:p>
      <w:pPr/>
      <w:r>
        <w:t>La versión 0.2 no modifica el alcance funcional aprobado, pero cierra ambigüedades de cálculo, datos, interfaces y validación que podrían provocar implementaciones distintas entre desarrolladores. Estas ampliaciones pasan a formar parte de la especificación contractual de la Fase 3 y prevalecen sobre formulaciones más generales de la versión 0.1 cuando exista conflicto.</w:t>
      </w:r>
    </w:p>
    <w:tbl>
      <w:tblPr>
        <w:tblStyle w:val="TableGrid"/>
        <w:tblW w:type="auto" w:w="0"/>
        <w:tblLook w:firstColumn="1" w:firstRow="1" w:lastColumn="0" w:lastRow="0" w:noHBand="0" w:noVBand="1" w:val="04A0"/>
      </w:tblPr>
      <w:tblGrid>
        <w:gridCol w:w="3438"/>
        <w:gridCol w:w="3438"/>
        <w:gridCol w:w="3438"/>
      </w:tblGrid>
      <w:tr>
        <w:tc>
          <w:tcPr>
            <w:tcW w:type="dxa" w:w="3438"/>
          </w:tcPr>
          <w:p>
            <w:r>
              <w:t>Área</w:t>
            </w:r>
          </w:p>
        </w:tc>
        <w:tc>
          <w:tcPr>
            <w:tcW w:type="dxa" w:w="3438"/>
          </w:tcPr>
          <w:p>
            <w:r>
              <w:t>Gap detectado</w:t>
            </w:r>
          </w:p>
        </w:tc>
        <w:tc>
          <w:tcPr>
            <w:tcW w:type="dxa" w:w="3438"/>
          </w:tcPr>
          <w:p>
            <w:r>
              <w:t>Ampliación v0.2</w:t>
            </w:r>
          </w:p>
        </w:tc>
      </w:tr>
      <w:tr>
        <w:tc>
          <w:tcPr>
            <w:tcW w:type="dxa" w:w="3438"/>
          </w:tcPr>
          <w:p>
            <w:r>
              <w:t>Ubicación</w:t>
            </w:r>
          </w:p>
        </w:tc>
        <w:tc>
          <w:tcPr>
            <w:tcW w:type="dxa" w:w="3438"/>
          </w:tcPr>
          <w:p>
            <w:r>
              <w:t>No se detallaba la gestión de capas, fronteras y ambigüedad geográfica.</w:t>
            </w:r>
          </w:p>
        </w:tc>
        <w:tc>
          <w:tcPr>
            <w:tcW w:type="dxa" w:w="3438"/>
          </w:tcPr>
          <w:p>
            <w:r>
              <w:t>Pipeline de resolución, prioridad de fuentes, caché, trazabilidad espacial y gestión de zonas limítrofes.</w:t>
            </w:r>
          </w:p>
        </w:tc>
      </w:tr>
      <w:tr>
        <w:tc>
          <w:tcPr>
            <w:tcW w:type="dxa" w:w="3438"/>
          </w:tcPr>
          <w:p>
            <w:r>
              <w:t>Viento</w:t>
            </w:r>
          </w:p>
        </w:tc>
        <w:tc>
          <w:tcPr>
            <w:tcW w:type="dxa" w:w="3438"/>
          </w:tcPr>
          <w:p>
            <w:r>
              <w:t>Faltaba cerrar el flujo numérico completo y la discretización por franjas.</w:t>
            </w:r>
          </w:p>
        </w:tc>
        <w:tc>
          <w:tcPr>
            <w:tcW w:type="dxa" w:w="3438"/>
          </w:tcPr>
          <w:p>
            <w:r>
              <w:t>Algoritmo canónico desde velocidad básica hasta cargas espaciales y controles de consistencia.</w:t>
            </w:r>
          </w:p>
        </w:tc>
      </w:tr>
      <w:tr>
        <w:tc>
          <w:tcPr>
            <w:tcW w:type="dxa" w:w="3438"/>
          </w:tcPr>
          <w:p>
            <w:r>
              <w:t>Aerodinámica</w:t>
            </w:r>
          </w:p>
        </w:tc>
        <w:tc>
          <w:tcPr>
            <w:tcW w:type="dxa" w:w="3438"/>
          </w:tcPr>
          <w:p>
            <w:r>
              <w:t>No se definía suficientemente la biblioteca de Cd y áreas proyectadas.</w:t>
            </w:r>
          </w:p>
        </w:tc>
        <w:tc>
          <w:tcPr>
            <w:tcW w:type="dxa" w:w="3438"/>
          </w:tcPr>
          <w:p>
            <w:r>
              <w:t>Modelo por orientación, interpolación, dominio de validez y reglas de aproximación.</w:t>
            </w:r>
          </w:p>
        </w:tc>
      </w:tr>
      <w:tr>
        <w:tc>
          <w:tcPr>
            <w:tcW w:type="dxa" w:w="3438"/>
          </w:tcPr>
          <w:p>
            <w:r>
              <w:t>Direcciones</w:t>
            </w:r>
          </w:p>
        </w:tc>
        <w:tc>
          <w:tcPr>
            <w:tcW w:type="dxa" w:w="3438"/>
          </w:tcPr>
          <w:p>
            <w:r>
              <w:t>El barrido cada 30° no especificaba refinamiento ni deduplicación.</w:t>
            </w:r>
          </w:p>
        </w:tc>
        <w:tc>
          <w:tcPr>
            <w:tcW w:type="dxa" w:w="3438"/>
          </w:tcPr>
          <w:p>
            <w:r>
              <w:t>Algoritmo determinista de direcciones candidatas, refinamiento y envolventes.</w:t>
            </w:r>
          </w:p>
        </w:tc>
      </w:tr>
      <w:tr>
        <w:tc>
          <w:tcPr>
            <w:tcW w:type="dxa" w:w="3438"/>
          </w:tcPr>
          <w:p>
            <w:r>
              <w:t>Combinaciones</w:t>
            </w:r>
          </w:p>
        </w:tc>
        <w:tc>
          <w:tcPr>
            <w:tcW w:type="dxa" w:w="3438"/>
          </w:tcPr>
          <w:p>
            <w:r>
              <w:t>Faltaba un lenguaje formal de reglas y exclusiones.</w:t>
            </w:r>
          </w:p>
        </w:tc>
        <w:tc>
          <w:tcPr>
            <w:tcW w:type="dxa" w:w="3438"/>
          </w:tcPr>
          <w:p>
            <w:r>
              <w:t>Motor declarativo, grafo de dependencias, normalización y poda verificable.</w:t>
            </w:r>
          </w:p>
        </w:tc>
      </w:tr>
      <w:tr>
        <w:tc>
          <w:tcPr>
            <w:tcW w:type="dxa" w:w="3438"/>
          </w:tcPr>
          <w:p>
            <w:r>
              <w:t>Catenarias</w:t>
            </w:r>
          </w:p>
        </w:tc>
        <w:tc>
          <w:tcPr>
            <w:tcW w:type="dxa" w:w="3438"/>
          </w:tcPr>
          <w:p>
            <w:r>
              <w:t>Se describían los datos, pero no su vectorización ni estados.</w:t>
            </w:r>
          </w:p>
        </w:tc>
        <w:tc>
          <w:tcPr>
            <w:tcW w:type="dxa" w:w="3438"/>
          </w:tcPr>
          <w:p>
            <w:r>
              <w:t>Descomposición 3D, excentricidades, simultaneidad y casos accidentales.</w:t>
            </w:r>
          </w:p>
        </w:tc>
      </w:tr>
      <w:tr>
        <w:tc>
          <w:tcPr>
            <w:tcW w:type="dxa" w:w="3438"/>
          </w:tcPr>
          <w:p>
            <w:r>
              <w:t>Sismo y clima</w:t>
            </w:r>
          </w:p>
        </w:tc>
        <w:tc>
          <w:tcPr>
            <w:tcW w:type="dxa" w:w="3438"/>
          </w:tcPr>
          <w:p>
            <w:r>
              <w:t>Faltaba separar dato geográfico, masa y modelo estructural.</w:t>
            </w:r>
          </w:p>
        </w:tc>
        <w:tc>
          <w:tcPr>
            <w:tcW w:type="dxa" w:w="3438"/>
          </w:tcPr>
          <w:p>
            <w:r>
              <w:t>Contrato preciso de entrada/salida y bloqueo por calidad de datos.</w:t>
            </w:r>
          </w:p>
        </w:tc>
      </w:tr>
      <w:tr>
        <w:tc>
          <w:tcPr>
            <w:tcW w:type="dxa" w:w="3438"/>
          </w:tcPr>
          <w:p>
            <w:r>
              <w:t>QA</w:t>
            </w:r>
          </w:p>
        </w:tc>
        <w:tc>
          <w:tcPr>
            <w:tcW w:type="dxa" w:w="3438"/>
          </w:tcPr>
          <w:p>
            <w:r>
              <w:t>Los casos de aceptación eran amplios, pero no suficientes para validación normativa.</w:t>
            </w:r>
          </w:p>
        </w:tc>
        <w:tc>
          <w:tcPr>
            <w:tcW w:type="dxa" w:w="3438"/>
          </w:tcPr>
          <w:p>
            <w:r>
              <w:t>Matriz de benchmarks, golden cases y tolerancias por magnitud.</w:t>
            </w:r>
          </w:p>
        </w:tc>
      </w:tr>
    </w:tbl>
    <w:p/>
    <w:p>
      <w:pPr>
        <w:pStyle w:val="Heading1"/>
      </w:pPr>
      <w:r>
        <w:t>34. Flujo computacional canónico de la Fase 3</w:t>
      </w:r>
    </w:p>
    <w:p>
      <w:pPr/>
      <w:r>
        <w:t>Toda ejecución de acciones deberá seguir el mismo flujo, con estados persistidos y verificables. No se permitirá que distintos endpoints o pantallas reconstruyan cargas mediante lógica paralela. El resultado oficial será producido por un único orquestador de cálculo.</w:t>
      </w:r>
    </w:p>
    <w:p>
      <w:pPr>
        <w:pStyle w:val="ListNumber"/>
      </w:pPr>
      <w:r>
        <w:t>Validar snapshot, unidades, geometría y estado de bibliotecas.</w:t>
      </w:r>
    </w:p>
    <w:p>
      <w:pPr>
        <w:pStyle w:val="ListNumber"/>
      </w:pPr>
      <w:r>
        <w:t>Resolver ubicación, jurisdicción y conjunto normativo aplicable.</w:t>
      </w:r>
    </w:p>
    <w:p>
      <w:pPr>
        <w:pStyle w:val="ListNumber"/>
      </w:pPr>
      <w:r>
        <w:t>Crear el conjunto de parámetros ambientales adoptados y su procedencia.</w:t>
      </w:r>
    </w:p>
    <w:p>
      <w:pPr>
        <w:pStyle w:val="ListNumber"/>
      </w:pPr>
      <w:r>
        <w:t>Obtener propiedades geométricas y aerodinámicas de cada componente expuesto.</w:t>
      </w:r>
    </w:p>
    <w:p>
      <w:pPr>
        <w:pStyle w:val="ListNumber"/>
      </w:pPr>
      <w:r>
        <w:t>Generar direcciones candidatas de viento y estados de componentes.</w:t>
      </w:r>
    </w:p>
    <w:p>
      <w:pPr>
        <w:pStyle w:val="ListNumber"/>
      </w:pPr>
      <w:r>
        <w:t>Calcular acciones elementales características sin coeficientes de combinación.</w:t>
      </w:r>
    </w:p>
    <w:p>
      <w:pPr>
        <w:pStyle w:val="ListNumber"/>
      </w:pPr>
      <w:r>
        <w:t>Convertir cada acción a la representación espacial canónica.</w:t>
      </w:r>
    </w:p>
    <w:p>
      <w:pPr>
        <w:pStyle w:val="ListNumber"/>
      </w:pPr>
      <w:r>
        <w:t>Generar casos de carga coherentes y mutuamente compatibles.</w:t>
      </w:r>
    </w:p>
    <w:p>
      <w:pPr>
        <w:pStyle w:val="ListNumber"/>
      </w:pPr>
      <w:r>
        <w:t>Aplicar plantillas de combinación versionadas para ELU, ELS, fatiga y situaciones especiales.</w:t>
      </w:r>
    </w:p>
    <w:p>
      <w:pPr>
        <w:pStyle w:val="ListNumber"/>
      </w:pPr>
      <w:r>
        <w:t>Normalizar, deduplicar y validar combinaciones.</w:t>
      </w:r>
    </w:p>
    <w:p>
      <w:pPr>
        <w:pStyle w:val="ListNumber"/>
      </w:pPr>
      <w:r>
        <w:t>Emitir manifest, diagnósticos, métricas de calidad y hashes.</w:t>
      </w:r>
    </w:p>
    <w:p>
      <w:pPr>
        <w:pStyle w:val="Requirement"/>
      </w:pPr>
      <w:r>
        <w:t>ACT-FLOW-001 [MUST] Cada paso conservará input_hash, output_hash, engine_version, library_versions, timestamp y estado de validación.</w:t>
      </w:r>
    </w:p>
    <w:p>
      <w:pPr>
        <w:pStyle w:val="Requirement"/>
      </w:pPr>
      <w:r>
        <w:t>ACT-FLOW-002 [MUST] Una ejecución fallida no publicará resultados parciales como válidos; los artefactos de diagnóstico quedarán separados y marcados como incompletos.</w:t>
      </w:r>
    </w:p>
    <w:p>
      <w:pPr>
        <w:pStyle w:val="Requirement"/>
      </w:pPr>
      <w:r>
        <w:t>ACT-FLOW-003 [MUST] La representación canónica interna utilizará SI: m, N, Pa, kg, s, rad y K. La interfaz podrá mostrar otras unidades sin alterar el cálculo.</w:t>
      </w:r>
    </w:p>
    <w:p>
      <w:pPr>
        <w:pStyle w:val="Heading1"/>
      </w:pPr>
      <w:r>
        <w:t>35. Resolución geográfica y arquitectura de fuentes</w:t>
      </w:r>
    </w:p>
    <w:p>
      <w:pPr>
        <w:pStyle w:val="Heading2"/>
      </w:pPr>
      <w:r>
        <w:t>35.1 Modelo de capas y adaptadores</w:t>
      </w:r>
    </w:p>
    <w:p>
      <w:pPr/>
      <w:r>
        <w:t>Cada fuente geográfica se integrará mediante un adaptador independiente. El núcleo no dependerá del formato original de un proveedor. Los adaptadores convertirán mapas ráster, polígonos, isolíneas, tablas o servicios remotos a un contrato común.</w:t>
      </w:r>
    </w:p>
    <w:tbl>
      <w:tblPr>
        <w:tblStyle w:val="TableGrid"/>
        <w:tblW w:type="auto" w:w="0"/>
        <w:tblLook w:firstColumn="1" w:firstRow="1" w:lastColumn="0" w:lastRow="0" w:noHBand="0" w:noVBand="1" w:val="04A0"/>
      </w:tblPr>
      <w:tblGrid>
        <w:gridCol w:w="5156"/>
        <w:gridCol w:w="5156"/>
      </w:tblGrid>
      <w:tr>
        <w:tc>
          <w:tcPr>
            <w:tcW w:type="dxa" w:w="5156"/>
          </w:tcPr>
          <w:p>
            <w:r>
              <w:t>Campo del adaptador</w:t>
            </w:r>
          </w:p>
        </w:tc>
        <w:tc>
          <w:tcPr>
            <w:tcW w:type="dxa" w:w="5156"/>
          </w:tcPr>
          <w:p>
            <w:r>
              <w:t>Descripción</w:t>
            </w:r>
          </w:p>
        </w:tc>
      </w:tr>
      <w:tr>
        <w:tc>
          <w:tcPr>
            <w:tcW w:type="dxa" w:w="5156"/>
          </w:tcPr>
          <w:p>
            <w:r>
              <w:t>source_id / edition</w:t>
            </w:r>
          </w:p>
        </w:tc>
        <w:tc>
          <w:tcPr>
            <w:tcW w:type="dxa" w:w="5156"/>
          </w:tcPr>
          <w:p>
            <w:r>
              <w:t>Identificación inequívoca de la fuente y edición.</w:t>
            </w:r>
          </w:p>
        </w:tc>
      </w:tr>
      <w:tr>
        <w:tc>
          <w:tcPr>
            <w:tcW w:type="dxa" w:w="5156"/>
          </w:tcPr>
          <w:p>
            <w:r>
              <w:t>coverage_geometry</w:t>
            </w:r>
          </w:p>
        </w:tc>
        <w:tc>
          <w:tcPr>
            <w:tcW w:type="dxa" w:w="5156"/>
          </w:tcPr>
          <w:p>
            <w:r>
              <w:t>Cobertura territorial y exclusiones.</w:t>
            </w:r>
          </w:p>
        </w:tc>
      </w:tr>
      <w:tr>
        <w:tc>
          <w:tcPr>
            <w:tcW w:type="dxa" w:w="5156"/>
          </w:tcPr>
          <w:p>
            <w:r>
              <w:t>spatial_resolution</w:t>
            </w:r>
          </w:p>
        </w:tc>
        <w:tc>
          <w:tcPr>
            <w:tcW w:type="dxa" w:w="5156"/>
          </w:tcPr>
          <w:p>
            <w:r>
              <w:t>Resolución nominal o escala del mapa.</w:t>
            </w:r>
          </w:p>
        </w:tc>
      </w:tr>
      <w:tr>
        <w:tc>
          <w:tcPr>
            <w:tcW w:type="dxa" w:w="5156"/>
          </w:tcPr>
          <w:p>
            <w:r>
              <w:t>value_type</w:t>
            </w:r>
          </w:p>
        </w:tc>
        <w:tc>
          <w:tcPr>
            <w:tcW w:type="dxa" w:w="5156"/>
          </w:tcPr>
          <w:p>
            <w:r>
              <w:t>Punto, polígono, ráster, isolínea, tabla por municipio o fórmula.</w:t>
            </w:r>
          </w:p>
        </w:tc>
      </w:tr>
      <w:tr>
        <w:tc>
          <w:tcPr>
            <w:tcW w:type="dxa" w:w="5156"/>
          </w:tcPr>
          <w:p>
            <w:r>
              <w:t>interpolation_policy</w:t>
            </w:r>
          </w:p>
        </w:tc>
        <w:tc>
          <w:tcPr>
            <w:tcW w:type="dxa" w:w="5156"/>
          </w:tcPr>
          <w:p>
            <w:r>
              <w:t>Nearest, bilinear, dentro de polígono, entre isolíneas o prohibida.</w:t>
            </w:r>
          </w:p>
        </w:tc>
      </w:tr>
      <w:tr>
        <w:tc>
          <w:tcPr>
            <w:tcW w:type="dxa" w:w="5156"/>
          </w:tcPr>
          <w:p>
            <w:r>
              <w:t>boundary_policy</w:t>
            </w:r>
          </w:p>
        </w:tc>
        <w:tc>
          <w:tcPr>
            <w:tcW w:type="dxa" w:w="5156"/>
          </w:tcPr>
          <w:p>
            <w:r>
              <w:t>Regla para puntos en frontera o a distancia inferior a la tolerancia.</w:t>
            </w:r>
          </w:p>
        </w:tc>
      </w:tr>
      <w:tr>
        <w:tc>
          <w:tcPr>
            <w:tcW w:type="dxa" w:w="5156"/>
          </w:tcPr>
          <w:p>
            <w:r>
              <w:t>license_policy</w:t>
            </w:r>
          </w:p>
        </w:tc>
        <w:tc>
          <w:tcPr>
            <w:tcW w:type="dxa" w:w="5156"/>
          </w:tcPr>
          <w:p>
            <w:r>
              <w:t>Condiciones de uso, caché, redistribución y auditoría.</w:t>
            </w:r>
          </w:p>
        </w:tc>
      </w:tr>
      <w:tr>
        <w:tc>
          <w:tcPr>
            <w:tcW w:type="dxa" w:w="5156"/>
          </w:tcPr>
          <w:p>
            <w:r>
              <w:t>validity_period</w:t>
            </w:r>
          </w:p>
        </w:tc>
        <w:tc>
          <w:tcPr>
            <w:tcW w:type="dxa" w:w="5156"/>
          </w:tcPr>
          <w:p>
            <w:r>
              <w:t>Fecha de vigencia y sustitución.</w:t>
            </w:r>
          </w:p>
        </w:tc>
      </w:tr>
      <w:tr>
        <w:tc>
          <w:tcPr>
            <w:tcW w:type="dxa" w:w="5156"/>
          </w:tcPr>
          <w:p>
            <w:r>
              <w:t>fallback_source</w:t>
            </w:r>
          </w:p>
        </w:tc>
        <w:tc>
          <w:tcPr>
            <w:tcW w:type="dxa" w:w="5156"/>
          </w:tcPr>
          <w:p>
            <w:r>
              <w:t>Fuente alternativa autorizada.</w:t>
            </w:r>
          </w:p>
        </w:tc>
      </w:tr>
    </w:tbl>
    <w:p/>
    <w:p>
      <w:pPr>
        <w:pStyle w:val="Heading2"/>
      </w:pPr>
      <w:r>
        <w:t>35.2 Reglas para zonas fronterizas</w:t>
      </w:r>
    </w:p>
    <w:p>
      <w:pPr>
        <w:pStyle w:val="ListBullet"/>
      </w:pPr>
      <w:r>
        <w:t>Cuando una coordenada esté a menos de una distancia configurable de una frontera administrativa o de una isolínea, la interfaz mostrará ambos valores candidatos.</w:t>
      </w:r>
    </w:p>
    <w:p>
      <w:pPr>
        <w:pStyle w:val="ListBullet"/>
      </w:pPr>
      <w:r>
        <w:t>En ausencia de una regla nacional explícita, se propondrá el valor más desfavorable, pero el usuario deberá confirmarlo.</w:t>
      </w:r>
    </w:p>
    <w:p>
      <w:pPr>
        <w:pStyle w:val="ListBullet"/>
      </w:pPr>
      <w:r>
        <w:t>No se mezclará un anexo nacional de un país con parámetros geográficos de otro sin una excepción documentada.</w:t>
      </w:r>
    </w:p>
    <w:p>
      <w:pPr>
        <w:pStyle w:val="ListBullet"/>
      </w:pPr>
      <w:r>
        <w:t>Las coordenadas se conservarán en WGS84 y se transformarán al CRS de cada fuente mediante una biblioteca geodésica versionada.</w:t>
      </w:r>
    </w:p>
    <w:p>
      <w:pPr>
        <w:pStyle w:val="ListBullet"/>
      </w:pPr>
      <w:r>
        <w:t>La altitud deberá registrar modelo digital de elevación, resolución, datum vertical y posible corrección manual.</w:t>
      </w:r>
    </w:p>
    <w:p>
      <w:pPr>
        <w:pStyle w:val="Requirement"/>
      </w:pPr>
      <w:r>
        <w:t>GEO-010 [MUST] Todo parámetro resuelto deberá poder reproducirse sin conexión usando el snapshot de valores y metadatos, aunque la fuente remota deje de estar disponible.</w:t>
      </w:r>
    </w:p>
    <w:p>
      <w:pPr>
        <w:pStyle w:val="Requirement"/>
      </w:pPr>
      <w:r>
        <w:t>GEO-011 [MUST] La aplicación conservará la geometría o referencia espacial mínima necesaria para justificar por qué se adoptó un valor de zona.</w:t>
      </w:r>
    </w:p>
    <w:p>
      <w:pPr>
        <w:pStyle w:val="Requirement"/>
      </w:pPr>
      <w:r>
        <w:t>GEO-012 [MUST] Las fuentes remotas se cachearán con checksum y fecha de expiración; una actualización no alterará revisiones congeladas.</w:t>
      </w:r>
    </w:p>
    <w:p>
      <w:pPr>
        <w:pStyle w:val="Heading1"/>
      </w:pPr>
      <w:r>
        <w:t>36. Especificación detallada del viento</w:t>
      </w:r>
    </w:p>
    <w:p>
      <w:pPr>
        <w:pStyle w:val="Heading2"/>
      </w:pPr>
      <w:r>
        <w:t>36.1 Cadena de cálculo</w:t>
      </w:r>
    </w:p>
    <w:p>
      <w:pPr/>
      <w:r>
        <w:t>El servicio de viento implementará una cadena explícita y auditable. La biblioteca normativa definirá las expresiones y parámetros, mientras que el servicio ejecutará operaciones numéricas genéricas. Cada magnitud intermedia estará disponible para diagnóstico e informe.</w:t>
      </w:r>
    </w:p>
    <w:tbl>
      <w:tblPr>
        <w:tblStyle w:val="TableGrid"/>
        <w:tblW w:type="auto" w:w="0"/>
        <w:tblLook w:firstColumn="1" w:firstRow="1" w:lastColumn="0" w:lastRow="0" w:noHBand="0" w:noVBand="1" w:val="04A0"/>
      </w:tblPr>
      <w:tblGrid>
        <w:gridCol w:w="3438"/>
        <w:gridCol w:w="3438"/>
        <w:gridCol w:w="3438"/>
      </w:tblGrid>
      <w:tr>
        <w:tc>
          <w:tcPr>
            <w:tcW w:type="dxa" w:w="3438"/>
          </w:tcPr>
          <w:p>
            <w:r>
              <w:t>Etapa</w:t>
            </w:r>
          </w:p>
        </w:tc>
        <w:tc>
          <w:tcPr>
            <w:tcW w:type="dxa" w:w="3438"/>
          </w:tcPr>
          <w:p>
            <w:r>
              <w:t>Entrada</w:t>
            </w:r>
          </w:p>
        </w:tc>
        <w:tc>
          <w:tcPr>
            <w:tcW w:type="dxa" w:w="3438"/>
          </w:tcPr>
          <w:p>
            <w:r>
              <w:t>Salida mínima</w:t>
            </w:r>
          </w:p>
        </w:tc>
      </w:tr>
      <w:tr>
        <w:tc>
          <w:tcPr>
            <w:tcW w:type="dxa" w:w="3438"/>
          </w:tcPr>
          <w:p>
            <w:r>
              <w:t>Velocidad básica</w:t>
            </w:r>
          </w:p>
        </w:tc>
        <w:tc>
          <w:tcPr>
            <w:tcW w:type="dxa" w:w="3438"/>
          </w:tcPr>
          <w:p>
            <w:r>
              <w:t>Zona, altitud, dirección, estacionalidad y anexo nacional</w:t>
            </w:r>
          </w:p>
        </w:tc>
        <w:tc>
          <w:tcPr>
            <w:tcW w:type="dxa" w:w="3438"/>
          </w:tcPr>
          <w:p>
            <w:r>
              <w:t>Velocidad básica adoptada y factores aplicados</w:t>
            </w:r>
          </w:p>
        </w:tc>
      </w:tr>
      <w:tr>
        <w:tc>
          <w:tcPr>
            <w:tcW w:type="dxa" w:w="3438"/>
          </w:tcPr>
          <w:p>
            <w:r>
              <w:t>Exposición</w:t>
            </w:r>
          </w:p>
        </w:tc>
        <w:tc>
          <w:tcPr>
            <w:tcW w:type="dxa" w:w="3438"/>
          </w:tcPr>
          <w:p>
            <w:r>
              <w:t>Categoría de terreno, rugosidad, altura, distancia a cambio de terreno</w:t>
            </w:r>
          </w:p>
        </w:tc>
        <w:tc>
          <w:tcPr>
            <w:tcW w:type="dxa" w:w="3438"/>
          </w:tcPr>
          <w:p>
            <w:r>
              <w:t>Perfil de velocidad/presión por cota</w:t>
            </w:r>
          </w:p>
        </w:tc>
      </w:tr>
      <w:tr>
        <w:tc>
          <w:tcPr>
            <w:tcW w:type="dxa" w:w="3438"/>
          </w:tcPr>
          <w:p>
            <w:r>
              <w:t>Topografía</w:t>
            </w:r>
          </w:p>
        </w:tc>
        <w:tc>
          <w:tcPr>
            <w:tcW w:type="dxa" w:w="3438"/>
          </w:tcPr>
          <w:p>
            <w:r>
              <w:t>Pendiente, cresta, posición y regla aplicable</w:t>
            </w:r>
          </w:p>
        </w:tc>
        <w:tc>
          <w:tcPr>
            <w:tcW w:type="dxa" w:w="3438"/>
          </w:tcPr>
          <w:p>
            <w:r>
              <w:t>Factor topográfico por cota y dirección</w:t>
            </w:r>
          </w:p>
        </w:tc>
      </w:tr>
      <w:tr>
        <w:tc>
          <w:tcPr>
            <w:tcW w:type="dxa" w:w="3438"/>
          </w:tcPr>
          <w:p>
            <w:r>
              <w:t>Probabilidad/vida útil</w:t>
            </w:r>
          </w:p>
        </w:tc>
        <w:tc>
          <w:tcPr>
            <w:tcW w:type="dxa" w:w="3438"/>
          </w:tcPr>
          <w:p>
            <w:r>
              <w:t>Vida de diseño o factor normativo</w:t>
            </w:r>
          </w:p>
        </w:tc>
        <w:tc>
          <w:tcPr>
            <w:tcW w:type="dxa" w:w="3438"/>
          </w:tcPr>
          <w:p>
            <w:r>
              <w:t>Factor adoptado y justificación</w:t>
            </w:r>
          </w:p>
        </w:tc>
      </w:tr>
      <w:tr>
        <w:tc>
          <w:tcPr>
            <w:tcW w:type="dxa" w:w="3438"/>
          </w:tcPr>
          <w:p>
            <w:r>
              <w:t>Presión de pico</w:t>
            </w:r>
          </w:p>
        </w:tc>
        <w:tc>
          <w:tcPr>
            <w:tcW w:type="dxa" w:w="3438"/>
          </w:tcPr>
          <w:p>
            <w:r>
              <w:t>Densidad del aire y parámetros previos</w:t>
            </w:r>
          </w:p>
        </w:tc>
        <w:tc>
          <w:tcPr>
            <w:tcW w:type="dxa" w:w="3438"/>
          </w:tcPr>
          <w:p>
            <w:r>
              <w:t>q_p(z,theta) o magnitud equivalente</w:t>
            </w:r>
          </w:p>
        </w:tc>
      </w:tr>
      <w:tr>
        <w:tc>
          <w:tcPr>
            <w:tcW w:type="dxa" w:w="3438"/>
          </w:tcPr>
          <w:p>
            <w:r>
              <w:t>Respuesta estructural</w:t>
            </w:r>
          </w:p>
        </w:tc>
        <w:tc>
          <w:tcPr>
            <w:tcW w:type="dxa" w:w="3438"/>
          </w:tcPr>
          <w:p>
            <w:r>
              <w:t>Clase/dinámica según norma</w:t>
            </w:r>
          </w:p>
        </w:tc>
        <w:tc>
          <w:tcPr>
            <w:tcW w:type="dxa" w:w="3438"/>
          </w:tcPr>
          <w:p>
            <w:r>
              <w:t>Factor estructural o advertencia de análisis avanzado</w:t>
            </w:r>
          </w:p>
        </w:tc>
      </w:tr>
      <w:tr>
        <w:tc>
          <w:tcPr>
            <w:tcW w:type="dxa" w:w="3438"/>
          </w:tcPr>
          <w:p>
            <w:r>
              <w:t>Componente</w:t>
            </w:r>
          </w:p>
        </w:tc>
        <w:tc>
          <w:tcPr>
            <w:tcW w:type="dxa" w:w="3438"/>
          </w:tcPr>
          <w:p>
            <w:r>
              <w:t>Área, Cd, orientación, sombra/interferencia</w:t>
            </w:r>
          </w:p>
        </w:tc>
        <w:tc>
          <w:tcPr>
            <w:tcW w:type="dxa" w:w="3438"/>
          </w:tcPr>
          <w:p>
            <w:r>
              <w:t>Fuerza y momento elemental</w:t>
            </w:r>
          </w:p>
        </w:tc>
      </w:tr>
      <w:tr>
        <w:tc>
          <w:tcPr>
            <w:tcW w:type="dxa" w:w="3438"/>
          </w:tcPr>
          <w:p>
            <w:r>
              <w:t>Integración</w:t>
            </w:r>
          </w:p>
        </w:tc>
        <w:tc>
          <w:tcPr>
            <w:tcW w:type="dxa" w:w="3438"/>
          </w:tcPr>
          <w:p>
            <w:r>
              <w:t>Franjas y estaciones</w:t>
            </w:r>
          </w:p>
        </w:tc>
        <w:tc>
          <w:tcPr>
            <w:tcW w:type="dxa" w:w="3438"/>
          </w:tcPr>
          <w:p>
            <w:r>
              <w:t>Carga distribuida y resultantes de control</w:t>
            </w:r>
          </w:p>
        </w:tc>
      </w:tr>
    </w:tbl>
    <w:p/>
    <w:p>
      <w:pPr>
        <w:pStyle w:val="Heading2"/>
      </w:pPr>
      <w:r>
        <w:t>36.2 Discretización del fuste y brazos</w:t>
      </w:r>
    </w:p>
    <w:p>
      <w:pPr/>
      <w:r>
        <w:t>El fuste se dividirá en franjas coincidentes con estaciones geométricas, cambios de sección, puertas, uniones, cambios de rugosidad y límites de perfil ambiental. La longitud máxima de franja será configurable y deberá refinarse automáticamente cuando la variación de presión, diámetro o coeficiente supere una tolerancia.</w:t>
      </w:r>
    </w:p>
    <w:p>
      <w:pPr>
        <w:pStyle w:val="Requirement"/>
      </w:pPr>
      <w:r>
        <w:t>WND-020 [MUST] La resultante de las cargas distribuidas deberá coincidir con la integración de control dentro de 0,2 % para fuerza y momento en casos analíticos de referencia.</w:t>
      </w:r>
    </w:p>
    <w:p>
      <w:pPr>
        <w:pStyle w:val="Requirement"/>
      </w:pPr>
      <w:r>
        <w:t>WND-021 [MUST] El algoritmo no concentrará toda la carga del fuste en un único punto salvo en vistas de resumen; el contrato estructural conservará la distribución.</w:t>
      </w:r>
    </w:p>
    <w:p>
      <w:pPr>
        <w:pStyle w:val="Requirement"/>
      </w:pPr>
      <w:r>
        <w:t>WND-022 [MUST] La densidad del aire será trazable y podrá ajustarse por altitud y temperatura cuando la norma o el proyecto lo requieran.</w:t>
      </w:r>
    </w:p>
    <w:p>
      <w:pPr>
        <w:pStyle w:val="Heading2"/>
      </w:pPr>
      <w:r>
        <w:t>36.3 Biblioteca aerodinámica</w:t>
      </w:r>
    </w:p>
    <w:tbl>
      <w:tblPr>
        <w:tblStyle w:val="TableGrid"/>
        <w:tblW w:type="auto" w:w="0"/>
        <w:tblLook w:firstColumn="1" w:firstRow="1" w:lastColumn="0" w:lastRow="0" w:noHBand="0" w:noVBand="1" w:val="04A0"/>
      </w:tblPr>
      <w:tblGrid>
        <w:gridCol w:w="5156"/>
        <w:gridCol w:w="5156"/>
      </w:tblGrid>
      <w:tr>
        <w:tc>
          <w:tcPr>
            <w:tcW w:type="dxa" w:w="5156"/>
          </w:tcPr>
          <w:p>
            <w:r>
              <w:t>Atributo</w:t>
            </w:r>
          </w:p>
        </w:tc>
        <w:tc>
          <w:tcPr>
            <w:tcW w:type="dxa" w:w="5156"/>
          </w:tcPr>
          <w:p>
            <w:r>
              <w:t>Regla</w:t>
            </w:r>
          </w:p>
        </w:tc>
      </w:tr>
      <w:tr>
        <w:tc>
          <w:tcPr>
            <w:tcW w:type="dxa" w:w="5156"/>
          </w:tcPr>
          <w:p>
            <w:r>
              <w:t>Geometría aplicable</w:t>
            </w:r>
          </w:p>
        </w:tc>
        <w:tc>
          <w:tcPr>
            <w:tcW w:type="dxa" w:w="5156"/>
          </w:tcPr>
          <w:p>
            <w:r>
              <w:t>Familia geométrica, relación de lados, número de caras o porosidad.</w:t>
            </w:r>
          </w:p>
        </w:tc>
      </w:tr>
      <w:tr>
        <w:tc>
          <w:tcPr>
            <w:tcW w:type="dxa" w:w="5156"/>
          </w:tcPr>
          <w:p>
            <w:r>
              <w:t>Orientación</w:t>
            </w:r>
          </w:p>
        </w:tc>
        <w:tc>
          <w:tcPr>
            <w:tcW w:type="dxa" w:w="5156"/>
          </w:tcPr>
          <w:p>
            <w:r>
              <w:t>Valor continuo, tabla angular o simetría declarada.</w:t>
            </w:r>
          </w:p>
        </w:tc>
      </w:tr>
      <w:tr>
        <w:tc>
          <w:tcPr>
            <w:tcW w:type="dxa" w:w="5156"/>
          </w:tcPr>
          <w:p>
            <w:r>
              <w:t>Reynolds/condición</w:t>
            </w:r>
          </w:p>
        </w:tc>
        <w:tc>
          <w:tcPr>
            <w:tcW w:type="dxa" w:w="5156"/>
          </w:tcPr>
          <w:p>
            <w:r>
              <w:t>Dominio de validez cuando la fuente lo utilice.</w:t>
            </w:r>
          </w:p>
        </w:tc>
      </w:tr>
      <w:tr>
        <w:tc>
          <w:tcPr>
            <w:tcW w:type="dxa" w:w="5156"/>
          </w:tcPr>
          <w:p>
            <w:r>
              <w:t>Superficie de referencia</w:t>
            </w:r>
          </w:p>
        </w:tc>
        <w:tc>
          <w:tcPr>
            <w:tcW w:type="dxa" w:w="5156"/>
          </w:tcPr>
          <w:p>
            <w:r>
              <w:t>Área frontal, área envolvente o superficie real según regla.</w:t>
            </w:r>
          </w:p>
        </w:tc>
      </w:tr>
      <w:tr>
        <w:tc>
          <w:tcPr>
            <w:tcW w:type="dxa" w:w="5156"/>
          </w:tcPr>
          <w:p>
            <w:r>
              <w:t>Coeficiente</w:t>
            </w:r>
          </w:p>
        </w:tc>
        <w:tc>
          <w:tcPr>
            <w:tcW w:type="dxa" w:w="5156"/>
          </w:tcPr>
          <w:p>
            <w:r>
              <w:t>Cd, Cf, Cp o conjunto equivalente, con unidad adimensional.</w:t>
            </w:r>
          </w:p>
        </w:tc>
      </w:tr>
      <w:tr>
        <w:tc>
          <w:tcPr>
            <w:tcW w:type="dxa" w:w="5156"/>
          </w:tcPr>
          <w:p>
            <w:r>
              <w:t>Fuente</w:t>
            </w:r>
          </w:p>
        </w:tc>
        <w:tc>
          <w:tcPr>
            <w:tcW w:type="dxa" w:w="5156"/>
          </w:tcPr>
          <w:p>
            <w:r>
              <w:t>Norma, ensayo, fabricante, CFD aprobado o regla interna Salvi.</w:t>
            </w:r>
          </w:p>
        </w:tc>
      </w:tr>
      <w:tr>
        <w:tc>
          <w:tcPr>
            <w:tcW w:type="dxa" w:w="5156"/>
          </w:tcPr>
          <w:p>
            <w:r>
              <w:t>Calidad</w:t>
            </w:r>
          </w:p>
        </w:tc>
        <w:tc>
          <w:tcPr>
            <w:tcW w:type="dxa" w:w="5156"/>
          </w:tcPr>
          <w:p>
            <w:r>
              <w:t>A: ensayo/norma directa; B: interpolación; C: aproximación conservadora.</w:t>
            </w:r>
          </w:p>
        </w:tc>
      </w:tr>
      <w:tr>
        <w:tc>
          <w:tcPr>
            <w:tcW w:type="dxa" w:w="5156"/>
          </w:tcPr>
          <w:p>
            <w:r>
              <w:t>Interferencia</w:t>
            </w:r>
          </w:p>
        </w:tc>
        <w:tc>
          <w:tcPr>
            <w:tcW w:type="dxa" w:w="5156"/>
          </w:tcPr>
          <w:p>
            <w:r>
              <w:t>Factor por proximidad, solape o apantallamiento, inicialmente desactivado salvo biblioteca aprobada.</w:t>
            </w:r>
          </w:p>
        </w:tc>
      </w:tr>
    </w:tbl>
    <w:p/>
    <w:p>
      <w:pPr>
        <w:pStyle w:val="ListBullet"/>
      </w:pPr>
      <w:r>
        <w:t>Los coeficientes de luminarias y accesorios podrán definirse mediante tabla polar cada 5°, 10°, 15° o 30°.</w:t>
      </w:r>
    </w:p>
    <w:p>
      <w:pPr>
        <w:pStyle w:val="ListBullet"/>
      </w:pPr>
      <w:r>
        <w:t>La interpolación angular será lineal o periódica según el tipo de dato y deberá respetar discontinuidades declaradas.</w:t>
      </w:r>
    </w:p>
    <w:p>
      <w:pPr>
        <w:pStyle w:val="ListBullet"/>
      </w:pPr>
      <w:r>
        <w:t>Si solo existe un Cd máximo, se aplicará a todas las direcciones y se marcará como aproximación conservadora.</w:t>
      </w:r>
    </w:p>
    <w:p>
      <w:pPr>
        <w:pStyle w:val="ListBullet"/>
      </w:pPr>
      <w:r>
        <w:t>El centro de presión será independiente del centro geométrico y del centro de gravedad.</w:t>
      </w:r>
    </w:p>
    <w:p>
      <w:pPr>
        <w:pStyle w:val="ListBullet"/>
      </w:pPr>
      <w:r>
        <w:t>Paneles solares deberán diferenciar presión y succión, cara frontal y posterior, inclinación y separación respecto al fuste.</w:t>
      </w:r>
    </w:p>
    <w:p>
      <w:pPr>
        <w:pStyle w:val="Heading1"/>
      </w:pPr>
      <w:r>
        <w:t>37. Generación de direcciones y envolventes</w:t>
      </w:r>
    </w:p>
    <w:p>
      <w:pPr>
        <w:pStyle w:val="Heading2"/>
      </w:pPr>
      <w:r>
        <w:t>37.1 Conjunto de direcciones candidatas</w:t>
      </w:r>
    </w:p>
    <w:p>
      <w:pPr/>
      <w:r>
        <w:t>El conjunto base será 0°, 30°, ..., 330° en el sistema global. A este conjunto se añadirán direcciones generadas por la geometría y por acciones asimétricas. Todos los ángulos se normalizarán en [0°,360°) y se deduplicarán con una tolerancia angular configurable.</w:t>
      </w:r>
    </w:p>
    <w:tbl>
      <w:tblPr>
        <w:tblStyle w:val="TableGrid"/>
        <w:tblW w:type="auto" w:w="0"/>
        <w:tblLook w:firstColumn="1" w:firstRow="1" w:lastColumn="0" w:lastRow="0" w:noHBand="0" w:noVBand="1" w:val="04A0"/>
      </w:tblPr>
      <w:tblGrid>
        <w:gridCol w:w="5156"/>
        <w:gridCol w:w="5156"/>
      </w:tblGrid>
      <w:tr>
        <w:tc>
          <w:tcPr>
            <w:tcW w:type="dxa" w:w="5156"/>
          </w:tcPr>
          <w:p>
            <w:r>
              <w:t>Origen de dirección adicional</w:t>
            </w:r>
          </w:p>
        </w:tc>
        <w:tc>
          <w:tcPr>
            <w:tcW w:type="dxa" w:w="5156"/>
          </w:tcPr>
          <w:p>
            <w:r>
              <w:t>Regla</w:t>
            </w:r>
          </w:p>
        </w:tc>
      </w:tr>
      <w:tr>
        <w:tc>
          <w:tcPr>
            <w:tcW w:type="dxa" w:w="5156"/>
          </w:tcPr>
          <w:p>
            <w:r>
              <w:t>Brazo o báculo</w:t>
            </w:r>
          </w:p>
        </w:tc>
        <w:tc>
          <w:tcPr>
            <w:tcW w:type="dxa" w:w="5156"/>
          </w:tcPr>
          <w:p>
            <w:r>
              <w:t>Eje principal y direcciones ortogonales.</w:t>
            </w:r>
          </w:p>
        </w:tc>
      </w:tr>
      <w:tr>
        <w:tc>
          <w:tcPr>
            <w:tcW w:type="dxa" w:w="5156"/>
          </w:tcPr>
          <w:p>
            <w:r>
              <w:t>Panel solar</w:t>
            </w:r>
          </w:p>
        </w:tc>
        <w:tc>
          <w:tcPr>
            <w:tcW w:type="dxa" w:w="5156"/>
          </w:tcPr>
          <w:p>
            <w:r>
              <w:t>Normal de cada cara y tangentes principales.</w:t>
            </w:r>
          </w:p>
        </w:tc>
      </w:tr>
      <w:tr>
        <w:tc>
          <w:tcPr>
            <w:tcW w:type="dxa" w:w="5156"/>
          </w:tcPr>
          <w:p>
            <w:r>
              <w:t>Luminaria polar</w:t>
            </w:r>
          </w:p>
        </w:tc>
        <w:tc>
          <w:tcPr>
            <w:tcW w:type="dxa" w:w="5156"/>
          </w:tcPr>
          <w:p>
            <w:r>
              <w:t>Ángulos donde Cd o área tenga máximo/mínimo local.</w:t>
            </w:r>
          </w:p>
        </w:tc>
      </w:tr>
      <w:tr>
        <w:tc>
          <w:tcPr>
            <w:tcW w:type="dxa" w:w="5156"/>
          </w:tcPr>
          <w:p>
            <w:r>
              <w:t>Sección poligonal</w:t>
            </w:r>
          </w:p>
        </w:tc>
        <w:tc>
          <w:tcPr>
            <w:tcW w:type="dxa" w:w="5156"/>
          </w:tcPr>
          <w:p>
            <w:r>
              <w:t>Normales de caras y bisectrices.</w:t>
            </w:r>
          </w:p>
        </w:tc>
      </w:tr>
      <w:tr>
        <w:tc>
          <w:tcPr>
            <w:tcW w:type="dxa" w:w="5156"/>
          </w:tcPr>
          <w:p>
            <w:r>
              <w:t>Cable</w:t>
            </w:r>
          </w:p>
        </w:tc>
        <w:tc>
          <w:tcPr>
            <w:tcW w:type="dxa" w:w="5156"/>
          </w:tcPr>
          <w:p>
            <w:r>
              <w:t>Azimut del cable y direcciones ±90°.</w:t>
            </w:r>
          </w:p>
        </w:tc>
      </w:tr>
      <w:tr>
        <w:tc>
          <w:tcPr>
            <w:tcW w:type="dxa" w:w="5156"/>
          </w:tcPr>
          <w:p>
            <w:r>
              <w:t>Usuario</w:t>
            </w:r>
          </w:p>
        </w:tc>
        <w:tc>
          <w:tcPr>
            <w:tcW w:type="dxa" w:w="5156"/>
          </w:tcPr>
          <w:p>
            <w:r>
              <w:t>Dirección contractual o histórica del emplazamiento.</w:t>
            </w:r>
          </w:p>
        </w:tc>
      </w:tr>
    </w:tbl>
    <w:p/>
    <w:p>
      <w:pPr>
        <w:pStyle w:val="Heading2"/>
      </w:pPr>
      <w:r>
        <w:t>37.2 Refinamiento automático</w:t>
      </w:r>
    </w:p>
    <w:p>
      <w:pPr>
        <w:pStyle w:val="ListNumber"/>
      </w:pPr>
      <w:r>
        <w:t>Ejecutar el barrido base y obtener una métrica preliminar por dirección: momento en base, torsión, resultante horizontal y carga sobre accesorios.</w:t>
      </w:r>
    </w:p>
    <w:p>
      <w:pPr>
        <w:pStyle w:val="ListNumber"/>
      </w:pPr>
      <w:r>
        <w:t>Detectar máximos locales y cambios de pendiente elevados.</w:t>
      </w:r>
    </w:p>
    <w:p>
      <w:pPr>
        <w:pStyle w:val="ListNumber"/>
      </w:pPr>
      <w:r>
        <w:t>Añadir direcciones en un intervalo ±30° alrededor de cada máximo, inicialmente cada 5°.</w:t>
      </w:r>
    </w:p>
    <w:p>
      <w:pPr>
        <w:pStyle w:val="ListNumber"/>
      </w:pPr>
      <w:r>
        <w:t>Repetir una vez o hasta que el máximo cambie menos de la tolerancia configurada.</w:t>
      </w:r>
    </w:p>
    <w:p>
      <w:pPr>
        <w:pStyle w:val="ListNumber"/>
      </w:pPr>
      <w:r>
        <w:t>Conservar la relación entre dirección refinada y dirección origen para auditoría.</w:t>
      </w:r>
    </w:p>
    <w:p>
      <w:pPr>
        <w:pStyle w:val="Requirement"/>
      </w:pPr>
      <w:r>
        <w:t>DIR-010 [MUST] El refinamiento no sustituirá las direcciones base; ambas quedarán disponibles en resultados.</w:t>
      </w:r>
    </w:p>
    <w:p>
      <w:pPr>
        <w:pStyle w:val="Requirement"/>
      </w:pPr>
      <w:r>
        <w:t>DIR-011 [MUST] La envolvente identificará el caso exacto que gobierna cada magnitud, no solo el valor máximo.</w:t>
      </w:r>
    </w:p>
    <w:p>
      <w:pPr>
        <w:pStyle w:val="Requirement"/>
      </w:pPr>
      <w:r>
        <w:t>DIR-012 [MUST] La rotación simultánea de geometría y acciones deberá producir resultados invariantes dentro de la tolerancia numérica.</w:t>
      </w:r>
    </w:p>
    <w:p>
      <w:pPr>
        <w:pStyle w:val="Heading1"/>
      </w:pPr>
      <w:r>
        <w:t>38. Cables de catenaria: contrato de cálculo inicial</w:t>
      </w:r>
    </w:p>
    <w:p>
      <w:pPr/>
      <w:r>
        <w:t>En esta fase la tensión es una entrada característica suministrada por el usuario. El sistema no calcula flecha ni tensión térmica, pero debe representar correctamente la fuerza tridimensional y sus combinaciones.</w:t>
      </w:r>
    </w:p>
    <w:p>
      <w:pPr>
        <w:pStyle w:val="Heading2"/>
      </w:pPr>
      <w:r>
        <w:t>38.1 Convención vectorial</w:t>
      </w:r>
    </w:p>
    <w:p>
      <w:pPr>
        <w:pStyle w:val="ListBullet"/>
      </w:pPr>
      <w:r>
        <w:t>El azimut se medirá desde el norte del proyecto en sentido horario, salvo que el proyecto adopte explícitamente otro origen.</w:t>
      </w:r>
    </w:p>
    <w:p>
      <w:pPr>
        <w:pStyle w:val="ListBullet"/>
      </w:pPr>
      <w:r>
        <w:t>El ángulo de elevación será positivo cuando el cable ascienda al alejarse de la columna.</w:t>
      </w:r>
    </w:p>
    <w:p>
      <w:pPr>
        <w:pStyle w:val="ListBullet"/>
      </w:pPr>
      <w:r>
        <w:t>La fuerza aplicada a la columna será el vector que tira desde el punto de anclaje hacia el vano.</w:t>
      </w:r>
    </w:p>
    <w:p>
      <w:pPr>
        <w:pStyle w:val="ListBullet"/>
      </w:pPr>
      <w:r>
        <w:t>La excentricidad del herraje se representará como punto de aplicación; aunque no se dimensione el herraje, sí se incluirá el momento asociado.</w:t>
      </w:r>
    </w:p>
    <w:p>
      <w:pPr>
        <w:pStyle w:val="ListBullet"/>
      </w:pPr>
      <w:r>
        <w:t>La tensión se almacenará como valor positivo y el signo surgirá exclusivamente de la dirección.</w:t>
      </w:r>
    </w:p>
    <w:tbl>
      <w:tblPr>
        <w:tblStyle w:val="TableGrid"/>
        <w:tblW w:type="auto" w:w="0"/>
        <w:tblLook w:firstColumn="1" w:firstRow="1" w:lastColumn="0" w:lastRow="0" w:noHBand="0" w:noVBand="1" w:val="04A0"/>
      </w:tblPr>
      <w:tblGrid>
        <w:gridCol w:w="5156"/>
        <w:gridCol w:w="5156"/>
      </w:tblGrid>
      <w:tr>
        <w:tc>
          <w:tcPr>
            <w:tcW w:type="dxa" w:w="5156"/>
          </w:tcPr>
          <w:p>
            <w:r>
              <w:t>Estado de cable</w:t>
            </w:r>
          </w:p>
        </w:tc>
        <w:tc>
          <w:tcPr>
            <w:tcW w:type="dxa" w:w="5156"/>
          </w:tcPr>
          <w:p>
            <w:r>
              <w:t>Descripción</w:t>
            </w:r>
          </w:p>
        </w:tc>
      </w:tr>
      <w:tr>
        <w:tc>
          <w:tcPr>
            <w:tcW w:type="dxa" w:w="5156"/>
          </w:tcPr>
          <w:p>
            <w:r>
              <w:t>Activo permanente</w:t>
            </w:r>
          </w:p>
        </w:tc>
        <w:tc>
          <w:tcPr>
            <w:tcW w:type="dxa" w:w="5156"/>
          </w:tcPr>
          <w:p>
            <w:r>
              <w:t>Cable presente en todas las situaciones normales.</w:t>
            </w:r>
          </w:p>
        </w:tc>
      </w:tr>
      <w:tr>
        <w:tc>
          <w:tcPr>
            <w:tcW w:type="dxa" w:w="5156"/>
          </w:tcPr>
          <w:p>
            <w:r>
              <w:t>Activo condicionado</w:t>
            </w:r>
          </w:p>
        </w:tc>
        <w:tc>
          <w:tcPr>
            <w:tcW w:type="dxa" w:w="5156"/>
          </w:tcPr>
          <w:p>
            <w:r>
              <w:t>Presente solo en un escenario o fase de montaje.</w:t>
            </w:r>
          </w:p>
        </w:tc>
      </w:tr>
      <w:tr>
        <w:tc>
          <w:tcPr>
            <w:tcW w:type="dxa" w:w="5156"/>
          </w:tcPr>
          <w:p>
            <w:r>
              <w:t>Ausente</w:t>
            </w:r>
          </w:p>
        </w:tc>
        <w:tc>
          <w:tcPr>
            <w:tcW w:type="dxa" w:w="5156"/>
          </w:tcPr>
          <w:p>
            <w:r>
              <w:t>Geometría reservada sin fuerza.</w:t>
            </w:r>
          </w:p>
        </w:tc>
      </w:tr>
      <w:tr>
        <w:tc>
          <w:tcPr>
            <w:tcW w:type="dxa" w:w="5156"/>
          </w:tcPr>
          <w:p>
            <w:r>
              <w:t>Rotura accidental</w:t>
            </w:r>
          </w:p>
        </w:tc>
        <w:tc>
          <w:tcPr>
            <w:tcW w:type="dxa" w:w="5156"/>
          </w:tcPr>
          <w:p>
            <w:r>
              <w:t>Se elimina un cable de un conjunto previamente equilibrado.</w:t>
            </w:r>
          </w:p>
        </w:tc>
      </w:tr>
      <w:tr>
        <w:tc>
          <w:tcPr>
            <w:tcW w:type="dxa" w:w="5156"/>
          </w:tcPr>
          <w:p>
            <w:r>
              <w:t>Tensado temporal</w:t>
            </w:r>
          </w:p>
        </w:tc>
        <w:tc>
          <w:tcPr>
            <w:tcW w:type="dxa" w:w="5156"/>
          </w:tcPr>
          <w:p>
            <w:r>
              <w:t>Fuerza de montaje con coeficientes propios.</w:t>
            </w:r>
          </w:p>
        </w:tc>
      </w:tr>
    </w:tbl>
    <w:p/>
    <w:p>
      <w:pPr>
        <w:pStyle w:val="Heading2"/>
      </w:pPr>
      <w:r>
        <w:t>38.2 Simultaneidad y combinaciones</w:t>
      </w:r>
    </w:p>
    <w:p>
      <w:pPr/>
      <w:r>
        <w:t>El usuario podrá declarar grupos de simultaneidad. Por defecto, todos los cables permanentes actuarán simultáneamente. La rotura accidental se generará individualmente para cada cable marcado como crítico, sin crear combinaciones múltiples de roturas salvo requisito contractual.</w:t>
      </w:r>
    </w:p>
    <w:p>
      <w:pPr>
        <w:pStyle w:val="Requirement"/>
      </w:pPr>
      <w:r>
        <w:t>CAT-010 [MUST] La suma vectorial de cables deberá mostrarse en planta y alzado, junto con su resultante y momento en el eje de la columna.</w:t>
      </w:r>
    </w:p>
    <w:p>
      <w:pPr>
        <w:pStyle w:val="Requirement"/>
      </w:pPr>
      <w:r>
        <w:t>CAT-011 [MUST] Una modificación de tensión, cota, azimut, elevación o estado invalidará todos los casos y combinaciones dependientes.</w:t>
      </w:r>
    </w:p>
    <w:p>
      <w:pPr>
        <w:pStyle w:val="Requirement"/>
      </w:pPr>
      <w:r>
        <w:t>CAT-012 [MUST] La aplicación advertirá cuando el conjunto de cables produzca una resultante horizontal superior a un umbral configurable o un desequilibrio extremo.</w:t>
      </w:r>
    </w:p>
    <w:p>
      <w:pPr>
        <w:pStyle w:val="Heading1"/>
      </w:pPr>
      <w:r>
        <w:t>39. Nieve, hielo, temperatura y sismo</w:t>
      </w:r>
    </w:p>
    <w:p>
      <w:pPr>
        <w:pStyle w:val="Heading2"/>
      </w:pPr>
      <w:r>
        <w:t>39.1 Nieve e hielo</w:t>
      </w:r>
    </w:p>
    <w:p>
      <w:pPr/>
      <w:r>
        <w:t>Las acumulaciones modificarán simultáneamente masa, superficie expuesta y, cuando corresponda, coeficiente aerodinámico. No se modelarán como un simple incremento de peso si afectan al viento.</w:t>
      </w:r>
    </w:p>
    <w:tbl>
      <w:tblPr>
        <w:tblStyle w:val="TableGrid"/>
        <w:tblW w:type="auto" w:w="0"/>
        <w:tblLook w:firstColumn="1" w:firstRow="1" w:lastColumn="0" w:lastRow="0" w:noHBand="0" w:noVBand="1" w:val="04A0"/>
      </w:tblPr>
      <w:tblGrid>
        <w:gridCol w:w="5156"/>
        <w:gridCol w:w="5156"/>
      </w:tblGrid>
      <w:tr>
        <w:tc>
          <w:tcPr>
            <w:tcW w:type="dxa" w:w="5156"/>
          </w:tcPr>
          <w:p>
            <w:r>
              <w:t>Objeto</w:t>
            </w:r>
          </w:p>
        </w:tc>
        <w:tc>
          <w:tcPr>
            <w:tcW w:type="dxa" w:w="5156"/>
          </w:tcPr>
          <w:p>
            <w:r>
              <w:t>Representación mínima</w:t>
            </w:r>
          </w:p>
        </w:tc>
      </w:tr>
      <w:tr>
        <w:tc>
          <w:tcPr>
            <w:tcW w:type="dxa" w:w="5156"/>
          </w:tcPr>
          <w:p>
            <w:r>
              <w:t>Cable</w:t>
            </w:r>
          </w:p>
        </w:tc>
        <w:tc>
          <w:tcPr>
            <w:tcW w:type="dxa" w:w="5156"/>
          </w:tcPr>
          <w:p>
            <w:r>
              <w:t>Espesor radial, diámetro equivalente, masa lineal y Cd adoptado.</w:t>
            </w:r>
          </w:p>
        </w:tc>
      </w:tr>
      <w:tr>
        <w:tc>
          <w:tcPr>
            <w:tcW w:type="dxa" w:w="5156"/>
          </w:tcPr>
          <w:p>
            <w:r>
              <w:t>Brazo cilíndrico</w:t>
            </w:r>
          </w:p>
        </w:tc>
        <w:tc>
          <w:tcPr>
            <w:tcW w:type="dxa" w:w="5156"/>
          </w:tcPr>
          <w:p>
            <w:r>
              <w:t>Capa radial o factor de diámetro.</w:t>
            </w:r>
          </w:p>
        </w:tc>
      </w:tr>
      <w:tr>
        <w:tc>
          <w:tcPr>
            <w:tcW w:type="dxa" w:w="5156"/>
          </w:tcPr>
          <w:p>
            <w:r>
              <w:t>Panel/luminaria</w:t>
            </w:r>
          </w:p>
        </w:tc>
        <w:tc>
          <w:tcPr>
            <w:tcW w:type="dxa" w:w="5156"/>
          </w:tcPr>
          <w:p>
            <w:r>
              <w:t>Masa superficial y modificación de contorno/área.</w:t>
            </w:r>
          </w:p>
        </w:tc>
      </w:tr>
      <w:tr>
        <w:tc>
          <w:tcPr>
            <w:tcW w:type="dxa" w:w="5156"/>
          </w:tcPr>
          <w:p>
            <w:r>
              <w:t>Superficie inclinada</w:t>
            </w:r>
          </w:p>
        </w:tc>
        <w:tc>
          <w:tcPr>
            <w:tcW w:type="dxa" w:w="5156"/>
          </w:tcPr>
          <w:p>
            <w:r>
              <w:t>Carga de nieve con coeficiente de forma y deslizamiento.</w:t>
            </w:r>
          </w:p>
        </w:tc>
      </w:tr>
      <w:tr>
        <w:tc>
          <w:tcPr>
            <w:tcW w:type="dxa" w:w="5156"/>
          </w:tcPr>
          <w:p>
            <w:r>
              <w:t>Acumulación asimétrica</w:t>
            </w:r>
          </w:p>
        </w:tc>
        <w:tc>
          <w:tcPr>
            <w:tcW w:type="dxa" w:w="5156"/>
          </w:tcPr>
          <w:p>
            <w:r>
              <w:t>Estado independiente con centro de gravedad desplazado.</w:t>
            </w:r>
          </w:p>
        </w:tc>
      </w:tr>
    </w:tbl>
    <w:p/>
    <w:p>
      <w:pPr>
        <w:pStyle w:val="Heading2"/>
      </w:pPr>
      <w:r>
        <w:t>39.2 Temperatura</w:t>
      </w:r>
    </w:p>
    <w:p>
      <w:pPr/>
      <w:r>
        <w:t>La Fase 3 generará campos térmicos o deformaciones impuestas, pero no calculará por sí sola las reacciones. El motor estructural decidirá si existe libertad de dilatación o restricción. En columnas aisladas, la expansión uniforme puede no producir esfuerzos, mientras que gradientes, apoyos múltiples, cables o uniones restringidas sí pueden hacerlo.</w:t>
      </w:r>
    </w:p>
    <w:p>
      <w:pPr>
        <w:pStyle w:val="Heading2"/>
      </w:pPr>
      <w:r>
        <w:t>39.3 Sismo</w:t>
      </w:r>
    </w:p>
    <w:p>
      <w:pPr/>
      <w:r>
        <w:t>La salida sísmica se separará en tres capas: parámetros de emplazamiento, definición del espectro y modelo de masas. La Fase 3 no asumirá un tipo de análisis estructural concreto; entregará los datos necesarios para análisis estático equivalente, modal-espectral o método específico implementado posteriormente.</w:t>
      </w:r>
    </w:p>
    <w:tbl>
      <w:tblPr>
        <w:tblStyle w:val="TableGrid"/>
        <w:tblW w:type="auto" w:w="0"/>
        <w:tblLook w:firstColumn="1" w:firstRow="1" w:lastColumn="0" w:lastRow="0" w:noHBand="0" w:noVBand="1" w:val="04A0"/>
      </w:tblPr>
      <w:tblGrid>
        <w:gridCol w:w="5156"/>
        <w:gridCol w:w="5156"/>
      </w:tblGrid>
      <w:tr>
        <w:tc>
          <w:tcPr>
            <w:tcW w:type="dxa" w:w="5156"/>
          </w:tcPr>
          <w:p>
            <w:r>
              <w:t>Dato sísmico</w:t>
            </w:r>
          </w:p>
        </w:tc>
        <w:tc>
          <w:tcPr>
            <w:tcW w:type="dxa" w:w="5156"/>
          </w:tcPr>
          <w:p>
            <w:r>
              <w:t>Estado requerido</w:t>
            </w:r>
          </w:p>
        </w:tc>
      </w:tr>
      <w:tr>
        <w:tc>
          <w:tcPr>
            <w:tcW w:type="dxa" w:w="5156"/>
          </w:tcPr>
          <w:p>
            <w:r>
              <w:t>Aceleración de referencia</w:t>
            </w:r>
          </w:p>
        </w:tc>
        <w:tc>
          <w:tcPr>
            <w:tcW w:type="dxa" w:w="5156"/>
          </w:tcPr>
          <w:p>
            <w:r>
              <w:t>Obligatorio cuando el proyecto active sismo.</w:t>
            </w:r>
          </w:p>
        </w:tc>
      </w:tr>
      <w:tr>
        <w:tc>
          <w:tcPr>
            <w:tcW w:type="dxa" w:w="5156"/>
          </w:tcPr>
          <w:p>
            <w:r>
              <w:t>Clase/tipo de suelo</w:t>
            </w:r>
          </w:p>
        </w:tc>
        <w:tc>
          <w:tcPr>
            <w:tcW w:type="dxa" w:w="5156"/>
          </w:tcPr>
          <w:p>
            <w:r>
              <w:t>Confirmado, estimado o pendiente.</w:t>
            </w:r>
          </w:p>
        </w:tc>
      </w:tr>
      <w:tr>
        <w:tc>
          <w:tcPr>
            <w:tcW w:type="dxa" w:w="5156"/>
          </w:tcPr>
          <w:p>
            <w:r>
              <w:t>Factor de importancia</w:t>
            </w:r>
          </w:p>
        </w:tc>
        <w:tc>
          <w:tcPr>
            <w:tcW w:type="dxa" w:w="5156"/>
          </w:tcPr>
          <w:p>
            <w:r>
              <w:t>Según uso y requisito contractual.</w:t>
            </w:r>
          </w:p>
        </w:tc>
      </w:tr>
      <w:tr>
        <w:tc>
          <w:tcPr>
            <w:tcW w:type="dxa" w:w="5156"/>
          </w:tcPr>
          <w:p>
            <w:r>
              <w:t>Amortiguamiento</w:t>
            </w:r>
          </w:p>
        </w:tc>
        <w:tc>
          <w:tcPr>
            <w:tcW w:type="dxa" w:w="5156"/>
          </w:tcPr>
          <w:p>
            <w:r>
              <w:t>Valor de proyecto o biblioteca.</w:t>
            </w:r>
          </w:p>
        </w:tc>
      </w:tr>
      <w:tr>
        <w:tc>
          <w:tcPr>
            <w:tcW w:type="dxa" w:w="5156"/>
          </w:tcPr>
          <w:p>
            <w:r>
              <w:t>Espectro</w:t>
            </w:r>
          </w:p>
        </w:tc>
        <w:tc>
          <w:tcPr>
            <w:tcW w:type="dxa" w:w="5156"/>
          </w:tcPr>
          <w:p>
            <w:r>
              <w:t>Puntos discretos y fórmula/fuente.</w:t>
            </w:r>
          </w:p>
        </w:tc>
      </w:tr>
      <w:tr>
        <w:tc>
          <w:tcPr>
            <w:tcW w:type="dxa" w:w="5156"/>
          </w:tcPr>
          <w:p>
            <w:r>
              <w:t>Masas</w:t>
            </w:r>
          </w:p>
        </w:tc>
        <w:tc>
          <w:tcPr>
            <w:tcW w:type="dxa" w:w="5156"/>
          </w:tcPr>
          <w:p>
            <w:r>
              <w:t>Por componente, centro de gravedad y participación.</w:t>
            </w:r>
          </w:p>
        </w:tc>
      </w:tr>
      <w:tr>
        <w:tc>
          <w:tcPr>
            <w:tcW w:type="dxa" w:w="5156"/>
          </w:tcPr>
          <w:p>
            <w:r>
              <w:t>Combinación direccional</w:t>
            </w:r>
          </w:p>
        </w:tc>
        <w:tc>
          <w:tcPr>
            <w:tcW w:type="dxa" w:w="5156"/>
          </w:tcPr>
          <w:p>
            <w:r>
              <w:t>Regla versionada.</w:t>
            </w:r>
          </w:p>
        </w:tc>
      </w:tr>
    </w:tbl>
    <w:p/>
    <w:p>
      <w:pPr>
        <w:pStyle w:val="Requirement"/>
      </w:pPr>
      <w:r>
        <w:t>SEI-010 [MUST] Si el tipo de suelo es desconocido, el sistema podrá generar escenarios conservadores, pero no permitirá emitir resultado final M4 sin confirmación de Oficina Técnica.</w:t>
      </w:r>
    </w:p>
    <w:p>
      <w:pPr>
        <w:pStyle w:val="Requirement"/>
      </w:pPr>
      <w:r>
        <w:t>SEI-011 [MUST] Las masas sísmicas deberán reconciliarse con la BOM y el modelo geométrico; las diferencias superiores al umbral producirán advertencia o bloqueo.</w:t>
      </w:r>
    </w:p>
    <w:p>
      <w:pPr>
        <w:pStyle w:val="Heading1"/>
      </w:pPr>
      <w:r>
        <w:t>40. Motor declarativo de casos y combinaciones</w:t>
      </w:r>
    </w:p>
    <w:p>
      <w:pPr>
        <w:pStyle w:val="Heading2"/>
      </w:pPr>
      <w:r>
        <w:t>40.1 Modelo de regla</w:t>
      </w:r>
    </w:p>
    <w:p>
      <w:pPr/>
      <w:r>
        <w:t>Las combinaciones no se codificarán como condicionales dispersos. Se definirán en una biblioteca declarativa versionada que pueda auditarse, probarse y actualizarse sin modificar el núcleo numérico.</w:t>
      </w:r>
    </w:p>
    <w:tbl>
      <w:tblPr>
        <w:tblStyle w:val="TableGrid"/>
        <w:tblW w:type="auto" w:w="0"/>
        <w:tblLook w:firstColumn="1" w:firstRow="1" w:lastColumn="0" w:lastRow="0" w:noHBand="0" w:noVBand="1" w:val="04A0"/>
      </w:tblPr>
      <w:tblGrid>
        <w:gridCol w:w="5156"/>
        <w:gridCol w:w="5156"/>
      </w:tblGrid>
      <w:tr>
        <w:tc>
          <w:tcPr>
            <w:tcW w:type="dxa" w:w="5156"/>
          </w:tcPr>
          <w:p>
            <w:r>
              <w:t>Elemento de regla</w:t>
            </w:r>
          </w:p>
        </w:tc>
        <w:tc>
          <w:tcPr>
            <w:tcW w:type="dxa" w:w="5156"/>
          </w:tcPr>
          <w:p>
            <w:r>
              <w:t>Contenido</w:t>
            </w:r>
          </w:p>
        </w:tc>
      </w:tr>
      <w:tr>
        <w:tc>
          <w:tcPr>
            <w:tcW w:type="dxa" w:w="5156"/>
          </w:tcPr>
          <w:p>
            <w:r>
              <w:t>scope</w:t>
            </w:r>
          </w:p>
        </w:tc>
        <w:tc>
          <w:tcPr>
            <w:tcW w:type="dxa" w:w="5156"/>
          </w:tcPr>
          <w:p>
            <w:r>
              <w:t>Norma, país, anexo, material, situación y fecha de vigencia.</w:t>
            </w:r>
          </w:p>
        </w:tc>
      </w:tr>
      <w:tr>
        <w:tc>
          <w:tcPr>
            <w:tcW w:type="dxa" w:w="5156"/>
          </w:tcPr>
          <w:p>
            <w:r>
              <w:t>action_groups</w:t>
            </w:r>
          </w:p>
        </w:tc>
        <w:tc>
          <w:tcPr>
            <w:tcW w:type="dxa" w:w="5156"/>
          </w:tcPr>
          <w:p>
            <w:r>
              <w:t>G, W, S, I, E, T, C, M, A y subgrupos.</w:t>
            </w:r>
          </w:p>
        </w:tc>
      </w:tr>
      <w:tr>
        <w:tc>
          <w:tcPr>
            <w:tcW w:type="dxa" w:w="5156"/>
          </w:tcPr>
          <w:p>
            <w:r>
              <w:t>factors</w:t>
            </w:r>
          </w:p>
        </w:tc>
        <w:tc>
          <w:tcPr>
            <w:tcW w:type="dxa" w:w="5156"/>
          </w:tcPr>
          <w:p>
            <w:r>
              <w:t>Coeficientes parciales y de combinación con fuente.</w:t>
            </w:r>
          </w:p>
        </w:tc>
      </w:tr>
      <w:tr>
        <w:tc>
          <w:tcPr>
            <w:tcW w:type="dxa" w:w="5156"/>
          </w:tcPr>
          <w:p>
            <w:r>
              <w:t>leading_action</w:t>
            </w:r>
          </w:p>
        </w:tc>
        <w:tc>
          <w:tcPr>
            <w:tcW w:type="dxa" w:w="5156"/>
          </w:tcPr>
          <w:p>
            <w:r>
              <w:t>Reglas para acción principal.</w:t>
            </w:r>
          </w:p>
        </w:tc>
      </w:tr>
      <w:tr>
        <w:tc>
          <w:tcPr>
            <w:tcW w:type="dxa" w:w="5156"/>
          </w:tcPr>
          <w:p>
            <w:r>
              <w:t>exclusive_groups</w:t>
            </w:r>
          </w:p>
        </w:tc>
        <w:tc>
          <w:tcPr>
            <w:tcW w:type="dxa" w:w="5156"/>
          </w:tcPr>
          <w:p>
            <w:r>
              <w:t>Acciones que no pueden coexistir.</w:t>
            </w:r>
          </w:p>
        </w:tc>
      </w:tr>
      <w:tr>
        <w:tc>
          <w:tcPr>
            <w:tcW w:type="dxa" w:w="5156"/>
          </w:tcPr>
          <w:p>
            <w:r>
              <w:t>required_groups</w:t>
            </w:r>
          </w:p>
        </w:tc>
        <w:tc>
          <w:tcPr>
            <w:tcW w:type="dxa" w:w="5156"/>
          </w:tcPr>
          <w:p>
            <w:r>
              <w:t>Acciones obligatorias si se activa una situación.</w:t>
            </w:r>
          </w:p>
        </w:tc>
      </w:tr>
      <w:tr>
        <w:tc>
          <w:tcPr>
            <w:tcW w:type="dxa" w:w="5156"/>
          </w:tcPr>
          <w:p>
            <w:r>
              <w:t>direction_policy</w:t>
            </w:r>
          </w:p>
        </w:tc>
        <w:tc>
          <w:tcPr>
            <w:tcW w:type="dxa" w:w="5156"/>
          </w:tcPr>
          <w:p>
            <w:r>
              <w:t>Misma dirección, ortogonales, envolvente o combinación vectorial.</w:t>
            </w:r>
          </w:p>
        </w:tc>
      </w:tr>
      <w:tr>
        <w:tc>
          <w:tcPr>
            <w:tcW w:type="dxa" w:w="5156"/>
          </w:tcPr>
          <w:p>
            <w:r>
              <w:t>state_filters</w:t>
            </w:r>
          </w:p>
        </w:tc>
        <w:tc>
          <w:tcPr>
            <w:tcW w:type="dxa" w:w="5156"/>
          </w:tcPr>
          <w:p>
            <w:r>
              <w:t>Estados de componentes compatibles.</w:t>
            </w:r>
          </w:p>
        </w:tc>
      </w:tr>
      <w:tr>
        <w:tc>
          <w:tcPr>
            <w:tcW w:type="dxa" w:w="5156"/>
          </w:tcPr>
          <w:p>
            <w:r>
              <w:t>pruning_policy</w:t>
            </w:r>
          </w:p>
        </w:tc>
        <w:tc>
          <w:tcPr>
            <w:tcW w:type="dxa" w:w="5156"/>
          </w:tcPr>
          <w:p>
            <w:r>
              <w:t>Criterios de eliminación demostrablemente equivalentes.</w:t>
            </w:r>
          </w:p>
        </w:tc>
      </w:tr>
      <w:tr>
        <w:tc>
          <w:tcPr>
            <w:tcW w:type="dxa" w:w="5156"/>
          </w:tcPr>
          <w:p>
            <w:r>
              <w:t>label_template</w:t>
            </w:r>
          </w:p>
        </w:tc>
        <w:tc>
          <w:tcPr>
            <w:tcW w:type="dxa" w:w="5156"/>
          </w:tcPr>
          <w:p>
            <w:r>
              <w:t>Código legible y estable para informes.</w:t>
            </w:r>
          </w:p>
        </w:tc>
      </w:tr>
    </w:tbl>
    <w:p/>
    <w:p>
      <w:pPr>
        <w:pStyle w:val="Heading2"/>
      </w:pPr>
      <w:r>
        <w:t>40.2 Normalización y control de explosión combinatoria</w:t>
      </w:r>
    </w:p>
    <w:p>
      <w:pPr>
        <w:pStyle w:val="ListBullet"/>
      </w:pPr>
      <w:r>
        <w:t>Las expresiones se convertirán a un árbol canónico ordenado por action_id.</w:t>
      </w:r>
    </w:p>
    <w:p>
      <w:pPr>
        <w:pStyle w:val="ListBullet"/>
      </w:pPr>
      <w:r>
        <w:t>Los factores cero se eliminarán antes de calcular el hash.</w:t>
      </w:r>
    </w:p>
    <w:p>
      <w:pPr>
        <w:pStyle w:val="ListBullet"/>
      </w:pPr>
      <w:r>
        <w:t>Dos combinaciones algebraicamente idénticas deberán compartir hash y aparecer una sola vez.</w:t>
      </w:r>
    </w:p>
    <w:p>
      <w:pPr>
        <w:pStyle w:val="ListBullet"/>
      </w:pPr>
      <w:r>
        <w:t>La poda solo podrá basarse en reglas aprobadas; no se eliminarán casos por intuición de ingeniería no formalizada.</w:t>
      </w:r>
    </w:p>
    <w:p>
      <w:pPr>
        <w:pStyle w:val="ListBullet"/>
      </w:pPr>
      <w:r>
        <w:t>El motor generará estadísticas: casos brutos, casos descartados, motivo de descarte y casos finales.</w:t>
      </w:r>
    </w:p>
    <w:p>
      <w:pPr>
        <w:pStyle w:val="ListBullet"/>
      </w:pPr>
      <w:r>
        <w:t>Las combinaciones se evaluarán inicialmente de forma simbólica; la aplicación numérica se realizará en el motor estructural o en un evaluador común.</w:t>
      </w:r>
    </w:p>
    <w:p>
      <w:pPr>
        <w:pStyle w:val="Requirement"/>
      </w:pPr>
      <w:r>
        <w:t>COM-010 [MUST] Toda combinación mostrará fórmula legible, fórmula canónica, fuente de cada factor y lista de acciones incluidas/excluidas.</w:t>
      </w:r>
    </w:p>
    <w:p>
      <w:pPr>
        <w:pStyle w:val="Requirement"/>
      </w:pPr>
      <w:r>
        <w:t>COM-011 [MUST] Una actualización de plantilla no afectará ejecuciones previas; creará una nueva versión de biblioteca.</w:t>
      </w:r>
    </w:p>
    <w:p>
      <w:pPr>
        <w:pStyle w:val="Requirement"/>
      </w:pPr>
      <w:r>
        <w:t>COM-012 [MUST] El sistema dispondrá de una prueba exhaustiva de equivalencia entre plantilla y ejemplos normativos aprobados por Oficina Técnica.</w:t>
      </w:r>
    </w:p>
    <w:p>
      <w:pPr>
        <w:pStyle w:val="Heading1"/>
      </w:pPr>
      <w:r>
        <w:t>41. Representación espacial canónica de cargas</w:t>
      </w:r>
    </w:p>
    <w:p>
      <w:pPr/>
      <w:r>
        <w:t>El contrato con el motor estructural debe ser estable e independiente de la interfaz. Todas las cargas se referenciarán a UUID de componente, estación o interfaz geométrica de la Fase 2.</w:t>
      </w:r>
    </w:p>
    <w:tbl>
      <w:tblPr>
        <w:tblStyle w:val="TableGrid"/>
        <w:tblW w:type="auto" w:w="0"/>
        <w:tblLook w:firstColumn="1" w:firstRow="1" w:lastColumn="0" w:lastRow="0" w:noHBand="0" w:noVBand="1" w:val="04A0"/>
      </w:tblPr>
      <w:tblGrid>
        <w:gridCol w:w="5156"/>
        <w:gridCol w:w="5156"/>
      </w:tblGrid>
      <w:tr>
        <w:tc>
          <w:tcPr>
            <w:tcW w:type="dxa" w:w="5156"/>
          </w:tcPr>
          <w:p>
            <w:r>
              <w:t>Objeto</w:t>
            </w:r>
          </w:p>
        </w:tc>
        <w:tc>
          <w:tcPr>
            <w:tcW w:type="dxa" w:w="5156"/>
          </w:tcPr>
          <w:p>
            <w:r>
              <w:t>Campos adicionales v0.2</w:t>
            </w:r>
          </w:p>
        </w:tc>
      </w:tr>
      <w:tr>
        <w:tc>
          <w:tcPr>
            <w:tcW w:type="dxa" w:w="5156"/>
          </w:tcPr>
          <w:p>
            <w:r>
              <w:t>NodalLoad</w:t>
            </w:r>
          </w:p>
        </w:tc>
        <w:tc>
          <w:tcPr>
            <w:tcW w:type="dxa" w:w="5156"/>
          </w:tcPr>
          <w:p>
            <w:r>
              <w:t>load_id, case_id, target_ref, point_global, vector_global, moment_global, source_action_id.</w:t>
            </w:r>
          </w:p>
        </w:tc>
      </w:tr>
      <w:tr>
        <w:tc>
          <w:tcPr>
            <w:tcW w:type="dxa" w:w="5156"/>
          </w:tcPr>
          <w:p>
            <w:r>
              <w:t>LineLoad</w:t>
            </w:r>
          </w:p>
        </w:tc>
        <w:tc>
          <w:tcPr>
            <w:tcW w:type="dxa" w:w="5156"/>
          </w:tcPr>
          <w:p>
            <w:r>
              <w:t>target_curve, s0, s1, interpolation, q0, q1, local_or_global, integration_check.</w:t>
            </w:r>
          </w:p>
        </w:tc>
      </w:tr>
      <w:tr>
        <w:tc>
          <w:tcPr>
            <w:tcW w:type="dxa" w:w="5156"/>
          </w:tcPr>
          <w:p>
            <w:r>
              <w:t>SurfaceLoad</w:t>
            </w:r>
          </w:p>
        </w:tc>
        <w:tc>
          <w:tcPr>
            <w:tcW w:type="dxa" w:w="5156"/>
          </w:tcPr>
          <w:p>
            <w:r>
              <w:t>target_surface, pressure_law, normal_policy, resultant_force, resultant_point.</w:t>
            </w:r>
          </w:p>
        </w:tc>
      </w:tr>
      <w:tr>
        <w:tc>
          <w:tcPr>
            <w:tcW w:type="dxa" w:w="5156"/>
          </w:tcPr>
          <w:p>
            <w:r>
              <w:t>MassObject</w:t>
            </w:r>
          </w:p>
        </w:tc>
        <w:tc>
          <w:tcPr>
            <w:tcW w:type="dxa" w:w="5156"/>
          </w:tcPr>
          <w:p>
            <w:r>
              <w:t>mass, cg, inertia_tensor opcional, source y confidence.</w:t>
            </w:r>
          </w:p>
        </w:tc>
      </w:tr>
      <w:tr>
        <w:tc>
          <w:tcPr>
            <w:tcW w:type="dxa" w:w="5156"/>
          </w:tcPr>
          <w:p>
            <w:r>
              <w:t>ThermalField</w:t>
            </w:r>
          </w:p>
        </w:tc>
        <w:tc>
          <w:tcPr>
            <w:tcW w:type="dxa" w:w="5156"/>
          </w:tcPr>
          <w:p>
            <w:r>
              <w:t>uniform/gradient, reference_temperature, target_set.</w:t>
            </w:r>
          </w:p>
        </w:tc>
      </w:tr>
      <w:tr>
        <w:tc>
          <w:tcPr>
            <w:tcW w:type="dxa" w:w="5156"/>
          </w:tcPr>
          <w:p>
            <w:r>
              <w:t>PrescribedDisplacement</w:t>
            </w:r>
          </w:p>
        </w:tc>
        <w:tc>
          <w:tcPr>
            <w:tcW w:type="dxa" w:w="5156"/>
          </w:tcPr>
          <w:p>
            <w:r>
              <w:t>target_dof, value, coordinate_system, situation.</w:t>
            </w:r>
          </w:p>
        </w:tc>
      </w:tr>
    </w:tbl>
    <w:p/>
    <w:p>
      <w:pPr>
        <w:pStyle w:val="ListBullet"/>
      </w:pPr>
      <w:r>
        <w:t>Cada objeto incluirá unidades explícitas en la API externa, aunque internamente se normalice a SI.</w:t>
      </w:r>
    </w:p>
    <w:p>
      <w:pPr>
        <w:pStyle w:val="ListBullet"/>
      </w:pPr>
      <w:r>
        <w:t>La carga conservará vínculo con el componente físico y con la regla que la generó.</w:t>
      </w:r>
    </w:p>
    <w:p>
      <w:pPr>
        <w:pStyle w:val="ListBullet"/>
      </w:pPr>
      <w:r>
        <w:t>Las resultantes de control se calcularán para fuerza total y momento respecto al origen global y a la base de la columna.</w:t>
      </w:r>
    </w:p>
    <w:p>
      <w:pPr>
        <w:pStyle w:val="ListBullet"/>
      </w:pPr>
      <w:r>
        <w:t>No se aceptarán targets huérfanos ni referencias a una revisión geométrica distinta.</w:t>
      </w:r>
    </w:p>
    <w:p>
      <w:pPr>
        <w:pStyle w:val="Heading1"/>
      </w:pPr>
      <w:r>
        <w:t>42. Front-end, diagnóstico y experiencia de revisión</w:t>
      </w:r>
    </w:p>
    <w:p>
      <w:pPr>
        <w:pStyle w:val="Heading2"/>
      </w:pPr>
      <w:r>
        <w:t>42.1 Asistente de ubicación</w:t>
      </w:r>
    </w:p>
    <w:p>
      <w:pPr>
        <w:pStyle w:val="ListBullet"/>
      </w:pPr>
      <w:r>
        <w:t>Mapa con capas activables de viento, nieve, sismo, altitud y fronteras normativas.</w:t>
      </w:r>
    </w:p>
    <w:p>
      <w:pPr>
        <w:pStyle w:val="ListBullet"/>
      </w:pPr>
      <w:r>
        <w:t>Panel comparativo entre valor propuesto, valor contractual y valor adoptado.</w:t>
      </w:r>
    </w:p>
    <w:p>
      <w:pPr>
        <w:pStyle w:val="ListBullet"/>
      </w:pPr>
      <w:r>
        <w:t>Indicador de calidad A/B/C y explicación de la interpolación.</w:t>
      </w:r>
    </w:p>
    <w:p>
      <w:pPr>
        <w:pStyle w:val="ListBullet"/>
      </w:pPr>
      <w:r>
        <w:t>Botón “Ver fuente y regla” que abre la referencia, edición y metadatos sin reproducir texto protegido extenso.</w:t>
      </w:r>
    </w:p>
    <w:p>
      <w:pPr>
        <w:pStyle w:val="ListBullet"/>
      </w:pPr>
      <w:r>
        <w:t>Historial de overrides y campo obligatorio de justificación para valores críticos.</w:t>
      </w:r>
    </w:p>
    <w:p>
      <w:pPr>
        <w:pStyle w:val="Heading2"/>
      </w:pPr>
      <w:r>
        <w:t>42.2 Revisión de viento y acciones</w:t>
      </w:r>
    </w:p>
    <w:p>
      <w:pPr>
        <w:pStyle w:val="ListBullet"/>
      </w:pPr>
      <w:r>
        <w:t>Vista 3D con flechas escaladas, colores por tipo de acción y selector de caso/dirección.</w:t>
      </w:r>
    </w:p>
    <w:p>
      <w:pPr>
        <w:pStyle w:val="ListBullet"/>
      </w:pPr>
      <w:r>
        <w:t>Rosa direccional con direcciones base, adicionales y refinadas.</w:t>
      </w:r>
    </w:p>
    <w:p>
      <w:pPr>
        <w:pStyle w:val="ListBullet"/>
      </w:pPr>
      <w:r>
        <w:t>Tabla por componente con área, Cd, presión, fuerza, centro de presión y calidad del dato.</w:t>
      </w:r>
    </w:p>
    <w:p>
      <w:pPr>
        <w:pStyle w:val="ListBullet"/>
      </w:pPr>
      <w:r>
        <w:t>Comprobación visual de resultante y momento en base.</w:t>
      </w:r>
    </w:p>
    <w:p>
      <w:pPr>
        <w:pStyle w:val="ListBullet"/>
      </w:pPr>
      <w:r>
        <w:t>Filtro de advertencias por severidad, componente, fuente y responsable.</w:t>
      </w:r>
    </w:p>
    <w:p>
      <w:pPr>
        <w:pStyle w:val="Heading2"/>
      </w:pPr>
      <w:r>
        <w:t>42.3 Revisión de combinaciones</w:t>
      </w:r>
    </w:p>
    <w:p>
      <w:pPr>
        <w:pStyle w:val="ListBullet"/>
      </w:pPr>
      <w:r>
        <w:t>Árbol expandible de combinación con factores y acciones.</w:t>
      </w:r>
    </w:p>
    <w:p>
      <w:pPr>
        <w:pStyle w:val="ListBullet"/>
      </w:pPr>
      <w:r>
        <w:t>Comparador entre dos plantillas normativas o revisiones.</w:t>
      </w:r>
    </w:p>
    <w:p>
      <w:pPr>
        <w:pStyle w:val="ListBullet"/>
      </w:pPr>
      <w:r>
        <w:t>Exportación CSV/JSON de casos y combinaciones para validación independiente.</w:t>
      </w:r>
    </w:p>
    <w:p>
      <w:pPr>
        <w:pStyle w:val="ListBullet"/>
      </w:pPr>
      <w:r>
        <w:t>Modo “solo casos gobernantes” disponible únicamente después del análisis estructural.</w:t>
      </w:r>
    </w:p>
    <w:p>
      <w:pPr>
        <w:pStyle w:val="Heading1"/>
      </w:pPr>
      <w:r>
        <w:t>43. API y contratos ampliados</w:t>
      </w:r>
    </w:p>
    <w:tbl>
      <w:tblPr>
        <w:tblStyle w:val="TableGrid"/>
        <w:tblW w:type="auto" w:w="0"/>
        <w:tblLook w:firstColumn="1" w:firstRow="1" w:lastColumn="0" w:lastRow="0" w:noHBand="0" w:noVBand="1" w:val="04A0"/>
      </w:tblPr>
      <w:tblGrid>
        <w:gridCol w:w="5156"/>
        <w:gridCol w:w="5156"/>
      </w:tblGrid>
      <w:tr>
        <w:tc>
          <w:tcPr>
            <w:tcW w:type="dxa" w:w="5156"/>
          </w:tcPr>
          <w:p>
            <w:r>
              <w:t>Método y ruta</w:t>
            </w:r>
          </w:p>
        </w:tc>
        <w:tc>
          <w:tcPr>
            <w:tcW w:type="dxa" w:w="5156"/>
          </w:tcPr>
          <w:p>
            <w:r>
              <w:t>Finalidad v0.2</w:t>
            </w:r>
          </w:p>
        </w:tc>
      </w:tr>
      <w:tr>
        <w:tc>
          <w:tcPr>
            <w:tcW w:type="dxa" w:w="5156"/>
          </w:tcPr>
          <w:p>
            <w:r>
              <w:t>POST /api/v1/locations/resolve:preview</w:t>
            </w:r>
          </w:p>
        </w:tc>
        <w:tc>
          <w:tcPr>
            <w:tcW w:type="dxa" w:w="5156"/>
          </w:tcPr>
          <w:p>
            <w:r>
              <w:t>Resolver sin persistir y devolver candidatos/ambigüedades.</w:t>
            </w:r>
          </w:p>
        </w:tc>
      </w:tr>
      <w:tr>
        <w:tc>
          <w:tcPr>
            <w:tcW w:type="dxa" w:w="5156"/>
          </w:tcPr>
          <w:p>
            <w:r>
              <w:t>POST /api/v1/locations/{id}/confirm</w:t>
            </w:r>
          </w:p>
        </w:tc>
        <w:tc>
          <w:tcPr>
            <w:tcW w:type="dxa" w:w="5156"/>
          </w:tcPr>
          <w:p>
            <w:r>
              <w:t>Confirmar valores adoptados y justificaciones.</w:t>
            </w:r>
          </w:p>
        </w:tc>
      </w:tr>
      <w:tr>
        <w:tc>
          <w:tcPr>
            <w:tcW w:type="dxa" w:w="5156"/>
          </w:tcPr>
          <w:p>
            <w:r>
              <w:t>GET /api/v1/sources/{id}/provenance</w:t>
            </w:r>
          </w:p>
        </w:tc>
        <w:tc>
          <w:tcPr>
            <w:tcW w:type="dxa" w:w="5156"/>
          </w:tcPr>
          <w:p>
            <w:r>
              <w:t>Metadatos, cobertura, licencia y vigencia.</w:t>
            </w:r>
          </w:p>
        </w:tc>
      </w:tr>
      <w:tr>
        <w:tc>
          <w:tcPr>
            <w:tcW w:type="dxa" w:w="5156"/>
          </w:tcPr>
          <w:p>
            <w:r>
              <w:t>POST /api/v1/scenarios/{id}/wind-directions</w:t>
            </w:r>
          </w:p>
        </w:tc>
        <w:tc>
          <w:tcPr>
            <w:tcW w:type="dxa" w:w="5156"/>
          </w:tcPr>
          <w:p>
            <w:r>
              <w:t>Generar y previsualizar direcciones candidatas.</w:t>
            </w:r>
          </w:p>
        </w:tc>
      </w:tr>
      <w:tr>
        <w:tc>
          <w:tcPr>
            <w:tcW w:type="dxa" w:w="5156"/>
          </w:tcPr>
          <w:p>
            <w:r>
              <w:t>POST /api/v1/scenarios/{id}/actions/estimate</w:t>
            </w:r>
          </w:p>
        </w:tc>
        <w:tc>
          <w:tcPr>
            <w:tcW w:type="dxa" w:w="5156"/>
          </w:tcPr>
          <w:p>
            <w:r>
              <w:t>Cálculo rápido no oficial con calidad declarada.</w:t>
            </w:r>
          </w:p>
        </w:tc>
      </w:tr>
      <w:tr>
        <w:tc>
          <w:tcPr>
            <w:tcW w:type="dxa" w:w="5156"/>
          </w:tcPr>
          <w:p>
            <w:r>
              <w:t>POST /api/v1/scenarios/{id}/actions/runs</w:t>
            </w:r>
          </w:p>
        </w:tc>
        <w:tc>
          <w:tcPr>
            <w:tcW w:type="dxa" w:w="5156"/>
          </w:tcPr>
          <w:p>
            <w:r>
              <w:t>Ejecución oficial asíncrona e inmutable.</w:t>
            </w:r>
          </w:p>
        </w:tc>
      </w:tr>
      <w:tr>
        <w:tc>
          <w:tcPr>
            <w:tcW w:type="dxa" w:w="5156"/>
          </w:tcPr>
          <w:p>
            <w:r>
              <w:t>GET /api/v1/action-runs/{id}/diagnostics</w:t>
            </w:r>
          </w:p>
        </w:tc>
        <w:tc>
          <w:tcPr>
            <w:tcW w:type="dxa" w:w="5156"/>
          </w:tcPr>
          <w:p>
            <w:r>
              <w:t>Intermedios, advertencias y controles de integración.</w:t>
            </w:r>
          </w:p>
        </w:tc>
      </w:tr>
      <w:tr>
        <w:tc>
          <w:tcPr>
            <w:tcW w:type="dxa" w:w="5156"/>
          </w:tcPr>
          <w:p>
            <w:r>
              <w:t>GET /api/v1/action-runs/{id}/provenance</w:t>
            </w:r>
          </w:p>
        </w:tc>
        <w:tc>
          <w:tcPr>
            <w:tcW w:type="dxa" w:w="5156"/>
          </w:tcPr>
          <w:p>
            <w:r>
              <w:t>Grafo de procedencia completo.</w:t>
            </w:r>
          </w:p>
        </w:tc>
      </w:tr>
      <w:tr>
        <w:tc>
          <w:tcPr>
            <w:tcW w:type="dxa" w:w="5156"/>
          </w:tcPr>
          <w:p>
            <w:r>
              <w:t>GET /api/v1/action-runs/{id}/export?format=json|csv</w:t>
            </w:r>
          </w:p>
        </w:tc>
        <w:tc>
          <w:tcPr>
            <w:tcW w:type="dxa" w:w="5156"/>
          </w:tcPr>
          <w:p>
            <w:r>
              <w:t>Exportación verificable.</w:t>
            </w:r>
          </w:p>
        </w:tc>
      </w:tr>
      <w:tr>
        <w:tc>
          <w:tcPr>
            <w:tcW w:type="dxa" w:w="5156"/>
          </w:tcPr>
          <w:p>
            <w:r>
              <w:t>POST /api/v1/combination-templates/{id}/validate</w:t>
            </w:r>
          </w:p>
        </w:tc>
        <w:tc>
          <w:tcPr>
            <w:tcW w:type="dxa" w:w="5156"/>
          </w:tcPr>
          <w:p>
            <w:r>
              <w:t>Validar sintaxis, referencias y ejemplos.</w:t>
            </w:r>
          </w:p>
        </w:tc>
      </w:tr>
    </w:tbl>
    <w:p/>
    <w:p>
      <w:pPr>
        <w:pStyle w:val="Requirement"/>
      </w:pPr>
      <w:r>
        <w:t>API-ACT-001 [MUST] Los endpoints de ejecución oficial exigirán idempotency_key y geometry_snapshot_hash.</w:t>
      </w:r>
    </w:p>
    <w:p>
      <w:pPr>
        <w:pStyle w:val="Requirement"/>
      </w:pPr>
      <w:r>
        <w:t>API-ACT-002 [MUST] Las respuestas asíncronas incluirán correlation_id, progress_stage y error_code estable.</w:t>
      </w:r>
    </w:p>
    <w:p>
      <w:pPr>
        <w:pStyle w:val="Requirement"/>
      </w:pPr>
      <w:r>
        <w:t>API-ACT-003 [MUST] Los contratos JSON se publicarán con versionado semántico y pruebas de compatibilidad hacia atrás.</w:t>
      </w:r>
    </w:p>
    <w:p>
      <w:pPr>
        <w:pStyle w:val="Heading1"/>
      </w:pPr>
      <w:r>
        <w:t>44. Validación, benchmarks y nuevos criterios de aceptación</w:t>
      </w:r>
    </w:p>
    <w:p>
      <w:pPr>
        <w:pStyle w:val="Heading2"/>
      </w:pPr>
      <w:r>
        <w:t>44.1 Pirámide de validación</w:t>
      </w:r>
    </w:p>
    <w:tbl>
      <w:tblPr>
        <w:tblStyle w:val="TableGrid"/>
        <w:tblW w:type="auto" w:w="0"/>
        <w:tblLook w:firstColumn="1" w:firstRow="1" w:lastColumn="0" w:lastRow="0" w:noHBand="0" w:noVBand="1" w:val="04A0"/>
      </w:tblPr>
      <w:tblGrid>
        <w:gridCol w:w="3438"/>
        <w:gridCol w:w="3438"/>
        <w:gridCol w:w="3438"/>
      </w:tblGrid>
      <w:tr>
        <w:tc>
          <w:tcPr>
            <w:tcW w:type="dxa" w:w="3438"/>
          </w:tcPr>
          <w:p>
            <w:r>
              <w:t>Nivel</w:t>
            </w:r>
          </w:p>
        </w:tc>
        <w:tc>
          <w:tcPr>
            <w:tcW w:type="dxa" w:w="3438"/>
          </w:tcPr>
          <w:p>
            <w:r>
              <w:t>Objetivo</w:t>
            </w:r>
          </w:p>
        </w:tc>
        <w:tc>
          <w:tcPr>
            <w:tcW w:type="dxa" w:w="3438"/>
          </w:tcPr>
          <w:p>
            <w:r>
              <w:t>Ejemplos</w:t>
            </w:r>
          </w:p>
        </w:tc>
      </w:tr>
      <w:tr>
        <w:tc>
          <w:tcPr>
            <w:tcW w:type="dxa" w:w="3438"/>
          </w:tcPr>
          <w:p>
            <w:r>
              <w:t>L1 Analítico</w:t>
            </w:r>
          </w:p>
        </w:tc>
        <w:tc>
          <w:tcPr>
            <w:tcW w:type="dxa" w:w="3438"/>
          </w:tcPr>
          <w:p>
            <w:r>
              <w:t>Verificar operaciones elementales.</w:t>
            </w:r>
          </w:p>
        </w:tc>
        <w:tc>
          <w:tcPr>
            <w:tcW w:type="dxa" w:w="3438"/>
          </w:tcPr>
          <w:p>
            <w:r>
              <w:t>Cilindro uniforme, carga constante, transformación de vectores.</w:t>
            </w:r>
          </w:p>
        </w:tc>
      </w:tr>
      <w:tr>
        <w:tc>
          <w:tcPr>
            <w:tcW w:type="dxa" w:w="3438"/>
          </w:tcPr>
          <w:p>
            <w:r>
              <w:t>L2 Normativo</w:t>
            </w:r>
          </w:p>
        </w:tc>
        <w:tc>
          <w:tcPr>
            <w:tcW w:type="dxa" w:w="3438"/>
          </w:tcPr>
          <w:p>
            <w:r>
              <w:t>Comparar con ejemplos manuales aprobados.</w:t>
            </w:r>
          </w:p>
        </w:tc>
        <w:tc>
          <w:tcPr>
            <w:tcW w:type="dxa" w:w="3438"/>
          </w:tcPr>
          <w:p>
            <w:r>
              <w:t>Perfil de viento, factores, combinaciones.</w:t>
            </w:r>
          </w:p>
        </w:tc>
      </w:tr>
      <w:tr>
        <w:tc>
          <w:tcPr>
            <w:tcW w:type="dxa" w:w="3438"/>
          </w:tcPr>
          <w:p>
            <w:r>
              <w:t>L3 Producto</w:t>
            </w:r>
          </w:p>
        </w:tc>
        <w:tc>
          <w:tcPr>
            <w:tcW w:type="dxa" w:w="3438"/>
          </w:tcPr>
          <w:p>
            <w:r>
              <w:t>Comparar columnas Salvi conocidas.</w:t>
            </w:r>
          </w:p>
        </w:tc>
        <w:tc>
          <w:tcPr>
            <w:tcW w:type="dxa" w:w="3438"/>
          </w:tcPr>
          <w:p>
            <w:r>
              <w:t>Masas, áreas, cargas y direcciones críticas.</w:t>
            </w:r>
          </w:p>
        </w:tc>
      </w:tr>
      <w:tr>
        <w:tc>
          <w:tcPr>
            <w:tcW w:type="dxa" w:w="3438"/>
          </w:tcPr>
          <w:p>
            <w:r>
              <w:t>L4 Ensayo</w:t>
            </w:r>
          </w:p>
        </w:tc>
        <w:tc>
          <w:tcPr>
            <w:tcW w:type="dxa" w:w="3438"/>
          </w:tcPr>
          <w:p>
            <w:r>
              <w:t>Contrastar con cargas de ensayo cuando existan.</w:t>
            </w:r>
          </w:p>
        </w:tc>
        <w:tc>
          <w:tcPr>
            <w:tcW w:type="dxa" w:w="3438"/>
          </w:tcPr>
          <w:p>
            <w:r>
              <w:t>Reacciones y condiciones de prueba.</w:t>
            </w:r>
          </w:p>
        </w:tc>
      </w:tr>
      <w:tr>
        <w:tc>
          <w:tcPr>
            <w:tcW w:type="dxa" w:w="3438"/>
          </w:tcPr>
          <w:p>
            <w:r>
              <w:t>L5 Regresión</w:t>
            </w:r>
          </w:p>
        </w:tc>
        <w:tc>
          <w:tcPr>
            <w:tcW w:type="dxa" w:w="3438"/>
          </w:tcPr>
          <w:p>
            <w:r>
              <w:t>Evitar cambios no controlados.</w:t>
            </w:r>
          </w:p>
        </w:tc>
        <w:tc>
          <w:tcPr>
            <w:tcW w:type="dxa" w:w="3438"/>
          </w:tcPr>
          <w:p>
            <w:r>
              <w:t>Golden JSON, hashes y diffs numéricos.</w:t>
            </w:r>
          </w:p>
        </w:tc>
      </w:tr>
    </w:tbl>
    <w:p/>
    <w:p>
      <w:pPr>
        <w:pStyle w:val="Heading2"/>
      </w:pPr>
      <w:r>
        <w:t>44.2 Casos adicionales AC-31 a AC-50</w:t>
      </w:r>
    </w:p>
    <w:tbl>
      <w:tblPr>
        <w:tblStyle w:val="TableGrid"/>
        <w:tblW w:type="auto" w:w="0"/>
        <w:tblLook w:firstColumn="1" w:firstRow="1" w:lastColumn="0" w:lastRow="0" w:noHBand="0" w:noVBand="1" w:val="04A0"/>
      </w:tblPr>
      <w:tblGrid>
        <w:gridCol w:w="5156"/>
        <w:gridCol w:w="5156"/>
      </w:tblGrid>
      <w:tr>
        <w:tc>
          <w:tcPr>
            <w:tcW w:type="dxa" w:w="5156"/>
          </w:tcPr>
          <w:p>
            <w:r>
              <w:t>ID</w:t>
            </w:r>
          </w:p>
        </w:tc>
        <w:tc>
          <w:tcPr>
            <w:tcW w:type="dxa" w:w="5156"/>
          </w:tcPr>
          <w:p>
            <w:r>
              <w:t>Criterio de aceptación</w:t>
            </w:r>
          </w:p>
        </w:tc>
      </w:tr>
      <w:tr>
        <w:tc>
          <w:tcPr>
            <w:tcW w:type="dxa" w:w="5156"/>
          </w:tcPr>
          <w:p>
            <w:r>
              <w:t>AC-31</w:t>
            </w:r>
          </w:p>
        </w:tc>
        <w:tc>
          <w:tcPr>
            <w:tcW w:type="dxa" w:w="5156"/>
          </w:tcPr>
          <w:p>
            <w:r>
              <w:t>Punto a menos de la tolerancia de una frontera devuelve ambos candidatos y exige confirmación.</w:t>
            </w:r>
          </w:p>
        </w:tc>
      </w:tr>
      <w:tr>
        <w:tc>
          <w:tcPr>
            <w:tcW w:type="dxa" w:w="5156"/>
          </w:tcPr>
          <w:p>
            <w:r>
              <w:t>AC-32</w:t>
            </w:r>
          </w:p>
        </w:tc>
        <w:tc>
          <w:tcPr>
            <w:tcW w:type="dxa" w:w="5156"/>
          </w:tcPr>
          <w:p>
            <w:r>
              <w:t>Cambio de CRS conserva la coordenada física dentro de la tolerancia geodésica.</w:t>
            </w:r>
          </w:p>
        </w:tc>
      </w:tr>
      <w:tr>
        <w:tc>
          <w:tcPr>
            <w:tcW w:type="dxa" w:w="5156"/>
          </w:tcPr>
          <w:p>
            <w:r>
              <w:t>AC-33</w:t>
            </w:r>
          </w:p>
        </w:tc>
        <w:tc>
          <w:tcPr>
            <w:tcW w:type="dxa" w:w="5156"/>
          </w:tcPr>
          <w:p>
            <w:r>
              <w:t>Fuente remota no disponible permite reproducir una revisión congelada desde caché/snapshot.</w:t>
            </w:r>
          </w:p>
        </w:tc>
      </w:tr>
      <w:tr>
        <w:tc>
          <w:tcPr>
            <w:tcW w:type="dxa" w:w="5156"/>
          </w:tcPr>
          <w:p>
            <w:r>
              <w:t>AC-34</w:t>
            </w:r>
          </w:p>
        </w:tc>
        <w:tc>
          <w:tcPr>
            <w:tcW w:type="dxa" w:w="5156"/>
          </w:tcPr>
          <w:p>
            <w:r>
              <w:t>Fuste troncocónico con presión variable integra fuerza y momento dentro de 0,2 %.</w:t>
            </w:r>
          </w:p>
        </w:tc>
      </w:tr>
      <w:tr>
        <w:tc>
          <w:tcPr>
            <w:tcW w:type="dxa" w:w="5156"/>
          </w:tcPr>
          <w:p>
            <w:r>
              <w:t>AC-35</w:t>
            </w:r>
          </w:p>
        </w:tc>
        <w:tc>
          <w:tcPr>
            <w:tcW w:type="dxa" w:w="5156"/>
          </w:tcPr>
          <w:p>
            <w:r>
              <w:t>Tabla polar de Cd periódica interpola correctamente entre 350° y 10°.</w:t>
            </w:r>
          </w:p>
        </w:tc>
      </w:tr>
      <w:tr>
        <w:tc>
          <w:tcPr>
            <w:tcW w:type="dxa" w:w="5156"/>
          </w:tcPr>
          <w:p>
            <w:r>
              <w:t>AC-36</w:t>
            </w:r>
          </w:p>
        </w:tc>
        <w:tc>
          <w:tcPr>
            <w:tcW w:type="dxa" w:w="5156"/>
          </w:tcPr>
          <w:p>
            <w:r>
              <w:t>Panel inclinado diferencia presión y succión y genera torsión coherente.</w:t>
            </w:r>
          </w:p>
        </w:tc>
      </w:tr>
      <w:tr>
        <w:tc>
          <w:tcPr>
            <w:tcW w:type="dxa" w:w="5156"/>
          </w:tcPr>
          <w:p>
            <w:r>
              <w:t>AC-37</w:t>
            </w:r>
          </w:p>
        </w:tc>
        <w:tc>
          <w:tcPr>
            <w:tcW w:type="dxa" w:w="5156"/>
          </w:tcPr>
          <w:p>
            <w:r>
              <w:t>Refinamiento alrededor del máximo modifica el ángulo crítico sin perder casos base.</w:t>
            </w:r>
          </w:p>
        </w:tc>
      </w:tr>
      <w:tr>
        <w:tc>
          <w:tcPr>
            <w:tcW w:type="dxa" w:w="5156"/>
          </w:tcPr>
          <w:p>
            <w:r>
              <w:t>AC-38</w:t>
            </w:r>
          </w:p>
        </w:tc>
        <w:tc>
          <w:tcPr>
            <w:tcW w:type="dxa" w:w="5156"/>
          </w:tcPr>
          <w:p>
            <w:r>
              <w:t>Rotación conjunta de columna y viento produce invariancia numérica.</w:t>
            </w:r>
          </w:p>
        </w:tc>
      </w:tr>
      <w:tr>
        <w:tc>
          <w:tcPr>
            <w:tcW w:type="dxa" w:w="5156"/>
          </w:tcPr>
          <w:p>
            <w:r>
              <w:t>AC-39</w:t>
            </w:r>
          </w:p>
        </w:tc>
        <w:tc>
          <w:tcPr>
            <w:tcW w:type="dxa" w:w="5156"/>
          </w:tcPr>
          <w:p>
            <w:r>
              <w:t>Seis cables generan resultante igual a suma vectorial independiente.</w:t>
            </w:r>
          </w:p>
        </w:tc>
      </w:tr>
      <w:tr>
        <w:tc>
          <w:tcPr>
            <w:tcW w:type="dxa" w:w="5156"/>
          </w:tcPr>
          <w:p>
            <w:r>
              <w:t>AC-40</w:t>
            </w:r>
          </w:p>
        </w:tc>
        <w:tc>
          <w:tcPr>
            <w:tcW w:type="dxa" w:w="5156"/>
          </w:tcPr>
          <w:p>
            <w:r>
              <w:t>Rotura accidental de cada cable se genera de forma individual y trazable.</w:t>
            </w:r>
          </w:p>
        </w:tc>
      </w:tr>
      <w:tr>
        <w:tc>
          <w:tcPr>
            <w:tcW w:type="dxa" w:w="5156"/>
          </w:tcPr>
          <w:p>
            <w:r>
              <w:t>AC-41</w:t>
            </w:r>
          </w:p>
        </w:tc>
        <w:tc>
          <w:tcPr>
            <w:tcW w:type="dxa" w:w="5156"/>
          </w:tcPr>
          <w:p>
            <w:r>
              <w:t>Hielo en cable modifica masa lineal y diámetro aerodinámico.</w:t>
            </w:r>
          </w:p>
        </w:tc>
      </w:tr>
      <w:tr>
        <w:tc>
          <w:tcPr>
            <w:tcW w:type="dxa" w:w="5156"/>
          </w:tcPr>
          <w:p>
            <w:r>
              <w:t>AC-42</w:t>
            </w:r>
          </w:p>
        </w:tc>
        <w:tc>
          <w:tcPr>
            <w:tcW w:type="dxa" w:w="5156"/>
          </w:tcPr>
          <w:p>
            <w:r>
              <w:t>Sismo activado sin clase de suelo bloquea liberación final, pero permite escenarios preliminares.</w:t>
            </w:r>
          </w:p>
        </w:tc>
      </w:tr>
      <w:tr>
        <w:tc>
          <w:tcPr>
            <w:tcW w:type="dxa" w:w="5156"/>
          </w:tcPr>
          <w:p>
            <w:r>
              <w:t>AC-43</w:t>
            </w:r>
          </w:p>
        </w:tc>
        <w:tc>
          <w:tcPr>
            <w:tcW w:type="dxa" w:w="5156"/>
          </w:tcPr>
          <w:p>
            <w:r>
              <w:t>Dos combinaciones algebraicamente idénticas se deduplican.</w:t>
            </w:r>
          </w:p>
        </w:tc>
      </w:tr>
      <w:tr>
        <w:tc>
          <w:tcPr>
            <w:tcW w:type="dxa" w:w="5156"/>
          </w:tcPr>
          <w:p>
            <w:r>
              <w:t>AC-44</w:t>
            </w:r>
          </w:p>
        </w:tc>
        <w:tc>
          <w:tcPr>
            <w:tcW w:type="dxa" w:w="5156"/>
          </w:tcPr>
          <w:p>
            <w:r>
              <w:t>Acciones incompatibles declaradas en exclusive_group nunca aparecen juntas.</w:t>
            </w:r>
          </w:p>
        </w:tc>
      </w:tr>
      <w:tr>
        <w:tc>
          <w:tcPr>
            <w:tcW w:type="dxa" w:w="5156"/>
          </w:tcPr>
          <w:p>
            <w:r>
              <w:t>AC-45</w:t>
            </w:r>
          </w:p>
        </w:tc>
        <w:tc>
          <w:tcPr>
            <w:tcW w:type="dxa" w:w="5156"/>
          </w:tcPr>
          <w:p>
            <w:r>
              <w:t>Cambio de masa invalida gravedad, sismo y combinaciones, pero no el Cd del componente.</w:t>
            </w:r>
          </w:p>
        </w:tc>
      </w:tr>
      <w:tr>
        <w:tc>
          <w:tcPr>
            <w:tcW w:type="dxa" w:w="5156"/>
          </w:tcPr>
          <w:p>
            <w:r>
              <w:t>AC-46</w:t>
            </w:r>
          </w:p>
        </w:tc>
        <w:tc>
          <w:tcPr>
            <w:tcW w:type="dxa" w:w="5156"/>
          </w:tcPr>
          <w:p>
            <w:r>
              <w:t>Override de viento conserva propuesta, valor final, usuario y justificación.</w:t>
            </w:r>
          </w:p>
        </w:tc>
      </w:tr>
      <w:tr>
        <w:tc>
          <w:tcPr>
            <w:tcW w:type="dxa" w:w="5156"/>
          </w:tcPr>
          <w:p>
            <w:r>
              <w:t>AC-47</w:t>
            </w:r>
          </w:p>
        </w:tc>
        <w:tc>
          <w:tcPr>
            <w:tcW w:type="dxa" w:w="5156"/>
          </w:tcPr>
          <w:p>
            <w:r>
              <w:t>Exportación JSON reimportada reproduce hashes y valores.</w:t>
            </w:r>
          </w:p>
        </w:tc>
      </w:tr>
      <w:tr>
        <w:tc>
          <w:tcPr>
            <w:tcW w:type="dxa" w:w="5156"/>
          </w:tcPr>
          <w:p>
            <w:r>
              <w:t>AC-48</w:t>
            </w:r>
          </w:p>
        </w:tc>
        <w:tc>
          <w:tcPr>
            <w:tcW w:type="dxa" w:w="5156"/>
          </w:tcPr>
          <w:p>
            <w:r>
              <w:t>Carga distribuida conserva vínculo con UUID de tramo y estaciones correctas.</w:t>
            </w:r>
          </w:p>
        </w:tc>
      </w:tr>
      <w:tr>
        <w:tc>
          <w:tcPr>
            <w:tcW w:type="dxa" w:w="5156"/>
          </w:tcPr>
          <w:p>
            <w:r>
              <w:t>AC-49</w:t>
            </w:r>
          </w:p>
        </w:tc>
        <w:tc>
          <w:tcPr>
            <w:tcW w:type="dxa" w:w="5156"/>
          </w:tcPr>
          <w:p>
            <w:r>
              <w:t>Ejecuciones simultáneas con igual idempotency_key producen un único resultado.</w:t>
            </w:r>
          </w:p>
        </w:tc>
      </w:tr>
      <w:tr>
        <w:tc>
          <w:tcPr>
            <w:tcW w:type="dxa" w:w="5156"/>
          </w:tcPr>
          <w:p>
            <w:r>
              <w:t>AC-50</w:t>
            </w:r>
          </w:p>
        </w:tc>
        <w:tc>
          <w:tcPr>
            <w:tcW w:type="dxa" w:w="5156"/>
          </w:tcPr>
          <w:p>
            <w:r>
              <w:t>Informe de diagnóstico identifica fuente y regla de cada parámetro crítico.</w:t>
            </w:r>
          </w:p>
        </w:tc>
      </w:tr>
    </w:tbl>
    <w:p/>
    <w:p>
      <w:pPr>
        <w:pStyle w:val="Heading1"/>
      </w:pPr>
      <w:r>
        <w:t>45. Criterios de cierre revisados para la Fase 3</w:t>
      </w:r>
    </w:p>
    <w:p>
      <w:pPr/>
      <w:r>
        <w:t>La Fase 3 podrá considerarse cerrada y apta para alimentar el motor estructural cuando se cumplan simultáneamente los siguientes puntos:</w:t>
      </w:r>
    </w:p>
    <w:p>
      <w:pPr>
        <w:pStyle w:val="ListBullet"/>
      </w:pPr>
      <w:r>
        <w:t>Pipeline geográfico implementado para los países europeos priorizados por Salvi, con matriz explícita de cobertura.</w:t>
      </w:r>
    </w:p>
    <w:p>
      <w:pPr>
        <w:pStyle w:val="ListBullet"/>
      </w:pPr>
      <w:r>
        <w:t>Bibliotecas normativas y aerodinámicas versionadas, revisadas y con responsable asignado.</w:t>
      </w:r>
    </w:p>
    <w:p>
      <w:pPr>
        <w:pStyle w:val="ListBullet"/>
      </w:pPr>
      <w:r>
        <w:t>Cadena de viento validada mediante casos analíticos y normativos.</w:t>
      </w:r>
    </w:p>
    <w:p>
      <w:pPr>
        <w:pStyle w:val="ListBullet"/>
      </w:pPr>
      <w:r>
        <w:t>Hasta seis cables representados espacialmente con estados y casos accidentales.</w:t>
      </w:r>
    </w:p>
    <w:p>
      <w:pPr>
        <w:pStyle w:val="ListBullet"/>
      </w:pPr>
      <w:r>
        <w:t>Contratos de nieve, hielo, temperatura y sismo completos aunque algunos cálculos avanzados se ejecuten en fases posteriores.</w:t>
      </w:r>
    </w:p>
    <w:p>
      <w:pPr>
        <w:pStyle w:val="ListBullet"/>
      </w:pPr>
      <w:r>
        <w:t>Motor declarativo de combinaciones validado y libre de duplicados.</w:t>
      </w:r>
    </w:p>
    <w:p>
      <w:pPr>
        <w:pStyle w:val="ListBullet"/>
      </w:pPr>
      <w:r>
        <w:t>Representación espacial canónica consumible por el motor estructural sin reinterpretación.</w:t>
      </w:r>
    </w:p>
    <w:p>
      <w:pPr>
        <w:pStyle w:val="ListBullet"/>
      </w:pPr>
      <w:r>
        <w:t>Cumplimiento de AC-01 a AC-50 y ausencia de defectos críticos.</w:t>
      </w:r>
    </w:p>
    <w:p>
      <w:pPr>
        <w:pStyle w:val="ListBullet"/>
      </w:pPr>
      <w:r>
        <w:t>Documentación de API, esquemas JSON, catálogo de errores y guía de diagnóstico publicados.</w:t>
      </w:r>
    </w:p>
    <w:p>
      <w:pPr>
        <w:pStyle w:val="ListBullet"/>
      </w:pPr>
      <w:r>
        <w:t>Revisión formal de Oficina Técnica y congelación de la versión 1.0 de la fase.</w:t>
      </w:r>
    </w:p>
    <w:sectPr w:rsidR="00FC693F" w:rsidRPr="0006063C" w:rsidSect="00034616">
      <w:headerReference w:type="default" r:id="rId9"/>
      <w:footerReference w:type="default" r:id="rId10"/>
      <w:pgSz w:w="12240" w:h="15840"/>
      <w:pgMar w:top="964" w:right="907"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center"/>
    </w:pPr>
    <w:r>
      <w:t>Salvi Studio · Columns · Fase 3 · v0.2  |  Uso interno</w:t>
    </w:r>
    <w:r>
      <w:t xml:space="preserv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rPr>
      <w:t>SALVI STUDIO · COLUMNS     |     FASE 3 · ACCIONES Y UBICACIÓN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41414"/>
      <w:sz w:val="34"/>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Display" w:hAnsi="Aptos Display"/>
      <w:b/>
      <w:bCs/>
      <w:color w:val="141414"/>
      <w:sz w:val="26"/>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Display" w:hAnsi="Aptos Display"/>
      <w:b/>
      <w:bCs/>
      <w:color w:val="14141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40"/>
      <w:contextualSpacing/>
    </w:pPr>
    <w:rPr>
      <w:rFonts w:asciiTheme="majorHAnsi" w:eastAsiaTheme="majorEastAsia" w:hAnsiTheme="majorHAnsi" w:cstheme="majorBidi" w:ascii="Aptos Display" w:hAnsi="Aptos Display"/>
      <w:b/>
      <w:color w:val="111111"/>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6464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line="252" w:lineRule="auto"/>
    </w:pPr>
    <w:rPr>
      <w:rFonts w:ascii="Arial" w:hAnsi="Arial"/>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alviSubtitle">
    <w:name w:val="Salvi Subtitle"/>
    <w:rPr>
      <w:rFonts w:ascii="Aptos" w:hAnsi="Aptos"/>
      <w:color w:val="555555"/>
      <w:sz w:val="28"/>
    </w:rPr>
  </w:style>
  <w:style w:type="paragraph" w:customStyle="1" w:styleId="SmallNote">
    <w:name w:val="Small Note"/>
    <w:rPr>
      <w:rFonts w:ascii="Aptos" w:hAnsi="Aptos"/>
      <w:color w:val="5F5F5F"/>
      <w:sz w:val="16"/>
    </w:rPr>
  </w:style>
  <w:style w:type="paragraph" w:customStyle="1" w:styleId="Smallnote">
    <w:name w:val="Small note"/>
    <w:rPr>
      <w:rFonts w:ascii="Aptos" w:hAnsi="Aptos"/>
      <w:color w:val="5A5A5A"/>
      <w:sz w:val="16"/>
    </w:rPr>
  </w:style>
  <w:style w:type="paragraph" w:customStyle="1" w:styleId="Requirement">
    <w:name w:val="Requirement"/>
    <w:pPr>
      <w:spacing w:after="40"/>
      <w:ind w:left="198"/>
    </w:pPr>
    <w:rPr>
      <w:rFonts w:ascii="Aptos" w:hAnsi="Aptos"/>
      <w:b w:val="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Salvi Studio Columns - Fase 3 Acciones, Ubicacion y Combinaciones de Carga v0.2</dc:title>
  <dc:subject>Especificacion funcional, normativa, tecnica y de datos ampliada</dc:subject>
  <dc:creator>CM SALVI, S.L.</dc:creator>
  <cp:keywords>Salvi Studio, Columns, Fase 1, proyectos, revisiones, bibliotecas, arquitectura</cp:keywords>
  <dc:description>Version 0.2 ampliada tras revision de gaps de la version 0.1.</dc:description>
  <cp:lastModifiedBy/>
  <cp:revision>1</cp:revision>
  <dcterms:created xsi:type="dcterms:W3CDTF">2013-12-23T23:15:00Z</dcterms:created>
  <dcterms:modified xsi:type="dcterms:W3CDTF">2013-12-23T23:15:00Z</dcterms:modified>
  <cp:category/>
</cp:coreProperties>
</file>