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0" w:line="360"/>
      </w:pPr>
      <w:r>
        <w:rPr>
          <w:rFonts w:ascii="Aptos" w:cs="Aptos" w:eastAsia="Aptos" w:hAnsi="Aptos"/>
          <w:b/>
          <w:bCs/>
          <w:color w:val="153A5B"/>
          <w:sz w:val="34"/>
          <w:szCs w:val="34"/>
        </w:rPr>
        <w:t xml:space="preserve">INFORME DE IDENTIFICACIÓN Y ESTRATEGIA DE PROPIEDAD INTELECTUAL</w:t>
      </w:r>
    </w:p>
    <w:p>
      <w:pPr>
        <w:spacing w:after="600" w:before="0" w:line="276"/>
      </w:pPr>
      <w:r>
        <w:rPr>
          <w:rFonts w:ascii="Aptos" w:cs="Aptos" w:eastAsia="Aptos" w:hAnsi="Aptos"/>
          <w:color w:val="1F4E78"/>
          <w:sz w:val="25"/>
          <w:szCs w:val="25"/>
        </w:rPr>
        <w:t xml:space="preserve">Ecosistema digital end-to-end de alumbrado exterior y túneles</w:t>
      </w:r>
    </w:p>
    <w:p>
      <w:pPr>
        <w:spacing w:after="1200" w:before="0" w:line="276"/>
      </w:pPr>
      <w:r>
        <w:rPr>
          <w:rFonts w:ascii="Aptos" w:cs="Aptos" w:eastAsia="Aptos" w:hAnsi="Aptos"/>
          <w:i/>
          <w:iCs/>
          <w:color w:val="666666"/>
          <w:sz w:val="20"/>
          <w:szCs w:val="20"/>
        </w:rPr>
        <w:t xml:space="preserve">Documento de trabajo para la reunión con el agente de propiedad industrial e intelectual</w:t>
      </w:r>
    </w:p>
    <w:p>
      <w:pPr>
        <w:spacing w:after="220" w:before="0" w:line="276"/>
      </w:pPr>
      <w:r>
        <w:rPr>
          <w:rFonts w:ascii="Aptos" w:cs="Aptos" w:eastAsia="Aptos" w:hAnsi="Aptos"/>
          <w:b/>
          <w:bCs/>
          <w:color w:val="153A5B"/>
          <w:sz w:val="19"/>
          <w:szCs w:val="19"/>
        </w:rPr>
        <w:t xml:space="preserve">SALVI · Julio de 2026</w:t>
      </w:r>
    </w:p>
    <w:p>
      <w:pPr>
        <w:spacing w:after="800" w:before="0" w:line="276"/>
      </w:pPr>
      <w:r>
        <w:rPr>
          <w:rFonts w:ascii="Aptos" w:cs="Aptos" w:eastAsia="Aptos" w:hAnsi="Aptos"/>
          <w:color w:val="666666"/>
          <w:sz w:val="18"/>
          <w:szCs w:val="18"/>
        </w:rPr>
        <w:t xml:space="preserve">Finalidad: identificar activos, priorizar oportunidades de protección y preparar las decisiones que requieren una búsqueda profesional de anterioridades y una estrategia de registro.</w:t>
      </w:r>
    </w:p>
    <w:p>
      <w:pPr>
        <w:spacing w:after="0" w:before="0" w:line="276"/>
      </w:pPr>
      <w:r>
        <w:rPr>
          <w:rFonts w:ascii="Aptos" w:cs="Aptos" w:eastAsia="Aptos" w:hAnsi="Aptos"/>
          <w:b/>
          <w:bCs/>
          <w:color w:val="FFFFFF"/>
          <w:sz w:val="18"/>
          <w:szCs w:val="18"/>
        </w:rPr>
        <w:t xml:space="preserve">Advertencia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shd w:fill="FFF2CC" w:color="FFF2C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Este informe es una base estratégica y técnica, no un dictamen jurídico ni un análisis de libertad de operación (FTO). La patentabilidad, titularidad y alcance de cada derecho deben confirmarse por el agente tras revisar la documentación, las fechas de divulgación y las anterioridades.</w:t>
            </w:r>
          </w:p>
        </w:tc>
      </w:tr>
    </w:tbl>
    <w:p>
      <w:pPr>
        <w:pStyle w:val="Heading1"/>
        <w:keepNext/>
        <w:pageBreakBefore/>
        <w:spacing w:after="130" w:before="340"/>
      </w:pPr>
      <w:r>
        <w:t xml:space="preserve">1. Resumen ejecutivo</w:t>
      </w:r>
    </w:p>
    <w:p>
      <w:pPr>
        <w:spacing w:after="140" w:before="0" w:line="276"/>
      </w:pPr>
      <w:r>
        <w:rPr>
          <w:rFonts w:ascii="Aptos" w:cs="Aptos" w:eastAsia="Aptos" w:hAnsi="Aptos"/>
          <w:sz w:val="20"/>
          <w:szCs w:val="20"/>
        </w:rPr>
        <w:t xml:space="preserve">SALVI está construyendo una plataforma industrial integrada que sustituye el intercambio manual de documentos entre las fases del alumbrado por una continuidad digital de datos, decisiones y evidencias. La propuesta de valor no es una colección de aplicaciones: es un sistema conectado desde la conversación y la necesidad de una administración hasta el proyecto, la fabricación, la implantación, la monitorización, el mantenimiento y la auditoría energética.</w:t>
      </w:r>
    </w:p>
    <w:p>
      <w:pPr>
        <w:spacing w:after="140" w:before="0" w:line="276"/>
      </w:pPr>
      <w:r>
        <w:rPr>
          <w:rFonts w:ascii="Aptos" w:cs="Aptos" w:eastAsia="Aptos" w:hAnsi="Aptos"/>
          <w:sz w:val="20"/>
          <w:szCs w:val="20"/>
        </w:rPr>
        <w:t xml:space="preserve">La protección debe ser acumulativa. No conviene intentar patentar el conjunto como «software de gestión de alumbrado», porque gran parte de esa formulación sería una automatización o una regla de negocio. Sí existen líneas con potencial de patente o modelo de utilidad cuando se expresan como soluciones técnicas concretas: diseño inverso de ópticas y LDT, algoritmos que producen un efecto técnico verificable sobre una instalación física, estructuras de columnas y sus uniones, y métodos de control/optimización ligados a luminarias, sensores, geometría o restricciones térmicas y energéticas.</w:t>
      </w:r>
    </w:p>
    <w:p>
      <w:pPr>
        <w:spacing w:after="140" w:before="0" w:line="276"/>
      </w:pPr>
      <w:r>
        <w:rPr>
          <w:rFonts w:ascii="Aptos" w:cs="Aptos" w:eastAsia="Aptos" w:hAnsi="Aptos"/>
          <w:sz w:val="20"/>
          <w:szCs w:val="20"/>
        </w:rPr>
        <w:t xml:space="preserve">La recomendación inmediata es abrir cuatro expedientes de alta prioridad: (i) ópticas/LDT y motor paramétrico de luminaria; (ii) columnas y elementos constructivos; (iii) métodos técnico-fotométricos de túneles, solar y optimización; y (iv) auditoría móvil en lazo cerrado. En paralelo, debe formalizarse un programa de secreto empresarial para datos, reglas de optimización, modelos paramétricos, configuradores y know-how de fabricación.</w:t>
      </w:r>
    </w:p>
    <w:p>
      <w:pPr>
        <w:pStyle w:val="Heading1"/>
        <w:keepNext/>
        <w:spacing w:after="130" w:before="340"/>
      </w:pPr>
      <w:r>
        <w:t xml:space="preserve">2. Alcance y base de este informe</w:t>
      </w:r>
    </w:p>
    <w:p>
      <w:pPr>
        <w:spacing w:after="140" w:before="0" w:line="276"/>
      </w:pPr>
      <w:r>
        <w:rPr>
          <w:rFonts w:ascii="Aptos" w:cs="Aptos" w:eastAsia="Aptos" w:hAnsi="Aptos"/>
          <w:sz w:val="20"/>
          <w:szCs w:val="20"/>
        </w:rPr>
        <w:t xml:space="preserve">El análisis se basa en la explicación recibida y en el conocimiento técnico disponible del proyecto de cálculo de túneles desarrollado conjuntamente. No presupone que todos los módulos estén ya publicados o comercializados; esa información es decisiva y debe completarse con el agente.</w:t>
      </w:r>
    </w:p>
    <w:tbl>
      <w:tblPr>
        <w:tblW w:type="dxa" w:w="10106"/>
        <w:tblBorders>
          <w:top w:val="single" w:color="C7D5E5" w:sz="4"/>
          <w:left w:val="single" w:color="C7D5E5" w:sz="4"/>
          <w:bottom w:val="single" w:color="C7D5E5" w:sz="4"/>
          <w:right w:val="single" w:color="C7D5E5" w:sz="4"/>
          <w:insideH w:val="single" w:color="D9E2F3" w:sz="3"/>
          <w:insideV w:val="single" w:color="D9E2F3" w:sz="3"/>
        </w:tblBorders>
      </w:tblPr>
      <w:tblGrid>
        <w:gridCol w:w="2200"/>
        <w:gridCol w:w="7906"/>
      </w:tblGrid>
      <w:tr>
        <w:tc>
          <w:tcPr>
            <w:tcW w:type="dxa" w:w="2200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  <w:tc>
          <w:tcPr>
            <w:tcW w:type="dxa" w:w="7906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Contenido utilizado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Información de SALVI</w:t>
            </w:r>
          </w:p>
        </w:tc>
        <w:tc>
          <w:tcPr>
            <w:tcW w:type="dxa" w:w="79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Smartec; GIS; cálculo solar georreferenciado; cálculo fotométrico de vías y mapa; túneles; diseño de LDT y lentes; cálculo/diseño de columnas; configurador de producto; ERP, operaciones y futura auditoría móvil.</w:t>
            </w:r>
          </w:p>
        </w:tc>
      </w:tr>
      <w:tr>
        <w:tc>
          <w:tcPr>
            <w:tcW w:type="dxa" w:w="22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Proyecto Tunnel Engine</w:t>
            </w:r>
          </w:p>
        </w:tc>
        <w:tc>
          <w:tcPr>
            <w:tcW w:type="dxa" w:w="79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Motor CIE 88:2004 y CIE 140:2019; diseño por zonas; túneles bidireccionales asimétricos; LDT; radiosidad; optimización; motor LED paramétrico; control DALI y exportación a Smartec; informes y Excel.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Marco de protección</w:t>
            </w:r>
          </w:p>
        </w:tc>
        <w:tc>
          <w:tcPr>
            <w:tcW w:type="dxa" w:w="79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España y Unión Europea. Se recomienda validar el alcance territorial real de negocio antes de presentar solicitudes.</w:t>
            </w:r>
          </w:p>
        </w:tc>
      </w:tr>
    </w:tbl>
    <w:p>
      <w:pPr>
        <w:pStyle w:val="Heading1"/>
        <w:keepNext/>
        <w:spacing w:after="130" w:before="340"/>
      </w:pPr>
      <w:r>
        <w:t xml:space="preserve">3. El activo estratégico: el hilo digital de SALVI</w:t>
      </w:r>
    </w:p>
    <w:p>
      <w:pPr>
        <w:spacing w:after="140" w:before="0" w:line="276"/>
      </w:pPr>
      <w:r>
        <w:rPr>
          <w:rFonts w:ascii="Aptos" w:cs="Aptos" w:eastAsia="Aptos" w:hAnsi="Aptos"/>
          <w:sz w:val="20"/>
          <w:szCs w:val="20"/>
        </w:rPr>
        <w:t xml:space="preserve">El núcleo diferenciador es la continuidad de un modelo de datos técnico, georreferenciado y comercial. Los documentos son resultados generados desde ese modelo —no la interfaz manual entre departamentos— y las decisiones tomadas en una fase llegan estructuradas a la siguiente.</w:t>
      </w:r>
    </w:p>
    <w:tbl>
      <w:tblPr>
        <w:tblW w:type="dxa" w:w="10106"/>
        <w:tblBorders>
          <w:top w:val="single" w:color="C7D5E5" w:sz="4"/>
          <w:left w:val="single" w:color="C7D5E5" w:sz="4"/>
          <w:bottom w:val="single" w:color="C7D5E5" w:sz="4"/>
          <w:right w:val="single" w:color="C7D5E5" w:sz="4"/>
          <w:insideH w:val="single" w:color="D9E2F3" w:sz="3"/>
          <w:insideV w:val="single" w:color="D9E2F3" w:sz="3"/>
        </w:tblBorders>
      </w:tblPr>
      <w:tblGrid>
        <w:gridCol w:w="1800"/>
        <w:gridCol w:w="3300"/>
        <w:gridCol w:w="5006"/>
      </w:tblGrid>
      <w:tr>
        <w:tc>
          <w:tcPr>
            <w:tcW w:type="dxa" w:w="1800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3300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Sistema / capacidad</w:t>
            </w:r>
          </w:p>
        </w:tc>
        <w:tc>
          <w:tcPr>
            <w:tcW w:type="dxa" w:w="5006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Dato o evidencia que debe mantenerse trazable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Necesidad y planificación</w:t>
            </w:r>
          </w:p>
        </w:tc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Cartera de clientes, oportunidades y Salvi GIS</w:t>
            </w:r>
          </w:p>
        </w:tc>
        <w:tc>
          <w:tcPr>
            <w:tcW w:type="dxa" w:w="5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Necesidad, municipio, alcance, hipótesis, ubicación y alternativas.</w:t>
            </w:r>
          </w:p>
        </w:tc>
      </w:tr>
      <w:tr>
        <w:tc>
          <w:tcPr>
            <w:tcW w:type="dxa" w:w="18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Proyecto</w:t>
            </w:r>
          </w:p>
        </w:tc>
        <w:tc>
          <w:tcPr>
            <w:tcW w:type="dxa" w:w="33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Cálculo solar y fotométrico en calle tipo y mapa; túneles</w:t>
            </w:r>
          </w:p>
        </w:tc>
        <w:tc>
          <w:tcPr>
            <w:tcW w:type="dxa" w:w="50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Geometría, clases de vía, resultados, restricciones normativas, energía y selección técnica.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Diseño de producto</w:t>
            </w:r>
          </w:p>
        </w:tc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LDT/ópticas, luminarias y columnas</w:t>
            </w:r>
          </w:p>
        </w:tc>
        <w:tc>
          <w:tcPr>
            <w:tcW w:type="dxa" w:w="5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Requisitos de vía, diseño óptico, comportamiento térmico, mecánico y especificaciones de fabricación.</w:t>
            </w:r>
          </w:p>
        </w:tc>
      </w:tr>
      <w:tr>
        <w:tc>
          <w:tcPr>
            <w:tcW w:type="dxa" w:w="18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Industrialización</w:t>
            </w:r>
          </w:p>
        </w:tc>
        <w:tc>
          <w:tcPr>
            <w:tcW w:type="dxa" w:w="33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Configurador de luminarias/columnas, BOM y fases</w:t>
            </w:r>
          </w:p>
        </w:tc>
        <w:tc>
          <w:tcPr>
            <w:tcW w:type="dxa" w:w="50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Configuración aprobada, versiones, componentes, rutas, calidad y coste.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Operación</w:t>
            </w:r>
          </w:p>
        </w:tc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ERP, Smartec, GIS y futura auditoría móvil</w:t>
            </w:r>
          </w:p>
        </w:tc>
        <w:tc>
          <w:tcPr>
            <w:tcW w:type="dxa" w:w="5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Pedido, fabricación, activo instalado, ubicación, mantenimiento, telemetría, medida real de luz, energía y auditoría.</w:t>
            </w:r>
          </w:p>
        </w:tc>
      </w:tr>
    </w:tbl>
    <w:p>
      <w:pPr>
        <w:spacing w:after="140" w:before="0" w:line="276"/>
      </w:pPr>
      <w:r>
        <w:rPr>
          <w:rFonts w:ascii="Aptos" w:cs="Aptos" w:eastAsia="Aptos" w:hAnsi="Aptos"/>
          <w:sz w:val="20"/>
          <w:szCs w:val="20"/>
        </w:rPr>
        <w:t xml:space="preserve">La estructura de datos, las reglas de transformación entre fases y el vínculo bidireccional entre diseño y desempeño real deben tratarse como activos de alto valor. Puede haber base para reivindicaciones técnicas solo si ese modelo provoca o permite un efecto técnico específico —por ejemplo, configuración/control fiable de activos físicos—; en el resto de casos será principalmente secreto empresarial, derecho de autor, base de datos y contrato.</w:t>
      </w:r>
    </w:p>
    <w:p>
      <w:pPr>
        <w:pStyle w:val="Heading1"/>
        <w:keepNext/>
        <w:spacing w:after="130" w:before="340"/>
      </w:pPr>
      <w:r>
        <w:t xml:space="preserve">4. Inventario de activos y modalidades de protección</w:t>
      </w:r>
    </w:p>
    <w:tbl>
      <w:tblPr>
        <w:tblW w:type="dxa" w:w="10106"/>
        <w:tblBorders>
          <w:top w:val="single" w:color="C7D5E5" w:sz="4"/>
          <w:left w:val="single" w:color="C7D5E5" w:sz="4"/>
          <w:bottom w:val="single" w:color="C7D5E5" w:sz="4"/>
          <w:right w:val="single" w:color="C7D5E5" w:sz="4"/>
          <w:insideH w:val="single" w:color="D9E2F3" w:sz="3"/>
          <w:insideV w:val="single" w:color="D9E2F3" w:sz="3"/>
        </w:tblBorders>
      </w:tblPr>
      <w:tblGrid>
        <w:gridCol w:w="1750"/>
        <w:gridCol w:w="3100"/>
        <w:gridCol w:w="3500"/>
        <w:gridCol w:w="1756"/>
      </w:tblGrid>
      <w:tr>
        <w:tc>
          <w:tcPr>
            <w:tcW w:type="dxa" w:w="1750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Activo</w:t>
            </w:r>
          </w:p>
        </w:tc>
        <w:tc>
          <w:tcPr>
            <w:tcW w:type="dxa" w:w="3100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Contenido identificable</w:t>
            </w:r>
          </w:p>
        </w:tc>
        <w:tc>
          <w:tcPr>
            <w:tcW w:type="dxa" w:w="3500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Protección principal</w:t>
            </w:r>
          </w:p>
        </w:tc>
        <w:tc>
          <w:tcPr>
            <w:tcW w:type="dxa" w:w="1756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</w:tr>
      <w:tr>
        <w:tc>
          <w:tcPr>
            <w:tcW w:type="dxa" w:w="17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Smartec + GIS</w:t>
            </w:r>
          </w:p>
        </w:tc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Inventario georreferenciado, operación, mantenimiento, monitorización y flujo de decisiones.</w:t>
            </w:r>
          </w:p>
        </w:tc>
        <w:tc>
          <w:tcPr>
            <w:tcW w:type="dxa" w:w="3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Copyright, secreto empresarial, base de datos, marca, contratos; patente solo para efecto técnico concreto.</w:t>
            </w:r>
          </w:p>
        </w:tc>
        <w:tc>
          <w:tcPr>
            <w:tcW w:type="dxa" w:w="175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75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Motor de cálculo vial y solar</w:t>
            </w:r>
          </w:p>
        </w:tc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Cálculo y optimización de calles tipo y sobre mapa; resultado georreferenciado y selección de soluciones.</w:t>
            </w:r>
          </w:p>
        </w:tc>
        <w:tc>
          <w:tcPr>
            <w:tcW w:type="dxa" w:w="35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Secreto/copyright; patente si el método técnico es nuevo y medible.</w:t>
            </w:r>
          </w:p>
        </w:tc>
        <w:tc>
          <w:tcPr>
            <w:tcW w:type="dxa" w:w="175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7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Tunnel Engine</w:t>
            </w:r>
          </w:p>
        </w:tc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CIE 88/CIE 140; L20-Lseq-Lth; zonas asimétricas; verificación; radiosidad; DALI/Smartec; optimización.</w:t>
            </w:r>
          </w:p>
        </w:tc>
        <w:tc>
          <w:tcPr>
            <w:tcW w:type="dxa" w:w="3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Secreto/copyright; posible patente CII para combinaciones técnicas no normativas.</w:t>
            </w:r>
          </w:p>
        </w:tc>
        <w:tc>
          <w:tcPr>
            <w:tcW w:type="dxa" w:w="175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75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Diseño de LDT y lentes</w:t>
            </w:r>
          </w:p>
        </w:tc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Síntesis desde geometría y requisitos de vía; generación/validación de distribución óptica.</w:t>
            </w:r>
          </w:p>
        </w:tc>
        <w:tc>
          <w:tcPr>
            <w:tcW w:type="dxa" w:w="35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Patente y/o secreto; diseño industrial para geometrías no exclusivamente funcionales.</w:t>
            </w:r>
          </w:p>
        </w:tc>
        <w:tc>
          <w:tcPr>
            <w:tcW w:type="dxa" w:w="175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Muy alta</w:t>
            </w:r>
          </w:p>
        </w:tc>
      </w:tr>
      <w:tr>
        <w:tc>
          <w:tcPr>
            <w:tcW w:type="dxa" w:w="17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Columnas</w:t>
            </w:r>
          </w:p>
        </w:tc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Diseño/cálculo de columnas de acero, aluminio y hormigón pretensado.</w:t>
            </w:r>
          </w:p>
        </w:tc>
        <w:tc>
          <w:tcPr>
            <w:tcW w:type="dxa" w:w="3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Patente/modelo de utilidad para solución constructiva; diseño industrial; secreto de cálculo/fabricación.</w:t>
            </w:r>
          </w:p>
        </w:tc>
        <w:tc>
          <w:tcPr>
            <w:tcW w:type="dxa" w:w="175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Muy alta</w:t>
            </w:r>
          </w:p>
        </w:tc>
      </w:tr>
      <w:tr>
        <w:tc>
          <w:tcPr>
            <w:tcW w:type="dxa" w:w="175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Configurador y BOM</w:t>
            </w:r>
          </w:p>
        </w:tc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Configuración de luminarias/columnas, lista de materiales, rutas y producción.</w:t>
            </w:r>
          </w:p>
        </w:tc>
        <w:tc>
          <w:tcPr>
            <w:tcW w:type="dxa" w:w="35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Secreto/copyright; patente solo si resuelve un problema técnico de configuración/fabricación.</w:t>
            </w:r>
          </w:p>
        </w:tc>
        <w:tc>
          <w:tcPr>
            <w:tcW w:type="dxa" w:w="175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7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Auditoría móvil en lazo cerrado</w:t>
            </w:r>
          </w:p>
        </w:tc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Medición continua de luminancia/iluminancia desde vehículo; comparación georreferenciada con diseño; ajuste automático por Smartec.</w:t>
            </w:r>
          </w:p>
        </w:tc>
        <w:tc>
          <w:tcPr>
            <w:tcW w:type="dxa" w:w="3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Patente CII/sistema técnico si la captura, normalización, comparación y control son nuevos; secreto de modelos y datos.</w:t>
            </w:r>
          </w:p>
        </w:tc>
        <w:tc>
          <w:tcPr>
            <w:tcW w:type="dxa" w:w="175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Muy alta</w:t>
            </w:r>
          </w:p>
        </w:tc>
      </w:tr>
      <w:tr>
        <w:tc>
          <w:tcPr>
            <w:tcW w:type="dxa" w:w="175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ERP integrado</w:t>
            </w:r>
          </w:p>
        </w:tc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CRM, ventas, compras, inventario, producción, calidad, contabilidad y tesorería.</w:t>
            </w:r>
          </w:p>
        </w:tc>
        <w:tc>
          <w:tcPr>
            <w:tcW w:type="dxa" w:w="35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Copyright, secreto empresarial, contratos, marca; generalmente no patente por sí solo.</w:t>
            </w:r>
          </w:p>
        </w:tc>
        <w:tc>
          <w:tcPr>
            <w:tcW w:type="dxa" w:w="175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Media</w:t>
            </w:r>
          </w:p>
        </w:tc>
      </w:tr>
    </w:tbl>
    <w:p>
      <w:pPr>
        <w:pStyle w:val="Heading1"/>
        <w:keepNext/>
        <w:spacing w:after="130" w:before="340"/>
      </w:pPr>
      <w:r>
        <w:t xml:space="preserve">5. Oportunidades de patente o modelo de utilidad</w:t>
      </w:r>
    </w:p>
    <w:p>
      <w:pPr>
        <w:spacing w:after="140" w:before="0" w:line="276"/>
      </w:pPr>
      <w:r>
        <w:rPr>
          <w:rFonts w:ascii="Aptos" w:cs="Aptos" w:eastAsia="Aptos" w:hAnsi="Aptos"/>
          <w:sz w:val="20"/>
          <w:szCs w:val="20"/>
        </w:rPr>
        <w:t xml:space="preserve">Las opciones siguientes no son conclusiones de patentabilidad. Son hipótesis de invención que merecen una ficha técnica confidencial y una búsqueda de anterioridades. La clave será describir el problema técnico, los rasgos nuevos, el efecto técnico verificable y las variantes, no la interfaz ni el objetivo comercial.</w:t>
      </w:r>
    </w:p>
    <w:tbl>
      <w:tblPr>
        <w:tblW w:type="dxa" w:w="10106"/>
        <w:tblBorders>
          <w:top w:val="single" w:color="C7D5E5" w:sz="4"/>
          <w:left w:val="single" w:color="C7D5E5" w:sz="4"/>
          <w:bottom w:val="single" w:color="C7D5E5" w:sz="4"/>
          <w:right w:val="single" w:color="C7D5E5" w:sz="4"/>
          <w:insideH w:val="single" w:color="D9E2F3" w:sz="3"/>
          <w:insideV w:val="single" w:color="D9E2F3" w:sz="3"/>
        </w:tblBorders>
      </w:tblPr>
      <w:tblGrid>
        <w:gridCol w:w="800"/>
        <w:gridCol w:w="3650"/>
        <w:gridCol w:w="3500"/>
        <w:gridCol w:w="2156"/>
      </w:tblGrid>
      <w:tr>
        <w:tc>
          <w:tcPr>
            <w:tcW w:type="dxa" w:w="800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3650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Hipótesis de invención</w:t>
            </w:r>
          </w:p>
        </w:tc>
        <w:tc>
          <w:tcPr>
            <w:tcW w:type="dxa" w:w="3500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Valor técnico que debe demostrarse</w:t>
            </w:r>
          </w:p>
        </w:tc>
        <w:tc>
          <w:tcPr>
            <w:tcW w:type="dxa" w:w="2156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Vía sugerida</w:t>
            </w:r>
          </w:p>
        </w:tc>
      </w:tr>
      <w:tr>
        <w:tc>
          <w:tcPr>
            <w:tcW w:type="dxa" w:w="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P1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Diseño inverso de ópticas/lentes y generación de LDT a partir de geometría de vía, requisitos luminotécnicos, restricciones de fabricación y comportamiento de luminaria.</w:t>
            </w:r>
          </w:p>
        </w:tc>
        <w:tc>
          <w:tcPr>
            <w:tcW w:type="dxa" w:w="3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Menor número de iteraciones; distribución fotométrica objetivo; cumplimiento y reducción cuantificable de potencia/material; geometría de lente realizable.</w:t>
            </w:r>
          </w:p>
        </w:tc>
        <w:tc>
          <w:tcPr>
            <w:tcW w:type="dxa" w:w="215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Patente nacional/EPO; preservar como secreto los modelos, datasets y heurísticas.</w:t>
            </w:r>
          </w:p>
        </w:tc>
      </w:tr>
      <w:tr>
        <w:tc>
          <w:tcPr>
            <w:tcW w:type="dxa" w:w="8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P2</w:t>
            </w:r>
          </w:p>
        </w:tc>
        <w:tc>
          <w:tcPr>
            <w:tcW w:type="dxa" w:w="365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Motor paramétrico de luminaria que separa la distribución espacial del LDT de flujo/potencia operativa y calcula rendimiento desde LED, corriente, tensión, pérdidas y límite térmico de lentes.</w:t>
            </w:r>
          </w:p>
        </w:tc>
        <w:tc>
          <w:tcPr>
            <w:tcW w:type="dxa" w:w="35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Configuración segura y reproducible; límite térmico; flujo útil/eficacia y selección de potencia coherente con el producto físico.</w:t>
            </w:r>
          </w:p>
        </w:tc>
        <w:tc>
          <w:tcPr>
            <w:tcW w:type="dxa" w:w="215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Patente CII y/o procedimiento técnico; secreto en datos de producto y curvas.</w:t>
            </w:r>
          </w:p>
        </w:tc>
      </w:tr>
      <w:tr>
        <w:tc>
          <w:tcPr>
            <w:tcW w:type="dxa" w:w="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P3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Optimización de túneles que combina portales con exigencias asimétricas, perfil continuo, comprobaciones fotométricas, capas físicas de refuerzo y control DALI.</w:t>
            </w:r>
          </w:p>
        </w:tc>
        <w:tc>
          <w:tcPr>
            <w:tcW w:type="dxa" w:w="3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Mejor cumplimiento y menor energía sin discontinuidades de luminancia ni configuraciones físicamente inviables. Los elementos exigidos por CIE, aislados, no serán novedosos.</w:t>
            </w:r>
          </w:p>
        </w:tc>
        <w:tc>
          <w:tcPr>
            <w:tcW w:type="dxa" w:w="215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Patente CII solo si la combinación/algoritmo y efecto técnico superan anterioridades; secreto como alternativa.</w:t>
            </w:r>
          </w:p>
        </w:tc>
      </w:tr>
      <w:tr>
        <w:tc>
          <w:tcPr>
            <w:tcW w:type="dxa" w:w="8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P4</w:t>
            </w:r>
          </w:p>
        </w:tc>
        <w:tc>
          <w:tcPr>
            <w:tcW w:type="dxa" w:w="365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Cálculo solar georreferenciado vinculado a fotometría y elección de solución para una vía real, considerando sombras, orientación, geometría, energía y desempeño nocturno.</w:t>
            </w:r>
          </w:p>
        </w:tc>
        <w:tc>
          <w:tcPr>
            <w:tcW w:type="dxa" w:w="35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Predicción o control técnico mejorado de un sistema físico; reducción demostrable de desviación energética, sobredimensionamiento o incumplimiento.</w:t>
            </w:r>
          </w:p>
        </w:tc>
        <w:tc>
          <w:tcPr>
            <w:tcW w:type="dxa" w:w="215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Patente CII si hay solución técnica específica; secreto de modelos y fuentes de datos.</w:t>
            </w:r>
          </w:p>
        </w:tc>
      </w:tr>
      <w:tr>
        <w:tc>
          <w:tcPr>
            <w:tcW w:type="dxa" w:w="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P5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Columna de alumbrado, unión, anclaje, sección, proceso o armado que aporte resistencia, durabilidad, montaje, coste o comportamiento verificable en acero/aluminio/hormigón pretensado.</w:t>
            </w:r>
          </w:p>
        </w:tc>
        <w:tc>
          <w:tcPr>
            <w:tcW w:type="dxa" w:w="3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Ventaja estructural o de fabricación concretamente medible, no solo una dimensión calculada.</w:t>
            </w:r>
          </w:p>
        </w:tc>
        <w:tc>
          <w:tcPr>
            <w:tcW w:type="dxa" w:w="215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Patente o modelo de utilidad en España; diseño industrial en paralelo si hay apariencia distintiva.</w:t>
            </w:r>
          </w:p>
        </w:tc>
      </w:tr>
      <w:tr>
        <w:tc>
          <w:tcPr>
            <w:tcW w:type="dxa" w:w="8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P6</w:t>
            </w:r>
          </w:p>
        </w:tc>
        <w:tc>
          <w:tcPr>
            <w:tcW w:type="dxa" w:w="365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Formato/estructura de datos que traslada configuración técnica de fotometría, óptica, BOM, control y activo instalado para configurar u operar equipos sin pérdida de integridad.</w:t>
            </w:r>
          </w:p>
        </w:tc>
        <w:tc>
          <w:tcPr>
            <w:tcW w:type="dxa" w:w="35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El dato debe tener uso técnico y producir efecto en el sistema, no servir solo a gestión administrativa.</w:t>
            </w:r>
          </w:p>
        </w:tc>
        <w:tc>
          <w:tcPr>
            <w:tcW w:type="dxa" w:w="215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Explorar con prudencia como patente CII; protección principal: secreto, copyright y contratos.</w:t>
            </w:r>
          </w:p>
        </w:tc>
      </w:tr>
      <w:tr>
        <w:tc>
          <w:tcPr>
            <w:tcW w:type="dxa" w:w="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P7</w:t>
            </w:r>
          </w:p>
        </w:tc>
        <w:tc>
          <w:tcPr>
            <w:tcW w:type="dxa" w:w="36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Auditoría móvil: vehículo con luminancímetro/luxómetro que adquiere medidas continuas, las vincula a posición, contexto y diseño, detecta desviaciones y ordena ajustes de control mediante Smartec.</w:t>
            </w:r>
          </w:p>
        </w:tc>
        <w:tc>
          <w:tcPr>
            <w:tcW w:type="dxa" w:w="3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Medición fiable y repetible desde vehículo; corrección de la geometría y condiciones de adquisición; comparación con diseño y ajuste que reduzca incumplimiento/energía con garantías técnicas.</w:t>
            </w:r>
          </w:p>
        </w:tc>
        <w:tc>
          <w:tcPr>
            <w:tcW w:type="dxa" w:w="215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Patente de sistema/método CII si existe solución concreta; proteger como secreto los modelos de corrección, umbrales y datos.</w:t>
            </w:r>
          </w:p>
        </w:tc>
      </w:tr>
    </w:tbl>
    <w:p>
      <w:pPr>
        <w:spacing w:after="140" w:before="0" w:line="276"/>
      </w:pPr>
      <w:r>
        <w:rPr>
          <w:rFonts w:ascii="Aptos" w:cs="Aptos" w:eastAsia="Aptos" w:hAnsi="Aptos"/>
          <w:sz w:val="20"/>
          <w:szCs w:val="20"/>
        </w:rPr>
        <w:t xml:space="preserve">La línea P1 es la candidata más clara para una primera solicitud: combina una óptica física, un proceso de diseño y un resultado medible. P5 también merece una revisión temprana porque puede desembocar en reivindicaciones de producto, habitualmente más directas de defender frente a copias. P7 es una oportunidad muy relevante si se diseña desde el inicio como un sistema técnico de medida y control: el sensor por sí solo, o una comparación genérica con un proyecto, no bastarán. P2-P4 y P7 pueden ser protegibles como invenciones implementadas en ordenador cuando el expediente se centre en su contribución técnica, no en cálculo abstracto o gestión.</w:t>
      </w:r>
    </w:p>
    <w:p>
      <w:pPr>
        <w:pStyle w:val="Heading1"/>
        <w:keepNext/>
        <w:pageBreakBefore/>
        <w:spacing w:after="130" w:before="340"/>
      </w:pPr>
      <w:r>
        <w:t xml:space="preserve">Ficha P1. Diseño inverso de LDT y lentes</w:t>
      </w:r>
    </w:p>
    <w:p>
      <w:pPr>
        <w:spacing w:after="110" w:before="0" w:line="250"/>
      </w:pPr>
      <w:r>
        <w:rPr>
          <w:rFonts w:ascii="Aptos" w:cs="Aptos" w:eastAsia="Aptos" w:hAnsi="Aptos"/>
          <w:sz w:val="18"/>
          <w:szCs w:val="18"/>
        </w:rPr>
        <w:t xml:space="preserve">Plataforma prevista para partir de la geometría y los requisitos funcionales de una calle o vía y proponer la geometría de lente y la distribución fotométrica LDT que mejor responde a esos requisitos. La oportunidad está en cerrar el ciclo entre la necesidad de la vía, la óptica realizable, la luminaria y la verificación fotométrica, evitando un proceso manual de iteración de ensayo y error.</w:t>
      </w:r>
    </w:p>
    <w:p>
      <w:pPr>
        <w:spacing w:after="90" w:before="0" w:line="250"/>
      </w:pPr>
      <w:r>
        <w:rPr>
          <w:rFonts w:ascii="Aptos" w:cs="Aptos" w:eastAsia="Aptos" w:hAnsi="Aptos"/>
          <w:b/>
          <w:bCs/>
          <w:color w:val="153A5B"/>
          <w:sz w:val="18"/>
          <w:szCs w:val="18"/>
        </w:rPr>
        <w:t xml:space="preserve">Enfoque de protección. </w:t>
      </w:r>
      <w:r>
        <w:rPr>
          <w:rFonts w:ascii="Aptos" w:cs="Aptos" w:eastAsia="Aptos" w:hAnsi="Aptos"/>
          <w:sz w:val="18"/>
          <w:szCs w:val="18"/>
        </w:rPr>
        <w:t xml:space="preserve">Prioridad muy alta para análisis de patente. Debe evaluarse también diseño industrial de las geometrías visibles que no estén exclusivamente impuestas por su función, y secreto empresarial para datasets, modelos de optimización y reglas de fabricación.</w:t>
      </w:r>
    </w:p>
    <w:p>
      <w:pPr>
        <w:spacing w:after="130" w:before="0" w:line="250"/>
      </w:pPr>
      <w:r>
        <w:rPr>
          <w:rFonts w:ascii="Aptos" w:cs="Aptos" w:eastAsia="Aptos" w:hAnsi="Aptos"/>
          <w:b/>
          <w:bCs/>
          <w:color w:val="153A5B"/>
          <w:sz w:val="18"/>
          <w:szCs w:val="18"/>
        </w:rPr>
        <w:t xml:space="preserve">Qué debe demostrarse. </w:t>
      </w:r>
      <w:r>
        <w:rPr>
          <w:rFonts w:ascii="Aptos" w:cs="Aptos" w:eastAsia="Aptos" w:hAnsi="Aptos"/>
          <w:sz w:val="18"/>
          <w:szCs w:val="18"/>
        </w:rPr>
        <w:t xml:space="preserve">Que la solución produce una distribución objetivo o una mejora medible —cumplimiento, potencia, uniformidad, deslumbramiento, material, número de iteraciones— y que la lente puede fabricarse dentro de las restricciones definidas.</w:t>
      </w:r>
    </w:p>
    <w:tbl>
      <w:tblPr>
        <w:tblW w:type="dxa" w:w="10106"/>
        <w:tblBorders>
          <w:top w:val="single" w:color="C7D5E5" w:sz="4"/>
          <w:left w:val="single" w:color="C7D5E5" w:sz="4"/>
          <w:bottom w:val="single" w:color="C7D5E5" w:sz="4"/>
          <w:right w:val="single" w:color="C7D5E5" w:sz="4"/>
          <w:insideH w:val="single" w:color="D9E2F3" w:sz="3"/>
          <w:insideV w:val="single" w:color="D9E2F3" w:sz="3"/>
        </w:tblBorders>
      </w:tblPr>
      <w:tblGrid>
        <w:gridCol w:w="3100"/>
        <w:gridCol w:w="7006"/>
      </w:tblGrid>
      <w:tr>
        <w:tc>
          <w:tcPr>
            <w:tcW w:type="dxa" w:w="3100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Campo de la ficha de invención</w:t>
            </w:r>
          </w:p>
        </w:tc>
        <w:tc>
          <w:tcPr>
            <w:tcW w:type="dxa" w:w="7006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Contenido inicial para completar con el agente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Título de trabajo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Método de diseño inverso de una óptica para alumbrado vial</w:t>
            </w:r>
          </w:p>
        </w:tc>
      </w:tr>
      <w:tr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Problema técnico</w:t>
            </w:r>
          </w:p>
        </w:tc>
        <w:tc>
          <w:tcPr>
            <w:tcW w:type="dxa" w:w="70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Obtener una óptica viable que cumpla simultáneamente el objetivo luminotécnico de una vía y las restricciones físicas y productivas del producto.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Solución propuesta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Generar y seleccionar una geometría de lente y un LDT mediante un flujo inverso que usa la geometría de vía, los objetivos fotométricos y los límites de fabricación/luminaria.</w:t>
            </w:r>
          </w:p>
        </w:tc>
      </w:tr>
      <w:tr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Efecto y evidencia</w:t>
            </w:r>
          </w:p>
        </w:tc>
        <w:tc>
          <w:tcPr>
            <w:tcW w:type="dxa" w:w="70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Distribución luminosa verificable, menor iteración de diseño y solución físicamente fabricable; comparar contra el flujo manual o una óptica de referencia.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Variantes a cubrir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Diferentes tipologías de vía, LEDs, matrices, materiales, restricciones térmicas, criterios de fabricación y objetivos de optimización.</w:t>
            </w:r>
          </w:p>
        </w:tc>
      </w:tr>
      <w:tr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Inventores y fechas</w:t>
            </w:r>
          </w:p>
        </w:tc>
        <w:tc>
          <w:tcPr>
            <w:tcW w:type="dxa" w:w="70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Identificar autores técnicos, aportación de cada uno, primera concepción, pruebas y cualquier divulgación o piloto.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Material adjunto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Requisitos de vía, CAD de lentes, LDT de salida, simulaciones, iteraciones, restricciones de fabricación y resultados comparativos.</w:t>
            </w:r>
          </w:p>
        </w:tc>
      </w:tr>
    </w:tbl>
    <w:p>
      <w:pPr>
        <w:pStyle w:val="Heading1"/>
        <w:keepNext/>
        <w:pageBreakBefore/>
        <w:spacing w:after="130" w:before="340"/>
      </w:pPr>
      <w:r>
        <w:t xml:space="preserve">Ficha P2. Motor paramétrico de luminaria</w:t>
      </w:r>
    </w:p>
    <w:p>
      <w:pPr>
        <w:spacing w:after="110" w:before="0" w:line="250"/>
      </w:pPr>
      <w:r>
        <w:rPr>
          <w:rFonts w:ascii="Aptos" w:cs="Aptos" w:eastAsia="Aptos" w:hAnsi="Aptos"/>
          <w:sz w:val="18"/>
          <w:szCs w:val="18"/>
        </w:rPr>
        <w:t xml:space="preserve">Motor que desacopla la distribución espacial contenida en el LDT de la condición operativa real de la luminaria. Calcula flujo útil, potencia y eficacia a partir de LED, corriente, tensión, pérdidas ópticas/eléctricas y límites térmicos, incluido el límite de la lente. Permite que una misma familia óptica se evalúe con configuraciones de producto reales y seguras.</w:t>
      </w:r>
    </w:p>
    <w:p>
      <w:pPr>
        <w:spacing w:after="90" w:before="0" w:line="250"/>
      </w:pPr>
      <w:r>
        <w:rPr>
          <w:rFonts w:ascii="Aptos" w:cs="Aptos" w:eastAsia="Aptos" w:hAnsi="Aptos"/>
          <w:b/>
          <w:bCs/>
          <w:color w:val="153A5B"/>
          <w:sz w:val="18"/>
          <w:szCs w:val="18"/>
        </w:rPr>
        <w:t xml:space="preserve">Enfoque de protección. </w:t>
      </w:r>
      <w:r>
        <w:rPr>
          <w:rFonts w:ascii="Aptos" w:cs="Aptos" w:eastAsia="Aptos" w:hAnsi="Aptos"/>
          <w:sz w:val="18"/>
          <w:szCs w:val="18"/>
        </w:rPr>
        <w:t xml:space="preserve">Analizar patente de método/sistema si la combinación de modelado, límites físicos y selección produce un efecto técnico nuevo. Mantener como secreto curvas, coeficientes, datos de componentes y reglas de configuración.</w:t>
      </w:r>
    </w:p>
    <w:p>
      <w:pPr>
        <w:spacing w:after="130" w:before="0" w:line="250"/>
      </w:pPr>
      <w:r>
        <w:rPr>
          <w:rFonts w:ascii="Aptos" w:cs="Aptos" w:eastAsia="Aptos" w:hAnsi="Aptos"/>
          <w:b/>
          <w:bCs/>
          <w:color w:val="153A5B"/>
          <w:sz w:val="18"/>
          <w:szCs w:val="18"/>
        </w:rPr>
        <w:t xml:space="preserve">Qué debe demostrarse. </w:t>
      </w:r>
      <w:r>
        <w:rPr>
          <w:rFonts w:ascii="Aptos" w:cs="Aptos" w:eastAsia="Aptos" w:hAnsi="Aptos"/>
          <w:sz w:val="18"/>
          <w:szCs w:val="18"/>
        </w:rPr>
        <w:t xml:space="preserve">Que la separación LDT-flujo operativo evita configuraciones no seguras, predice mejor el desempeño o permite seleccionar una alternativa técnicamente superior con métricas térmicas y fotométricas reproducibles.</w:t>
      </w:r>
    </w:p>
    <w:tbl>
      <w:tblPr>
        <w:tblW w:type="dxa" w:w="10106"/>
        <w:tblBorders>
          <w:top w:val="single" w:color="C7D5E5" w:sz="4"/>
          <w:left w:val="single" w:color="C7D5E5" w:sz="4"/>
          <w:bottom w:val="single" w:color="C7D5E5" w:sz="4"/>
          <w:right w:val="single" w:color="C7D5E5" w:sz="4"/>
          <w:insideH w:val="single" w:color="D9E2F3" w:sz="3"/>
          <w:insideV w:val="single" w:color="D9E2F3" w:sz="3"/>
        </w:tblBorders>
      </w:tblPr>
      <w:tblGrid>
        <w:gridCol w:w="3100"/>
        <w:gridCol w:w="7006"/>
      </w:tblGrid>
      <w:tr>
        <w:tc>
          <w:tcPr>
            <w:tcW w:type="dxa" w:w="3100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Campo de la ficha de invención</w:t>
            </w:r>
          </w:p>
        </w:tc>
        <w:tc>
          <w:tcPr>
            <w:tcW w:type="dxa" w:w="7006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Contenido inicial para completar con el agente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Título de trabajo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Configuración fotométrica y térmica paramétrica de luminarias</w:t>
            </w:r>
          </w:p>
        </w:tc>
      </w:tr>
      <w:tr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Problema técnico</w:t>
            </w:r>
          </w:p>
        </w:tc>
        <w:tc>
          <w:tcPr>
            <w:tcW w:type="dxa" w:w="70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Configurar una luminaria sin confundir la fotometría espacial con el flujo, potencia y temperatura reales de cada configuración de producto.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Solución propuesta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Normalizar la fotometría y recomponer el punto operativo desde parámetros LED, eléctricos, térmicos y ópticos, aplicando restricciones físicas del conjunto.</w:t>
            </w:r>
          </w:p>
        </w:tc>
      </w:tr>
      <w:tr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Efecto y evidencia</w:t>
            </w:r>
          </w:p>
        </w:tc>
        <w:tc>
          <w:tcPr>
            <w:tcW w:type="dxa" w:w="70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Configuración segura, flujo útil y eficacia coherentes con el producto físico; validar frente a ensayos, simulación térmica o datos de laboratorio.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Variantes a cubrir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Familias de LED, CRI/CCT, drivers, ópticas, cuerpos, límites de temperatura, pérdidas y criterios de selección.</w:t>
            </w:r>
          </w:p>
        </w:tc>
      </w:tr>
      <w:tr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Inventores y fechas</w:t>
            </w:r>
          </w:p>
        </w:tc>
        <w:tc>
          <w:tcPr>
            <w:tcW w:type="dxa" w:w="70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Identificar autores técnicos, aportación de cada uno, primera concepción, pruebas y cualquier divulgación o piloto.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Material adjunto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Esquemas del motor, tablas o curvas LED, modelos térmicos, LDT normalizados, ensayos y trazas de selección.</w:t>
            </w:r>
          </w:p>
        </w:tc>
      </w:tr>
    </w:tbl>
    <w:p>
      <w:pPr>
        <w:pStyle w:val="Heading1"/>
        <w:keepNext/>
        <w:pageBreakBefore/>
        <w:spacing w:after="130" w:before="340"/>
      </w:pPr>
      <w:r>
        <w:t xml:space="preserve">Ficha P3. SALVI Tunnel Engine</w:t>
      </w:r>
    </w:p>
    <w:p>
      <w:pPr>
        <w:spacing w:after="110" w:before="0" w:line="250"/>
      </w:pPr>
      <w:r>
        <w:rPr>
          <w:rFonts w:ascii="Aptos" w:cs="Aptos" w:eastAsia="Aptos" w:hAnsi="Aptos"/>
          <w:sz w:val="18"/>
          <w:szCs w:val="18"/>
        </w:rPr>
        <w:t xml:space="preserve">Plataforma de cálculo de túneles conforme a CIE 88 y CIE 140, con perfiles longitudinales, diseño de luminarias por zonas, tratamiento bidireccional asimétrico de portales, verificación con LDT y radiosidad, y plan de control DALI/Smartec. El valor diferencial potencial no está en aplicar la norma, sino en las combinaciones técnicas que traducen requisitos asimétricos en una instalación físicamente realizable y eficiente.</w:t>
      </w:r>
    </w:p>
    <w:p>
      <w:pPr>
        <w:spacing w:after="90" w:before="0" w:line="250"/>
      </w:pPr>
      <w:r>
        <w:rPr>
          <w:rFonts w:ascii="Aptos" w:cs="Aptos" w:eastAsia="Aptos" w:hAnsi="Aptos"/>
          <w:b/>
          <w:bCs/>
          <w:color w:val="153A5B"/>
          <w:sz w:val="18"/>
          <w:szCs w:val="18"/>
        </w:rPr>
        <w:t xml:space="preserve">Enfoque de protección. </w:t>
      </w:r>
      <w:r>
        <w:rPr>
          <w:rFonts w:ascii="Aptos" w:cs="Aptos" w:eastAsia="Aptos" w:hAnsi="Aptos"/>
          <w:sz w:val="18"/>
          <w:szCs w:val="18"/>
        </w:rPr>
        <w:t xml:space="preserve">Proteger principalmente como secreto empresarial y software. Evaluar patente CII solo para una combinación nueva de perfil, validación, optimización de capas físicas/refuerzo y control que tenga una ventaja técnica demostrable frente al estado de la técnica.</w:t>
      </w:r>
    </w:p>
    <w:p>
      <w:pPr>
        <w:spacing w:after="130" w:before="0" w:line="250"/>
      </w:pPr>
      <w:r>
        <w:rPr>
          <w:rFonts w:ascii="Aptos" w:cs="Aptos" w:eastAsia="Aptos" w:hAnsi="Aptos"/>
          <w:b/>
          <w:bCs/>
          <w:color w:val="153A5B"/>
          <w:sz w:val="18"/>
          <w:szCs w:val="18"/>
        </w:rPr>
        <w:t xml:space="preserve">Qué debe demostrarse. </w:t>
      </w:r>
      <w:r>
        <w:rPr>
          <w:rFonts w:ascii="Aptos" w:cs="Aptos" w:eastAsia="Aptos" w:hAnsi="Aptos"/>
          <w:sz w:val="18"/>
          <w:szCs w:val="18"/>
        </w:rPr>
        <w:t xml:space="preserve">Mejora de energía, continuidad del perfil, cumplimiento por zona, uniformidad/deslumbramiento y ausencia de soluciones físicamente inviables; comparar con una estrategia de diseño/control convencional.</w:t>
      </w:r>
    </w:p>
    <w:tbl>
      <w:tblPr>
        <w:tblW w:type="dxa" w:w="10106"/>
        <w:tblBorders>
          <w:top w:val="single" w:color="C7D5E5" w:sz="4"/>
          <w:left w:val="single" w:color="C7D5E5" w:sz="4"/>
          <w:bottom w:val="single" w:color="C7D5E5" w:sz="4"/>
          <w:right w:val="single" w:color="C7D5E5" w:sz="4"/>
          <w:insideH w:val="single" w:color="D9E2F3" w:sz="3"/>
          <w:insideV w:val="single" w:color="D9E2F3" w:sz="3"/>
        </w:tblBorders>
      </w:tblPr>
      <w:tblGrid>
        <w:gridCol w:w="3100"/>
        <w:gridCol w:w="7006"/>
      </w:tblGrid>
      <w:tr>
        <w:tc>
          <w:tcPr>
            <w:tcW w:type="dxa" w:w="3100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Campo de la ficha de invención</w:t>
            </w:r>
          </w:p>
        </w:tc>
        <w:tc>
          <w:tcPr>
            <w:tcW w:type="dxa" w:w="7006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Contenido inicial para completar con el agente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Título de trabajo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Optimización técnico-fotométrica y control de iluminación de túneles</w:t>
            </w:r>
          </w:p>
        </w:tc>
      </w:tr>
      <w:tr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Problema técnico</w:t>
            </w:r>
          </w:p>
        </w:tc>
        <w:tc>
          <w:tcPr>
            <w:tcW w:type="dxa" w:w="70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Diseñar y controlar un túnel con exigencias de entrada distintas en ambos portales sin sobredimensionar ni introducir discontinuidades o incumplimientos.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Solución propuesta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Generar perfiles y zonas asimétricas, seleccionar luminarias y capas de refuerzo, verificar CIE 140 y convertir el resultado en escenas DALI/Smartec controlables.</w:t>
            </w:r>
          </w:p>
        </w:tc>
      </w:tr>
      <w:tr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Efecto y evidencia</w:t>
            </w:r>
          </w:p>
        </w:tc>
        <w:tc>
          <w:tcPr>
            <w:tcW w:type="dxa" w:w="70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Cumplimiento luminotécnico y reducción de energía en una instalación real; ensayos o simulaciones multi-escenario con trazabilidad de control.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Variantes a cubrir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Uno o dos tubos, sentidos de tráfico, reflectancias, ópticas, radiosidad, velocidades, escenarios de luz exterior y estrategias de control.</w:t>
            </w:r>
          </w:p>
        </w:tc>
      </w:tr>
      <w:tr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Inventores y fechas</w:t>
            </w:r>
          </w:p>
        </w:tc>
        <w:tc>
          <w:tcPr>
            <w:tcW w:type="dxa" w:w="70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Identificar autores técnicos, aportación de cada uno, primera concepción, pruebas y cualquier divulgación o piloto.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Material adjunto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Arquitectura del motor, casos de cálculo, LDT, perfiles, resultados CIE, pruebas, curvas de control y exportación Smartec.</w:t>
            </w:r>
          </w:p>
        </w:tc>
      </w:tr>
    </w:tbl>
    <w:p>
      <w:pPr>
        <w:pStyle w:val="Heading1"/>
        <w:keepNext/>
        <w:pageBreakBefore/>
        <w:spacing w:after="130" w:before="340"/>
      </w:pPr>
      <w:r>
        <w:t xml:space="preserve">Ficha P4. Salvi GIS y cálculo solar-fotométrico</w:t>
      </w:r>
    </w:p>
    <w:p>
      <w:pPr>
        <w:spacing w:after="110" w:before="0" w:line="250"/>
      </w:pPr>
      <w:r>
        <w:rPr>
          <w:rFonts w:ascii="Aptos" w:cs="Aptos" w:eastAsia="Aptos" w:hAnsi="Aptos"/>
          <w:sz w:val="18"/>
          <w:szCs w:val="18"/>
        </w:rPr>
        <w:t xml:space="preserve">Plataforma de apoyo a la proyección macro y de detalle que trabaja sobre el mapa, calcula calles tipo y vías reales, y conecta la geometría georreferenciada con el cálculo solar y fotométrico. Su función es llevar las condiciones reales de orientación, sombras, implantación y desempeño lumínico a una decisión técnica de diseño, no limitarse a pintar resultados sobre un mapa.</w:t>
      </w:r>
    </w:p>
    <w:p>
      <w:pPr>
        <w:spacing w:after="90" w:before="0" w:line="250"/>
      </w:pPr>
      <w:r>
        <w:rPr>
          <w:rFonts w:ascii="Aptos" w:cs="Aptos" w:eastAsia="Aptos" w:hAnsi="Aptos"/>
          <w:b/>
          <w:bCs/>
          <w:color w:val="153A5B"/>
          <w:sz w:val="18"/>
          <w:szCs w:val="18"/>
        </w:rPr>
        <w:t xml:space="preserve">Enfoque de protección. </w:t>
      </w:r>
      <w:r>
        <w:rPr>
          <w:rFonts w:ascii="Aptos" w:cs="Aptos" w:eastAsia="Aptos" w:hAnsi="Aptos"/>
          <w:sz w:val="18"/>
          <w:szCs w:val="18"/>
        </w:rPr>
        <w:t xml:space="preserve">El GIS, interfaces y datos deben protegerse por copyright, secreto, base de datos y contratos. Evaluar patente CII si el método de uso de datos geográficos y solares produce una selección/control técnico nuevo y cuantificable sobre un sistema de alumbrado.</w:t>
      </w:r>
    </w:p>
    <w:p>
      <w:pPr>
        <w:spacing w:after="130" w:before="0" w:line="250"/>
      </w:pPr>
      <w:r>
        <w:rPr>
          <w:rFonts w:ascii="Aptos" w:cs="Aptos" w:eastAsia="Aptos" w:hAnsi="Aptos"/>
          <w:b/>
          <w:bCs/>
          <w:color w:val="153A5B"/>
          <w:sz w:val="18"/>
          <w:szCs w:val="18"/>
        </w:rPr>
        <w:t xml:space="preserve">Qué debe demostrarse. </w:t>
      </w:r>
      <w:r>
        <w:rPr>
          <w:rFonts w:ascii="Aptos" w:cs="Aptos" w:eastAsia="Aptos" w:hAnsi="Aptos"/>
          <w:sz w:val="18"/>
          <w:szCs w:val="18"/>
        </w:rPr>
        <w:t xml:space="preserve">Reducción de error, sobredimensionamiento, energía o incumplimiento respecto a un diseño no georreferenciado; validar el beneficio con casos reales y comparativas reproducibles.</w:t>
      </w:r>
    </w:p>
    <w:tbl>
      <w:tblPr>
        <w:tblW w:type="dxa" w:w="10106"/>
        <w:tblBorders>
          <w:top w:val="single" w:color="C7D5E5" w:sz="4"/>
          <w:left w:val="single" w:color="C7D5E5" w:sz="4"/>
          <w:bottom w:val="single" w:color="C7D5E5" w:sz="4"/>
          <w:right w:val="single" w:color="C7D5E5" w:sz="4"/>
          <w:insideH w:val="single" w:color="D9E2F3" w:sz="3"/>
          <w:insideV w:val="single" w:color="D9E2F3" w:sz="3"/>
        </w:tblBorders>
      </w:tblPr>
      <w:tblGrid>
        <w:gridCol w:w="3100"/>
        <w:gridCol w:w="7006"/>
      </w:tblGrid>
      <w:tr>
        <w:tc>
          <w:tcPr>
            <w:tcW w:type="dxa" w:w="3100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Campo de la ficha de invención</w:t>
            </w:r>
          </w:p>
        </w:tc>
        <w:tc>
          <w:tcPr>
            <w:tcW w:type="dxa" w:w="7006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Contenido inicial para completar con el agente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Título de trabajo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Diseño georreferenciado de alumbrado con evaluación solar y fotométrica</w:t>
            </w:r>
          </w:p>
        </w:tc>
      </w:tr>
      <w:tr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Problema técnico</w:t>
            </w:r>
          </w:p>
        </w:tc>
        <w:tc>
          <w:tcPr>
            <w:tcW w:type="dxa" w:w="70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Transformar condiciones geográficas y solares específicas de una vía en requisitos fiables de diseño y operación de alumbrado.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Solución propuesta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Integrar la geometría de la instalación, el contexto solar y las reglas fotométricas para calcular y seleccionar soluciones a escala de calle tipo o de mapa real.</w:t>
            </w:r>
          </w:p>
        </w:tc>
      </w:tr>
      <w:tr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Efecto y evidencia</w:t>
            </w:r>
          </w:p>
        </w:tc>
        <w:tc>
          <w:tcPr>
            <w:tcW w:type="dxa" w:w="70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Diseño más ajustado a la ubicación, con reducción medible de desviación energética o luminotécnica; documentar escenarios y resultados.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Variantes a cubrir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Fuentes geográficas, modelos solares, mallas urbanas, clases de vía, sensores, escenarios horarios, ópticas y objetivos de diseño.</w:t>
            </w:r>
          </w:p>
        </w:tc>
      </w:tr>
      <w:tr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Inventores y fechas</w:t>
            </w:r>
          </w:p>
        </w:tc>
        <w:tc>
          <w:tcPr>
            <w:tcW w:type="dxa" w:w="70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Identificar autores técnicos, aportación de cada uno, primera concepción, pruebas y cualquier divulgación o piloto.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Material adjunto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Casos GIS, modelos de entrada, mapas/sombras, resultados solares y fotométricos, comparación con metodología de referencia.</w:t>
            </w:r>
          </w:p>
        </w:tc>
      </w:tr>
    </w:tbl>
    <w:p>
      <w:pPr>
        <w:pStyle w:val="Heading1"/>
        <w:keepNext/>
        <w:pageBreakBefore/>
        <w:spacing w:after="130" w:before="340"/>
      </w:pPr>
      <w:r>
        <w:t xml:space="preserve">Ficha P5. Cálculo y diseño de columnas</w:t>
      </w:r>
    </w:p>
    <w:p>
      <w:pPr>
        <w:spacing w:after="110" w:before="0" w:line="250"/>
      </w:pPr>
      <w:r>
        <w:rPr>
          <w:rFonts w:ascii="Aptos" w:cs="Aptos" w:eastAsia="Aptos" w:hAnsi="Aptos"/>
          <w:sz w:val="18"/>
          <w:szCs w:val="18"/>
        </w:rPr>
        <w:t xml:space="preserve">Aplicación para calcular y diseñar columnas de acero, aluminio y hormigón pretensado. Debe identificar si, además del cálculo, existen soluciones nuevas de sección, unión, anclaje, armado, pretensado, montaje, durabilidad o fabricación que resuelvan un problema físico concreto. Es la línea con mayor posibilidad de obtener derechos sobre un producto tangible y observable.</w:t>
      </w:r>
    </w:p>
    <w:p>
      <w:pPr>
        <w:spacing w:after="90" w:before="0" w:line="250"/>
      </w:pPr>
      <w:r>
        <w:rPr>
          <w:rFonts w:ascii="Aptos" w:cs="Aptos" w:eastAsia="Aptos" w:hAnsi="Aptos"/>
          <w:b/>
          <w:bCs/>
          <w:color w:val="153A5B"/>
          <w:sz w:val="18"/>
          <w:szCs w:val="18"/>
        </w:rPr>
        <w:t xml:space="preserve">Enfoque de protección. </w:t>
      </w:r>
      <w:r>
        <w:rPr>
          <w:rFonts w:ascii="Aptos" w:cs="Aptos" w:eastAsia="Aptos" w:hAnsi="Aptos"/>
          <w:sz w:val="18"/>
          <w:szCs w:val="18"/>
        </w:rPr>
        <w:t xml:space="preserve">Prioridad muy alta para patente o modelo de utilidad cuando exista una ventaja técnica de producto. Complementar con diseño industrial para la apariencia no exclusivamente funcional y secreto para reglas de cálculo, utillajes o procesos.</w:t>
      </w:r>
    </w:p>
    <w:p>
      <w:pPr>
        <w:spacing w:after="130" w:before="0" w:line="250"/>
      </w:pPr>
      <w:r>
        <w:rPr>
          <w:rFonts w:ascii="Aptos" w:cs="Aptos" w:eastAsia="Aptos" w:hAnsi="Aptos"/>
          <w:b/>
          <w:bCs/>
          <w:color w:val="153A5B"/>
          <w:sz w:val="18"/>
          <w:szCs w:val="18"/>
        </w:rPr>
        <w:t xml:space="preserve">Qué debe demostrarse. </w:t>
      </w:r>
      <w:r>
        <w:rPr>
          <w:rFonts w:ascii="Aptos" w:cs="Aptos" w:eastAsia="Aptos" w:hAnsi="Aptos"/>
          <w:sz w:val="18"/>
          <w:szCs w:val="18"/>
        </w:rPr>
        <w:t xml:space="preserve">Resultados estructurales, de durabilidad, fabricación, peso, coste o montaje frente a soluciones conocidas; deben referirse a una configuración concreta y no solo a un dimensionado numérico.</w:t>
      </w:r>
    </w:p>
    <w:tbl>
      <w:tblPr>
        <w:tblW w:type="dxa" w:w="10106"/>
        <w:tblBorders>
          <w:top w:val="single" w:color="C7D5E5" w:sz="4"/>
          <w:left w:val="single" w:color="C7D5E5" w:sz="4"/>
          <w:bottom w:val="single" w:color="C7D5E5" w:sz="4"/>
          <w:right w:val="single" w:color="C7D5E5" w:sz="4"/>
          <w:insideH w:val="single" w:color="D9E2F3" w:sz="3"/>
          <w:insideV w:val="single" w:color="D9E2F3" w:sz="3"/>
        </w:tblBorders>
      </w:tblPr>
      <w:tblGrid>
        <w:gridCol w:w="3100"/>
        <w:gridCol w:w="7006"/>
      </w:tblGrid>
      <w:tr>
        <w:tc>
          <w:tcPr>
            <w:tcW w:type="dxa" w:w="3100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Campo de la ficha de invención</w:t>
            </w:r>
          </w:p>
        </w:tc>
        <w:tc>
          <w:tcPr>
            <w:tcW w:type="dxa" w:w="7006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Contenido inicial para completar con el agente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Título de trabajo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Columna de alumbrado y método constructivo de alto desempeño</w:t>
            </w:r>
          </w:p>
        </w:tc>
      </w:tr>
      <w:tr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Problema técnico</w:t>
            </w:r>
          </w:p>
        </w:tc>
        <w:tc>
          <w:tcPr>
            <w:tcW w:type="dxa" w:w="70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Mejorar la resistencia, durabilidad, instalación, fabricación o coste de una columna de alumbrado manteniendo las exigencias de servicio.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Solución propuesta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Nueva configuración estructural, material, unión, anclaje, armado o proceso de fabricación aplicable a columnas de acero, aluminio o hormigón pretensado.</w:t>
            </w:r>
          </w:p>
        </w:tc>
      </w:tr>
      <w:tr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Efecto y evidencia</w:t>
            </w:r>
          </w:p>
        </w:tc>
        <w:tc>
          <w:tcPr>
            <w:tcW w:type="dxa" w:w="70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Ventaja técnica apreciable y verificable en uso o fabricación; aportar cálculo, ensayo, prototipo o comparación.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Variantes a cubrir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Materiales, secciones, alturas, uniones, cimentaciones, recubrimientos, pretensado, procesos y accesorios.</w:t>
            </w:r>
          </w:p>
        </w:tc>
      </w:tr>
      <w:tr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Inventores y fechas</w:t>
            </w:r>
          </w:p>
        </w:tc>
        <w:tc>
          <w:tcPr>
            <w:tcW w:type="dxa" w:w="70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Identificar autores técnicos, aportación de cada uno, primera concepción, pruebas y cualquier divulgación o piloto.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Material adjunto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Planos CAD, memorias de cálculo, FEA/ensayos, prototipos, proceso de fabricación, fotos y resultados comparativos.</w:t>
            </w:r>
          </w:p>
        </w:tc>
      </w:tr>
    </w:tbl>
    <w:p>
      <w:pPr>
        <w:pStyle w:val="Heading1"/>
        <w:keepNext/>
        <w:pageBreakBefore/>
        <w:spacing w:after="130" w:before="340"/>
      </w:pPr>
      <w:r>
        <w:t xml:space="preserve">Ficha P6. Configurador de producto e integración industrial</w:t>
      </w:r>
    </w:p>
    <w:p>
      <w:pPr>
        <w:spacing w:after="110" w:before="0" w:line="250"/>
      </w:pPr>
      <w:r>
        <w:rPr>
          <w:rFonts w:ascii="Aptos" w:cs="Aptos" w:eastAsia="Aptos" w:hAnsi="Aptos"/>
          <w:sz w:val="18"/>
          <w:szCs w:val="18"/>
        </w:rPr>
        <w:t xml:space="preserve">Configurador que crea luminarias y columnas con su BOM y fases de producción, conectado a las aplicaciones de ingeniería y al ERP. Su valor es mantener una única configuración técnica desde el cálculo y selección del producto hasta la lista de materiales, compra, fabricación, calidad, venta, entrega y activo instalado. La parte general de flujo empresarial no es una patente fuerte, pero el acoplamiento técnico puede contener activos diferenciadores.</w:t>
      </w:r>
    </w:p>
    <w:p>
      <w:pPr>
        <w:spacing w:after="90" w:before="0" w:line="250"/>
      </w:pPr>
      <w:r>
        <w:rPr>
          <w:rFonts w:ascii="Aptos" w:cs="Aptos" w:eastAsia="Aptos" w:hAnsi="Aptos"/>
          <w:b/>
          <w:bCs/>
          <w:color w:val="153A5B"/>
          <w:sz w:val="18"/>
          <w:szCs w:val="18"/>
        </w:rPr>
        <w:t xml:space="preserve">Enfoque de protección. </w:t>
      </w:r>
      <w:r>
        <w:rPr>
          <w:rFonts w:ascii="Aptos" w:cs="Aptos" w:eastAsia="Aptos" w:hAnsi="Aptos"/>
          <w:sz w:val="18"/>
          <w:szCs w:val="18"/>
        </w:rPr>
        <w:t xml:space="preserve">Copyright y secreto empresarial como capa principal. Evaluar patente solo si el modelo de datos y las validaciones producen una configuración, fabricación o control técnico de equipos físicos que no se obtenga con un ERP/configurador convencional.</w:t>
      </w:r>
    </w:p>
    <w:p>
      <w:pPr>
        <w:spacing w:after="130" w:before="0" w:line="250"/>
      </w:pPr>
      <w:r>
        <w:rPr>
          <w:rFonts w:ascii="Aptos" w:cs="Aptos" w:eastAsia="Aptos" w:hAnsi="Aptos"/>
          <w:b/>
          <w:bCs/>
          <w:color w:val="153A5B"/>
          <w:sz w:val="18"/>
          <w:szCs w:val="18"/>
        </w:rPr>
        <w:t xml:space="preserve">Qué debe demostrarse. </w:t>
      </w:r>
      <w:r>
        <w:rPr>
          <w:rFonts w:ascii="Aptos" w:cs="Aptos" w:eastAsia="Aptos" w:hAnsi="Aptos"/>
          <w:sz w:val="18"/>
          <w:szCs w:val="18"/>
        </w:rPr>
        <w:t xml:space="preserve">Menos errores de configuración, incompatibilidades o retrabajos, y trazabilidad exacta entre parámetros de cálculo, BOM, ruta, control y activo instalado; documentar reglas técnicas automáticas.</w:t>
      </w:r>
    </w:p>
    <w:tbl>
      <w:tblPr>
        <w:tblW w:type="dxa" w:w="10106"/>
        <w:tblBorders>
          <w:top w:val="single" w:color="C7D5E5" w:sz="4"/>
          <w:left w:val="single" w:color="C7D5E5" w:sz="4"/>
          <w:bottom w:val="single" w:color="C7D5E5" w:sz="4"/>
          <w:right w:val="single" w:color="C7D5E5" w:sz="4"/>
          <w:insideH w:val="single" w:color="D9E2F3" w:sz="3"/>
          <w:insideV w:val="single" w:color="D9E2F3" w:sz="3"/>
        </w:tblBorders>
      </w:tblPr>
      <w:tblGrid>
        <w:gridCol w:w="3100"/>
        <w:gridCol w:w="7006"/>
      </w:tblGrid>
      <w:tr>
        <w:tc>
          <w:tcPr>
            <w:tcW w:type="dxa" w:w="3100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Campo de la ficha de invención</w:t>
            </w:r>
          </w:p>
        </w:tc>
        <w:tc>
          <w:tcPr>
            <w:tcW w:type="dxa" w:w="7006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Contenido inicial para completar con el agente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Título de trabajo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Configuración trazable de luminarias y columnas desde ingeniería a producción</w:t>
            </w:r>
          </w:p>
        </w:tc>
      </w:tr>
      <w:tr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Problema técnico</w:t>
            </w:r>
          </w:p>
        </w:tc>
        <w:tc>
          <w:tcPr>
            <w:tcW w:type="dxa" w:w="70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Evitar que la configuración de ingeniería se pierda o se modifique manualmente al pasar a producto, BOM, producción y operación.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Solución propuesta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Modelo versionado que vincula los parámetros técnicos de luminaria/columna con componentes, operaciones de fabricación, calidad, pedido y activo georreferenciado.</w:t>
            </w:r>
          </w:p>
        </w:tc>
      </w:tr>
      <w:tr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Efecto y evidencia</w:t>
            </w:r>
          </w:p>
        </w:tc>
        <w:tc>
          <w:tcPr>
            <w:tcW w:type="dxa" w:w="70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Configuración fabricable y verificable sin pérdida de integridad; demostrar reducción de errores y control técnico de compatibilidades.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Variantes a cubrir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Familias de producto, reglas de compatibilidad, BOM alternativas, rutas, controles de calidad, conectores ERP/Smartec/GIS y formatos de datos.</w:t>
            </w:r>
          </w:p>
        </w:tc>
      </w:tr>
      <w:tr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Inventores y fechas</w:t>
            </w:r>
          </w:p>
        </w:tc>
        <w:tc>
          <w:tcPr>
            <w:tcW w:type="dxa" w:w="70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Identificar autores técnicos, aportación de cada uno, primera concepción, pruebas y cualquier divulgación o piloto.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Material adjunto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Modelo de datos, reglas de validación, ejemplos de configuraciones, BOM, rutas, trazas de versión y casos de extremo a extremo.</w:t>
            </w:r>
          </w:p>
        </w:tc>
      </w:tr>
    </w:tbl>
    <w:p>
      <w:pPr>
        <w:pStyle w:val="Heading1"/>
        <w:keepNext/>
        <w:pageBreakBefore/>
        <w:spacing w:after="130" w:before="340"/>
      </w:pPr>
      <w:r>
        <w:t xml:space="preserve">Ficha P7. Auditoría móvil en lazo cerrado</w:t>
      </w:r>
    </w:p>
    <w:p>
      <w:pPr>
        <w:spacing w:after="110" w:before="0" w:line="250"/>
      </w:pPr>
      <w:r>
        <w:rPr>
          <w:rFonts w:ascii="Aptos" w:cs="Aptos" w:eastAsia="Aptos" w:hAnsi="Aptos"/>
          <w:sz w:val="18"/>
          <w:szCs w:val="18"/>
        </w:rPr>
        <w:t xml:space="preserve">Proyecto previsto para medir luminancia e iluminancia de forma continua desde un vehículo mediante luminancímetro/luxómetro, asociar los datos al tramo y activo correspondiente y compararlos con el diseño original. Con esa discrepancia, Smartec podrá proponer o ejecutar ajustes de nivel para recuperar cumplimiento y reducir consumo. Cierra el ciclo entre diseño, instalación, medida real y operación.</w:t>
      </w:r>
    </w:p>
    <w:p>
      <w:pPr>
        <w:spacing w:after="90" w:before="0" w:line="250"/>
      </w:pPr>
      <w:r>
        <w:rPr>
          <w:rFonts w:ascii="Aptos" w:cs="Aptos" w:eastAsia="Aptos" w:hAnsi="Aptos"/>
          <w:b/>
          <w:bCs/>
          <w:color w:val="153A5B"/>
          <w:sz w:val="18"/>
          <w:szCs w:val="18"/>
        </w:rPr>
        <w:t xml:space="preserve">Enfoque de protección. </w:t>
      </w:r>
      <w:r>
        <w:rPr>
          <w:rFonts w:ascii="Aptos" w:cs="Aptos" w:eastAsia="Aptos" w:hAnsi="Aptos"/>
          <w:sz w:val="18"/>
          <w:szCs w:val="18"/>
        </w:rPr>
        <w:t xml:space="preserve">Oportunidad relevante de patente de sistema o método CII si se concreta una adquisición móvil validada, corrección de condiciones de medida, correlación con el modelo de diseño y lógica de control con efecto técnico. Proteger modelos de corrección, datos y umbrales como secreto.</w:t>
      </w:r>
    </w:p>
    <w:p>
      <w:pPr>
        <w:spacing w:after="130" w:before="0" w:line="250"/>
      </w:pPr>
      <w:r>
        <w:rPr>
          <w:rFonts w:ascii="Aptos" w:cs="Aptos" w:eastAsia="Aptos" w:hAnsi="Aptos"/>
          <w:b/>
          <w:bCs/>
          <w:color w:val="153A5B"/>
          <w:sz w:val="18"/>
          <w:szCs w:val="18"/>
        </w:rPr>
        <w:t xml:space="preserve">Qué debe demostrarse. </w:t>
      </w:r>
      <w:r>
        <w:rPr>
          <w:rFonts w:ascii="Aptos" w:cs="Aptos" w:eastAsia="Aptos" w:hAnsi="Aptos"/>
          <w:sz w:val="18"/>
          <w:szCs w:val="18"/>
        </w:rPr>
        <w:t xml:space="preserve">Repetibilidad y precisión de las medidas en movimiento; garantía de que representan la condición luminotécnica relevante; reducción demostrable de incumplimiento y energía tras el ajuste automático.</w:t>
      </w:r>
    </w:p>
    <w:tbl>
      <w:tblPr>
        <w:tblW w:type="dxa" w:w="10106"/>
        <w:tblBorders>
          <w:top w:val="single" w:color="C7D5E5" w:sz="4"/>
          <w:left w:val="single" w:color="C7D5E5" w:sz="4"/>
          <w:bottom w:val="single" w:color="C7D5E5" w:sz="4"/>
          <w:right w:val="single" w:color="C7D5E5" w:sz="4"/>
          <w:insideH w:val="single" w:color="D9E2F3" w:sz="3"/>
          <w:insideV w:val="single" w:color="D9E2F3" w:sz="3"/>
        </w:tblBorders>
      </w:tblPr>
      <w:tblGrid>
        <w:gridCol w:w="3100"/>
        <w:gridCol w:w="7006"/>
      </w:tblGrid>
      <w:tr>
        <w:tc>
          <w:tcPr>
            <w:tcW w:type="dxa" w:w="3100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Campo de la ficha de invención</w:t>
            </w:r>
          </w:p>
        </w:tc>
        <w:tc>
          <w:tcPr>
            <w:tcW w:type="dxa" w:w="7006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Contenido inicial para completar con el agente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Título de trabajo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Medición móvil georreferenciada y ajuste automático de alumbrado</w:t>
            </w:r>
          </w:p>
        </w:tc>
      </w:tr>
      <w:tr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Problema técnico</w:t>
            </w:r>
          </w:p>
        </w:tc>
        <w:tc>
          <w:tcPr>
            <w:tcW w:type="dxa" w:w="70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Auditar extensas redes de alumbrado y corregir desviaciones respecto al diseño sin campañas manuales lentas ni ajustes basados en datos no equivalentes.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Solución propuesta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Vehículo instrumentado que adquiere una señal continua, la sincroniza con ubicación/contexto y diseño, identifica desviaciones y transmite una orden o consigna verificable a Smartec.</w:t>
            </w:r>
          </w:p>
        </w:tc>
      </w:tr>
      <w:tr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Efecto y evidencia</w:t>
            </w:r>
          </w:p>
        </w:tc>
        <w:tc>
          <w:tcPr>
            <w:tcW w:type="dxa" w:w="70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Ajuste en lazo cerrado que mantiene los niveles de servicio con menor consumo; validar con campañas repetidas, antes/después y trazas de control.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Variantes a cubrir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Luminancia o iluminancia, sensores y calibración, posicionamiento, normalización geométrica, velocidad, clima, tráfico, tipo de vía, control manual/asistido/automático.</w:t>
            </w:r>
          </w:p>
        </w:tc>
      </w:tr>
      <w:tr>
        <w:tc>
          <w:tcPr>
            <w:tcW w:type="dxa" w:w="31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Inventores y fechas</w:t>
            </w:r>
          </w:p>
        </w:tc>
        <w:tc>
          <w:tcPr>
            <w:tcW w:type="dxa" w:w="700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Identificar autores técnicos, aportación de cada uno, primera concepción, pruebas y cualquier divulgación o piloto.</w:t>
            </w:r>
          </w:p>
        </w:tc>
      </w:tr>
      <w:tr>
        <w:tc>
          <w:tcPr>
            <w:tcW w:type="dxa" w:w="3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Material adjunto</w:t>
            </w:r>
          </w:p>
        </w:tc>
        <w:tc>
          <w:tcPr>
            <w:tcW w:type="dxa" w:w="700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Arquitectura de vehículo e instrumentos, protocolo de calibración, modelo de correlación, telemetría, casos reales, informes antes/después y comandos Smartec.</w:t>
            </w:r>
          </w:p>
        </w:tc>
      </w:tr>
    </w:tbl>
    <w:p>
      <w:pPr>
        <w:pStyle w:val="Heading1"/>
        <w:keepNext/>
        <w:pageBreakBefore/>
        <w:spacing w:after="130" w:before="340"/>
      </w:pPr>
      <w:r>
        <w:t xml:space="preserve">6. Lectura jurídica práctica para el agente</w:t>
      </w:r>
    </w:p>
    <w:p>
      <w:pPr>
        <w:spacing w:after="140" w:before="0" w:line="276"/>
      </w:pPr>
      <w:r>
        <w:rPr>
          <w:rFonts w:ascii="Aptos" w:cs="Aptos" w:eastAsia="Aptos" w:hAnsi="Aptos"/>
          <w:b/>
          <w:bCs/>
          <w:color w:val="153A5B"/>
          <w:sz w:val="20"/>
          <w:szCs w:val="20"/>
        </w:rPr>
        <w:t xml:space="preserve">Programas de ordenador. </w:t>
      </w:r>
      <w:r>
        <w:rPr>
          <w:rFonts w:ascii="Aptos" w:cs="Aptos" w:eastAsia="Aptos" w:hAnsi="Aptos"/>
          <w:sz w:val="20"/>
          <w:szCs w:val="20"/>
        </w:rPr>
        <w:t xml:space="preserve">En España los programas originales, su documentación preparatoria y manuales tienen protección por derecho de autor; esta protege la expresión, no las ideas o principios. En el empleo, los derechos de explotación del software creado por un empleado en sus funciones corresponden, salvo pacto, al empresario. </w:t>
      </w:r>
    </w:p>
    <w:p>
      <w:pPr>
        <w:spacing w:after="140" w:before="0" w:line="276"/>
      </w:pPr>
      <w:r>
        <w:rPr>
          <w:rFonts w:ascii="Aptos" w:cs="Aptos" w:eastAsia="Aptos" w:hAnsi="Aptos"/>
          <w:b/>
          <w:bCs/>
          <w:color w:val="153A5B"/>
          <w:sz w:val="20"/>
          <w:szCs w:val="20"/>
        </w:rPr>
        <w:t xml:space="preserve">Patentes de software. </w:t>
      </w:r>
      <w:r>
        <w:rPr>
          <w:rFonts w:ascii="Aptos" w:cs="Aptos" w:eastAsia="Aptos" w:hAnsi="Aptos"/>
          <w:sz w:val="20"/>
          <w:szCs w:val="20"/>
        </w:rPr>
        <w:t xml:space="preserve">En Europa no se protege un programa «como tal», pero sí puede haber una invención implementada en ordenador con carácter técnico y un efecto técnico adicional. Las reivindicaciones han de recoger los rasgos esenciales que producen ese efecto. Para SALVI, la redacción debe anclarse a la geometría, óptica, luminaria, columna, sensor, control, cálculo físico o proceso de fabricación, según el caso.</w:t>
      </w:r>
    </w:p>
    <w:p>
      <w:pPr>
        <w:spacing w:after="140" w:before="0" w:line="276"/>
      </w:pPr>
      <w:r>
        <w:rPr>
          <w:rFonts w:ascii="Aptos" w:cs="Aptos" w:eastAsia="Aptos" w:hAnsi="Aptos"/>
          <w:b/>
          <w:bCs/>
          <w:color w:val="153A5B"/>
          <w:sz w:val="20"/>
          <w:szCs w:val="20"/>
        </w:rPr>
        <w:t xml:space="preserve">Secreto empresarial. </w:t>
      </w:r>
      <w:r>
        <w:rPr>
          <w:rFonts w:ascii="Aptos" w:cs="Aptos" w:eastAsia="Aptos" w:hAnsi="Aptos"/>
          <w:sz w:val="20"/>
          <w:szCs w:val="20"/>
        </w:rPr>
        <w:t xml:space="preserve">Es especialmente útil para algoritmos, coeficientes, reglas de optimización, datos de producto, curvas térmicas, BOM, procesos, parámetros de fabricación y arquitectura de integración. Su condición legal exige que la información sea secreta, tenga valor empresarial y esté sujeta a medidas razonables de protección; no basta con llamarla confidencial.</w:t>
      </w:r>
    </w:p>
    <w:p>
      <w:pPr>
        <w:spacing w:after="140" w:before="0" w:line="276"/>
      </w:pPr>
      <w:r>
        <w:rPr>
          <w:rFonts w:ascii="Aptos" w:cs="Aptos" w:eastAsia="Aptos" w:hAnsi="Aptos"/>
          <w:b/>
          <w:bCs/>
          <w:color w:val="153A5B"/>
          <w:sz w:val="20"/>
          <w:szCs w:val="20"/>
        </w:rPr>
        <w:t xml:space="preserve">Diseño, marca y modelo de utilidad. </w:t>
      </w:r>
      <w:r>
        <w:rPr>
          <w:rFonts w:ascii="Aptos" w:cs="Aptos" w:eastAsia="Aptos" w:hAnsi="Aptos"/>
          <w:sz w:val="20"/>
          <w:szCs w:val="20"/>
        </w:rPr>
        <w:t xml:space="preserve">La apariencia externa de la luminaria, columna, interfaz o iconos puede protegerse como diseño si es nueva y tiene carácter singular; una solución constructiva de producto con ventaja técnica puede encajar en patente o modelo de utilidad. Las marcas protegen los signos que distinguen productos y servicios. Estas capas pueden coexistir.</w:t>
      </w:r>
    </w:p>
    <w:p>
      <w:pPr>
        <w:pStyle w:val="Heading1"/>
        <w:keepNext/>
        <w:spacing w:after="130" w:before="340"/>
      </w:pPr>
      <w:r>
        <w:t xml:space="preserve">7. Lo que no debe presentarse como patente sin acotarlo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sz w:val="20"/>
          <w:szCs w:val="20"/>
        </w:rPr>
        <w:t xml:space="preserve">El concepto genérico de «plataforma end-to-end para gestionar alumbrado» o un flujo comercial/ERP: valioso, pero normalmente de naturaleza organizativa o de negocio.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sz w:val="20"/>
          <w:szCs w:val="20"/>
        </w:rPr>
        <w:t xml:space="preserve">Un vehículo con un luxómetro/luminancímetro que simplemente registre valores y los muestre en un mapa: la opción técnica a proteger debe estar en la adquisición validada, normalización, correlación con el diseño y/o control automático con efecto demostrable.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sz w:val="20"/>
          <w:szCs w:val="20"/>
        </w:rPr>
        <w:t xml:space="preserve">La aplicación directa de normas CIE, DALI, LDT, GIS o ERP, por sí sola: puede ser necesaria, pero no prueba novedad ni actividad inventiva.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sz w:val="20"/>
          <w:szCs w:val="20"/>
        </w:rPr>
        <w:t xml:space="preserve">Un cálculo conocido ejecutado en un ordenador, sin efecto técnico adicional demostrable.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sz w:val="20"/>
          <w:szCs w:val="20"/>
        </w:rPr>
        <w:t xml:space="preserve">Funciones de interfaz, dashboards o generación de documentos, salvo que formen parte inseparable de una solución técnica concreta.</w:t>
      </w:r>
    </w:p>
    <w:p>
      <w:pPr>
        <w:spacing w:after="140" w:before="0" w:line="276"/>
      </w:pPr>
      <w:r>
        <w:rPr>
          <w:rFonts w:ascii="Aptos" w:cs="Aptos" w:eastAsia="Aptos" w:hAnsi="Aptos"/>
          <w:sz w:val="20"/>
          <w:szCs w:val="20"/>
        </w:rPr>
        <w:t xml:space="preserve">Esto no reduce su valor: dichas capas deben protegerse por derecho de autor, secreto empresarial, diseño, marca, contratos, control de acceso y velocidad de ejecución comercial.</w:t>
      </w:r>
    </w:p>
    <w:p>
      <w:pPr>
        <w:pStyle w:val="Heading1"/>
        <w:keepNext/>
        <w:spacing w:after="130" w:before="340"/>
      </w:pPr>
      <w:r>
        <w:t xml:space="preserve">8. Programa de protección recomendado</w:t>
      </w:r>
    </w:p>
    <w:tbl>
      <w:tblPr>
        <w:tblW w:type="dxa" w:w="10106"/>
        <w:tblBorders>
          <w:top w:val="single" w:color="C7D5E5" w:sz="4"/>
          <w:left w:val="single" w:color="C7D5E5" w:sz="4"/>
          <w:bottom w:val="single" w:color="C7D5E5" w:sz="4"/>
          <w:right w:val="single" w:color="C7D5E5" w:sz="4"/>
          <w:insideH w:val="single" w:color="D9E2F3" w:sz="3"/>
          <w:insideV w:val="single" w:color="D9E2F3" w:sz="3"/>
        </w:tblBorders>
      </w:tblPr>
      <w:tblGrid>
        <w:gridCol w:w="1450"/>
        <w:gridCol w:w="5600"/>
        <w:gridCol w:w="3056"/>
      </w:tblGrid>
      <w:tr>
        <w:tc>
          <w:tcPr>
            <w:tcW w:type="dxa" w:w="1450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Horizonte</w:t>
            </w:r>
          </w:p>
        </w:tc>
        <w:tc>
          <w:tcPr>
            <w:tcW w:type="dxa" w:w="5600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3056"/>
            <w:shd w:fill="1F4E78" w:color="1F4E7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14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0–15 días</w:t>
            </w:r>
          </w:p>
        </w:tc>
        <w:tc>
          <w:tcPr>
            <w:tcW w:type="dxa" w:w="5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Congelar divulgaciones públicas de P1–P7; identificar demos, ofertas, repositorios, ferias, publicaciones y accesos de terceros; firmar/actualizar NDA y cláusulas de titularidad.</w:t>
            </w:r>
          </w:p>
        </w:tc>
        <w:tc>
          <w:tcPr>
            <w:tcW w:type="dxa" w:w="305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Mapa de riesgo de novedad y cadena de titularidad.</w:t>
            </w:r>
          </w:p>
        </w:tc>
      </w:tr>
      <w:tr>
        <w:tc>
          <w:tcPr>
            <w:tcW w:type="dxa" w:w="145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0–30 días</w:t>
            </w:r>
          </w:p>
        </w:tc>
        <w:tc>
          <w:tcPr>
            <w:tcW w:type="dxa" w:w="56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Crear una ficha de invención por P1–P7 con problema técnico, solución, variantes, pruebas, autores, fechas y material gráfico. Solicitar búsqueda de anterioridades internacional priorizada.</w:t>
            </w:r>
          </w:p>
        </w:tc>
        <w:tc>
          <w:tcPr>
            <w:tcW w:type="dxa" w:w="305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Decisión informada de presentación y borrador de reivindicaciones.</w:t>
            </w:r>
          </w:p>
        </w:tc>
      </w:tr>
      <w:tr>
        <w:tc>
          <w:tcPr>
            <w:tcW w:type="dxa" w:w="14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30–60 días</w:t>
            </w:r>
          </w:p>
        </w:tc>
        <w:tc>
          <w:tcPr>
            <w:tcW w:type="dxa" w:w="5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Presentar primero las solicitudes seleccionadas antes de publicar o comercializar los rasgos nuevos. Definir países objetivo y estrategia de prioridad/PCT/EPO con el agente.</w:t>
            </w:r>
          </w:p>
        </w:tc>
        <w:tc>
          <w:tcPr>
            <w:tcW w:type="dxa" w:w="305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Prioridad preservada para los desarrollos núcleo.</w:t>
            </w:r>
          </w:p>
        </w:tc>
      </w:tr>
      <w:tr>
        <w:tc>
          <w:tcPr>
            <w:tcW w:type="dxa" w:w="145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30–90 días</w:t>
            </w:r>
          </w:p>
        </w:tc>
        <w:tc>
          <w:tcPr>
            <w:tcW w:type="dxa" w:w="5600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Implementar programa de secretos: clasificación, mínimo privilegio, repositorios privados, registro de accesos, versionado, offboarding y formación. Revisar contratos de empleados, colaboradores y proveedores.</w:t>
            </w:r>
          </w:p>
        </w:tc>
        <w:tc>
          <w:tcPr>
            <w:tcW w:type="dxa" w:w="3056"/>
            <w:shd w:fill="F5F8FC" w:color="F5F8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Prueba de medidas razonables y menor fuga de know-how.</w:t>
            </w:r>
          </w:p>
        </w:tc>
      </w:tr>
      <w:tr>
        <w:tc>
          <w:tcPr>
            <w:tcW w:type="dxa" w:w="14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Continuo</w:t>
            </w:r>
          </w:p>
        </w:tc>
        <w:tc>
          <w:tcPr>
            <w:tcW w:type="dxa" w:w="5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Vigilancia de patentes, diseños y marcas; revisión trimestral del embudo de I+D; marcar cada nueva invención antes de demo/venta.</w:t>
            </w:r>
          </w:p>
        </w:tc>
        <w:tc>
          <w:tcPr>
            <w:tcW w:type="dxa" w:w="305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7"/>
                <w:szCs w:val="17"/>
              </w:rPr>
              <w:t xml:space="preserve">Cartera viva y decisiones tempranas.</w:t>
            </w:r>
          </w:p>
        </w:tc>
      </w:tr>
    </w:tbl>
    <w:p>
      <w:pPr>
        <w:pStyle w:val="Heading1"/>
        <w:keepNext/>
        <w:spacing w:after="130" w:before="340"/>
      </w:pPr>
      <w:r>
        <w:t xml:space="preserve">9. Evidencias que debe reunir SALVI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sz w:val="20"/>
          <w:szCs w:val="20"/>
        </w:rPr>
        <w:t xml:space="preserve">Cronología verificable: cuaderno de invención, tickets, actas, repositorios, versiones, prototipos, ensayos, facturas y entregas; indicar quién creó qué y cuándo.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sz w:val="20"/>
          <w:szCs w:val="20"/>
        </w:rPr>
        <w:t xml:space="preserve">Pruebas comparativas contra una solución conocida: energía, uniformidad, tiempo de cálculo, robustez, número de luminarias, temperatura, masa, coste o facilidad de fabricación.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sz w:val="20"/>
          <w:szCs w:val="20"/>
        </w:rPr>
        <w:t xml:space="preserve">Documentación técnica reproducible: esquemas de arquitectura, diagramas de flujo, ecuaciones, rango de parámetros, geometrías de lente/columna, BOM, capturas de resultados y variantes.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sz w:val="20"/>
          <w:szCs w:val="20"/>
        </w:rPr>
        <w:t xml:space="preserve">Para P7: arquitectura de adquisición móvil, calibración y trazabilidad de los instrumentos, posicionamiento/sincronización, criterio de correlación con el diseño y ensayos de la precisión del ajuste propuesto.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sz w:val="20"/>
          <w:szCs w:val="20"/>
        </w:rPr>
        <w:t xml:space="preserve">Titularidad: contratos laborales, encargos de desarrollo, cesiones de derechos, licencias de terceros, componentes open-source, LDTs y bases de datos. Confirmar que SALVI puede explotar y registrar lo que presenta.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sz w:val="20"/>
          <w:szCs w:val="20"/>
        </w:rPr>
        <w:t xml:space="preserve">Control de divulgación: acuerdos de confidencialidad, listas de acceso, presentaciones enviadas, pilotos, concursos públicos y publicaciones web. Cualquier divulgación previa debe declararse al agente.</w:t>
      </w:r>
    </w:p>
    <w:p>
      <w:pPr>
        <w:pStyle w:val="Heading1"/>
        <w:keepNext/>
        <w:spacing w:after="130" w:before="340"/>
      </w:pPr>
      <w:r>
        <w:t xml:space="preserve">10. Preguntas para la reunión con el agente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sz w:val="20"/>
          <w:szCs w:val="20"/>
        </w:rPr>
        <w:t xml:space="preserve">¿Qué módulos o características se han mostrado, ofertado, instalado o publicado, ante quién y en qué fecha?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sz w:val="20"/>
          <w:szCs w:val="20"/>
        </w:rPr>
        <w:t xml:space="preserve">¿Qué problema técnico y qué métrica de mejora puede acreditarse para P1–P7?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sz w:val="20"/>
          <w:szCs w:val="20"/>
        </w:rPr>
        <w:t xml:space="preserve">En la auditoría móvil, ¿cómo se garantiza que una medida tomada en movimiento representa la condición luminotécnica relevante y qué corrección/control aporta una mejora técnica nueva?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sz w:val="20"/>
          <w:szCs w:val="20"/>
        </w:rPr>
        <w:t xml:space="preserve">¿Qué inventores participaron y existe cesión contractual expresa a la sociedad para empleados, consultores y proveedores?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sz w:val="20"/>
          <w:szCs w:val="20"/>
        </w:rPr>
        <w:t xml:space="preserve">¿Qué mercados de fabricación y venta justifican una estrategia España, EPO y/o PCT?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sz w:val="20"/>
          <w:szCs w:val="20"/>
        </w:rPr>
        <w:t xml:space="preserve">¿Qué familias de patentes de óptica, alumbrado adaptativo, GIS/solar, cálculo de túneles y columnas deben investigarse para patentabilidad y libertad de operación?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sz w:val="20"/>
          <w:szCs w:val="20"/>
        </w:rPr>
        <w:t xml:space="preserve">¿Qué nombres, logotipos, interfaces, luminarias y columnas deben registrarse como marca o diseño, y en qué clases/territorios?</w:t>
      </w:r>
    </w:p>
    <w:p>
      <w:pPr>
        <w:pStyle w:val="Heading1"/>
        <w:keepNext/>
        <w:spacing w:after="130" w:before="340"/>
      </w:pPr>
      <w:r>
        <w:t xml:space="preserve">11. Conclusión</w:t>
      </w:r>
    </w:p>
    <w:p>
      <w:pPr>
        <w:spacing w:after="140" w:before="0" w:line="276"/>
      </w:pPr>
      <w:r>
        <w:rPr>
          <w:rFonts w:ascii="Aptos" w:cs="Aptos" w:eastAsia="Aptos" w:hAnsi="Aptos"/>
          <w:sz w:val="20"/>
          <w:szCs w:val="20"/>
        </w:rPr>
        <w:t xml:space="preserve">SALVI dispone de una posición especialmente interesante porque conecta conocimiento de producto físico, ingeniería luminotécnica, fotometría, energía, geografía, fabricación y operación. Esa combinación permite que parte de la innovación trascienda el software administrativo y se formule como soluciones técnicas protegibles. La prioridad debe ser presentar y documentar primero aquello que puede copiarse observando el producto o su funcionamiento —ópticas, lentes, columnas y métodos técnicos desplegados— y preservar como secreto los modelos, parámetros, datos, procesos y reglas cuyo valor depende de no ser conocidos.</w:t>
      </w:r>
    </w:p>
    <w:p>
      <w:pPr>
        <w:spacing w:after="140" w:before="0" w:line="276"/>
      </w:pPr>
      <w:r>
        <w:rPr>
          <w:rFonts w:ascii="Aptos" w:cs="Aptos" w:eastAsia="Aptos" w:hAnsi="Aptos"/>
          <w:sz w:val="20"/>
          <w:szCs w:val="20"/>
        </w:rPr>
        <w:t xml:space="preserve">El resultado recomendado de la reunión es una cartera inicial priorizada de 3–5 expedientes, un plan de búsquedas y una lista de medidas internas de confidencialidad y titularidad. No conviene retrasar la evaluación de novedad: la comercialización o publicación anterior a una solicitud puede destruir la novedad.</w:t>
      </w:r>
    </w:p>
    <w:p>
      <w:pPr>
        <w:pStyle w:val="Heading1"/>
        <w:keepNext/>
        <w:spacing w:after="130" w:before="340"/>
      </w:pPr>
      <w:r>
        <w:t xml:space="preserve">Anexo A. Referencias oficiales consultadas</w:t>
      </w:r>
    </w:p>
    <w:p>
      <w:pPr>
        <w:spacing w:after="120" w:before="0" w:line="276"/>
      </w:pPr>
      <w:r>
        <w:rPr>
          <w:rFonts w:ascii="Aptos" w:cs="Aptos" w:eastAsia="Aptos" w:hAnsi="Aptos"/>
          <w:sz w:val="20"/>
          <w:szCs w:val="20"/>
        </w:rPr>
        <w:t xml:space="preserve">Estas referencias se incluyen como orientación para la conversación con el agente; no sustituyen su asesoramiento. </w:t>
      </w:r>
    </w:p>
    <w:p>
      <w:pPr>
        <w:spacing w:after="140" w:before="0" w:line="276"/>
      </w:pPr>
      <w:hyperlink w:history="1" r:id="rIdlgdqb0etbcbveajwcwmdb">
        <w:r>
          <w:rPr>
            <w:rStyle w:val="Hyperlink"/>
            <w:rFonts w:ascii="Aptos" w:cs="Aptos" w:eastAsia="Aptos" w:hAnsi="Aptos"/>
            <w:sz w:val="18"/>
            <w:szCs w:val="18"/>
          </w:rPr>
          <w:t xml:space="preserve">OEPM — Qué es la propiedad industrial y qué se puede proteger</w:t>
        </w:r>
      </w:hyperlink>
    </w:p>
    <w:p>
      <w:pPr>
        <w:spacing w:after="140" w:before="0" w:line="276"/>
      </w:pPr>
      <w:hyperlink w:history="1" r:id="rIdkbcxrukpx7z1spoag2baf">
        <w:r>
          <w:rPr>
            <w:rStyle w:val="Hyperlink"/>
            <w:rFonts w:ascii="Aptos" w:cs="Aptos" w:eastAsia="Aptos" w:hAnsi="Aptos"/>
            <w:sz w:val="18"/>
            <w:szCs w:val="18"/>
          </w:rPr>
          <w:t xml:space="preserve">OEPM — Patentar software / invenciones implementadas en ordenador</w:t>
        </w:r>
      </w:hyperlink>
    </w:p>
    <w:p>
      <w:pPr>
        <w:spacing w:after="140" w:before="0" w:line="276"/>
      </w:pPr>
      <w:hyperlink w:history="1" r:id="rIdgyfhytt43vn4t0cdlx_ud">
        <w:r>
          <w:rPr>
            <w:rStyle w:val="Hyperlink"/>
            <w:rFonts w:ascii="Aptos" w:cs="Aptos" w:eastAsia="Aptos" w:hAnsi="Aptos"/>
            <w:sz w:val="18"/>
            <w:szCs w:val="18"/>
          </w:rPr>
          <w:t xml:space="preserve">EPO Guidelines 2025 — Programas de ordenador y efecto técnico adicional</w:t>
        </w:r>
      </w:hyperlink>
    </w:p>
    <w:p>
      <w:pPr>
        <w:spacing w:after="140" w:before="0" w:line="276"/>
      </w:pPr>
      <w:hyperlink w:history="1" r:id="rIdevgot1qmcznq5lr-pm1e0">
        <w:r>
          <w:rPr>
            <w:rStyle w:val="Hyperlink"/>
            <w:rFonts w:ascii="Aptos" w:cs="Aptos" w:eastAsia="Aptos" w:hAnsi="Aptos"/>
            <w:sz w:val="18"/>
            <w:szCs w:val="18"/>
          </w:rPr>
          <w:t xml:space="preserve">EPO Guidelines 2025 — Reivindicaciones de invenciones implementadas en ordenador</w:t>
        </w:r>
      </w:hyperlink>
    </w:p>
    <w:p>
      <w:pPr>
        <w:spacing w:after="140" w:before="0" w:line="276"/>
      </w:pPr>
      <w:hyperlink w:history="1" r:id="rIdk4svp2ji3sbseaidrr3yg">
        <w:r>
          <w:rPr>
            <w:rStyle w:val="Hyperlink"/>
            <w:rFonts w:ascii="Aptos" w:cs="Aptos" w:eastAsia="Aptos" w:hAnsi="Aptos"/>
            <w:sz w:val="18"/>
            <w:szCs w:val="18"/>
          </w:rPr>
          <w:t xml:space="preserve">BOE — Ley de Propiedad Intelectual, Título VII: Programas de ordenador</w:t>
        </w:r>
      </w:hyperlink>
    </w:p>
    <w:p>
      <w:pPr>
        <w:spacing w:after="140" w:before="0" w:line="276"/>
      </w:pPr>
      <w:hyperlink w:history="1" r:id="rIdmystre98mmlzk9xnqtijs">
        <w:r>
          <w:rPr>
            <w:rStyle w:val="Hyperlink"/>
            <w:rFonts w:ascii="Aptos" w:cs="Aptos" w:eastAsia="Aptos" w:hAnsi="Aptos"/>
            <w:sz w:val="18"/>
            <w:szCs w:val="18"/>
          </w:rPr>
          <w:t xml:space="preserve">BOE — Ley 1/2019 de Secretos Empresariales</w:t>
        </w:r>
      </w:hyperlink>
    </w:p>
    <w:p>
      <w:pPr>
        <w:spacing w:after="140" w:before="0" w:line="276"/>
      </w:pPr>
      <w:hyperlink w:history="1" r:id="rIdqrjdbziwhfiu8g4sischh">
        <w:r>
          <w:rPr>
            <w:rStyle w:val="Hyperlink"/>
            <w:rFonts w:ascii="Aptos" w:cs="Aptos" w:eastAsia="Aptos" w:hAnsi="Aptos"/>
            <w:sz w:val="18"/>
            <w:szCs w:val="18"/>
          </w:rPr>
          <w:t xml:space="preserve">OEPM — Preguntas frecuentes: divulgación previa y novedad</w:t>
        </w:r>
      </w:hyperlink>
    </w:p>
    <w:p>
      <w:pPr>
        <w:spacing w:after="140" w:before="0" w:line="276"/>
      </w:pPr>
      <w:hyperlink w:history="1" r:id="rIdvqmqkr3wuqmnsq__4wnoi">
        <w:r>
          <w:rPr>
            <w:rStyle w:val="Hyperlink"/>
            <w:rFonts w:ascii="Aptos" w:cs="Aptos" w:eastAsia="Aptos" w:hAnsi="Aptos"/>
            <w:sz w:val="18"/>
            <w:szCs w:val="18"/>
          </w:rPr>
          <w:t xml:space="preserve">OEPM — Búsquedas retrospectivas e informes de antecedentes</w:t>
        </w:r>
      </w:hyperlink>
    </w:p>
    <w:p>
      <w:pPr>
        <w:spacing w:after="140" w:before="0" w:line="276"/>
      </w:pPr>
      <w:hyperlink w:history="1" r:id="rIdobtzqp434fsm7euvichnp">
        <w:r>
          <w:rPr>
            <w:rStyle w:val="Hyperlink"/>
            <w:rFonts w:ascii="Aptos" w:cs="Aptos" w:eastAsia="Aptos" w:hAnsi="Aptos"/>
            <w:sz w:val="18"/>
            <w:szCs w:val="18"/>
          </w:rPr>
          <w:t xml:space="preserve">OEPM — Diseño industrial</w:t>
        </w:r>
      </w:hyperlink>
    </w:p>
    <w:p>
      <w:pPr>
        <w:spacing w:after="140" w:before="0" w:line="276"/>
      </w:pPr>
      <w:hyperlink w:history="1" r:id="rIdg_zzys0h4xchl18efmksp">
        <w:r>
          <w:rPr>
            <w:rStyle w:val="Hyperlink"/>
            <w:rFonts w:ascii="Aptos" w:cs="Aptos" w:eastAsia="Aptos" w:hAnsi="Aptos"/>
            <w:sz w:val="18"/>
            <w:szCs w:val="18"/>
          </w:rPr>
          <w:t xml:space="preserve">EUIPO — Diseños de la Unión Europea</w:t>
        </w:r>
      </w:hyperlink>
    </w:p>
    <w:sectPr>
      <w:headerReference w:type="default" r:id="rId7"/>
      <w:footerReference w:type="default" r:id="rId8"/>
      <w:pgSz w:w="11906" w:h="16838" w:orient="portrait"/>
      <w:pgMar w:top="10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right"/>
    </w:pPr>
    <w:r>
      <w:rPr>
        <w:rFonts w:ascii="Aptos" w:cs="Aptos" w:eastAsia="Aptos" w:hAnsi="Aptos"/>
        <w:color w:val="666666"/>
        <w:sz w:val="16"/>
        <w:szCs w:val="16"/>
      </w:rPr>
      <w:t xml:space="preserve">Confidencial · Documento de trabajo</w:t>
    </w:r>
    <w:r>
      <w:rPr>
        <w:rFonts w:ascii="Aptos" w:cs="Aptos" w:eastAsia="Aptos" w:hAnsi="Aptos"/>
        <w:color w:val="666666"/>
        <w:sz w:val="16"/>
        <w:szCs w:val="16"/>
      </w:rPr>
      <w:t xml:space="preserve">                         Página </w:t>
    </w:r>
    <w:r>
      <w:rPr>
        <w:rFonts w:ascii="Aptos" w:cs="Aptos" w:eastAsia="Aptos" w:hAnsi="Aptos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jc w:val="left"/>
    </w:pPr>
    <w:r>
      <w:rPr>
        <w:rFonts w:ascii="Aptos" w:cs="Aptos" w:eastAsia="Aptos" w:hAnsi="Aptos"/>
        <w:color w:val="666666"/>
        <w:sz w:val="16"/>
        <w:szCs w:val="16"/>
      </w:rPr>
      <w:t xml:space="preserve">SALVI · Informe de Propiedad Intelectual y Patentes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22222"/>
        <w:sz w:val="20"/>
        <w:szCs w:val="20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gdqb0etbcbveajwcwmdb" Type="http://schemas.openxmlformats.org/officeDocument/2006/relationships/hyperlink" Target="https://www.oepm.es/es/conoce-la-propiedad-industrial/informacion-general/que-es-la-PI-y-que-se-puede-proteger/" TargetMode="External"/><Relationship Id="rIdkbcxrukpx7z1spoag2baf" Type="http://schemas.openxmlformats.org/officeDocument/2006/relationships/hyperlink" Target="https://www.oepm.es/cs/OEPMSite/contenidos/Folletos/FOLLETO_3_PATENTAR_SOFTWARE/017-12_EPO_software_web.html" TargetMode="External"/><Relationship Id="rIdgyfhytt43vn4t0cdlx_ud" Type="http://schemas.openxmlformats.org/officeDocument/2006/relationships/hyperlink" Target="https://www.epo.org/en/legal/guidelines-epc/2025/g_ii_3_6.html" TargetMode="External"/><Relationship Id="rIdevgot1qmcznq5lr-pm1e0" Type="http://schemas.openxmlformats.org/officeDocument/2006/relationships/hyperlink" Target="https://www.epo.org/en/legal/guidelines-epc/2025/f_iv_3_9.html" TargetMode="External"/><Relationship Id="rIdk4svp2ji3sbseaidrr3yg" Type="http://schemas.openxmlformats.org/officeDocument/2006/relationships/hyperlink" Target="https://www.boe.es/eli/es/rdlg/1996/04/12/1/con/20200708" TargetMode="External"/><Relationship Id="rIdmystre98mmlzk9xnqtijs" Type="http://schemas.openxmlformats.org/officeDocument/2006/relationships/hyperlink" Target="https://boe.es/buscar/act.php?id=BOE-A-2019-2364&amp;lang=es&amp;p=20190221&amp;tn=2" TargetMode="External"/><Relationship Id="rIdqrjdbziwhfiu8g4sischh" Type="http://schemas.openxmlformats.org/officeDocument/2006/relationships/hyperlink" Target="https://www.oepm.es/es/preguntas-frecuentes/index.html?modalidadFaq=modalidad.3&amp;searchPage=19&amp;temas=&amp;tramitesFaq=" TargetMode="External"/><Relationship Id="rIdvqmqkr3wuqmnsq__4wnoi" Type="http://schemas.openxmlformats.org/officeDocument/2006/relationships/hyperlink" Target="https://www.oepm.es/es/informacion-tecnologica/consultoria-a-medida/busquedas-retrospectiva/" TargetMode="External"/><Relationship Id="rIdobtzqp434fsm7euvichnp" Type="http://schemas.openxmlformats.org/officeDocument/2006/relationships/hyperlink" Target="https://www.oepm.es/cs/OEPMSite/contenidos/NORMATIVA/NormasSobreDisenio/NSDI_Nacionales/Ley_20_2003_7_julio_ProtecJuricaDisIndu.htm" TargetMode="External"/><Relationship Id="rIdg_zzys0h4xchl18efmksp" Type="http://schemas.openxmlformats.org/officeDocument/2006/relationships/hyperlink" Target="https://www.euipo.europa.eu/en/designs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Propiedad Intelectual y Patentes — Ecosistema Digital SALVI</dc:title>
  <dc:creator>SALVI</dc:creator>
  <dc:description>Documento de trabajo para agente de propiedad industrial e intelectual.</dc:description>
  <cp:lastModifiedBy>Un-named</cp:lastModifiedBy>
  <cp:revision>1</cp:revision>
  <dcterms:created xsi:type="dcterms:W3CDTF">2026-07-28T17:07:11.583Z</dcterms:created>
  <dcterms:modified xsi:type="dcterms:W3CDTF">2026-07-28T17:07:11.586Z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