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2F6B8A"/>
          <w:sz w:val="24"/>
        </w:rPr>
        <w:t>LUXSTUDIO · MOTOR DE TÚNELES</w:t>
      </w:r>
    </w:p>
    <w:p>
      <w:pPr>
        <w:pStyle w:val="Title"/>
        <w:jc w:val="center"/>
      </w:pPr>
      <w:r>
        <w:t>Especificación técnica para el nuevo motor de eficiencia Aphex</w:t>
      </w:r>
    </w:p>
    <w:p>
      <w:pPr>
        <w:jc w:val="center"/>
      </w:pPr>
      <w:r>
        <w:rPr>
          <w:i/>
          <w:color w:val="505050"/>
          <w:sz w:val="26"/>
        </w:rPr>
        <w:t>LUXEON 5050 HE Plus · cálculo por flujo, corriente, tensión y temperatura de soldadura (Ts)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F4E79"/>
                <w:sz w:val="24"/>
              </w:rPr>
              <w:t>Documento de implementación para Claude</w:t>
            </w:r>
          </w:p>
          <w:p>
            <w:pPr>
              <w:jc w:val="center"/>
            </w:pPr>
            <w:r>
              <w:t>Versión consolidada con los criterios térmicos definitivos: cálculo con Ts, límite Ts ≤ 90 °C, sin penalización adicional por Tj y driver alojado en caja independiente.</w:t>
            </w:r>
          </w:p>
        </w:tc>
      </w:tr>
    </w:tbl>
    <w:p/>
    <w:p>
      <w:pPr>
        <w:jc w:val="center"/>
      </w:pPr>
      <w:r>
        <w:rPr>
          <w:b/>
        </w:rPr>
        <w:t>Salvi Lighting · Salvi Studio / LuxStudio</w:t>
      </w:r>
    </w:p>
    <w:p>
      <w:pPr>
        <w:jc w:val="center"/>
      </w:pPr>
      <w:r>
        <w:rPr>
          <w:color w:val="5A5A5A"/>
        </w:rPr>
        <w:t>Julio de 2026</w:t>
      </w:r>
    </w:p>
    <w:p>
      <w:r>
        <w:br w:type="page"/>
      </w:r>
    </w:p>
    <w:p>
      <w:pPr>
        <w:pStyle w:val="Heading1"/>
      </w:pPr>
      <w:r>
        <w:t>0. Cambios definitivos respecto a la versión anterior</w:t>
      </w:r>
    </w:p>
    <w:p>
      <w:pPr>
        <w:pStyle w:val="ListBullet"/>
      </w:pPr>
      <w:r>
        <w:t>La resistencia térmica cuerpo–ambiente de Aphex M se fija en 0,077 °C/W.</w:t>
      </w:r>
    </w:p>
    <w:p>
      <w:pPr>
        <w:pStyle w:val="ListBullet"/>
      </w:pPr>
      <w:r>
        <w:t>El motor trabajará con la temperatura de soldadura o solder point, Ts, como temperatura térmica de control de la luminaria.</w:t>
      </w:r>
    </w:p>
    <w:p>
      <w:pPr>
        <w:pStyle w:val="ListBullet"/>
      </w:pPr>
      <w:r>
        <w:t>No se aplicará una penalización adicional de flujo por temperatura de unión Tj. El efecto térmico se controlará mediante Ts y el límite del sistema óptico.</w:t>
      </w:r>
    </w:p>
    <w:p>
      <w:pPr>
        <w:pStyle w:val="ListBullet"/>
      </w:pPr>
      <w:r>
        <w:t>No se permitirá ningún punto de funcionamiento con Ts superior a 90 °C, porque las lentes de PMMA constituyen el límite térmico del conjunto aunque el LED soporte temperaturas superiores.</w:t>
      </w:r>
    </w:p>
    <w:p>
      <w:pPr>
        <w:pStyle w:val="ListBullet"/>
      </w:pPr>
      <w:r>
        <w:t>Las pérdidas eléctricas del driver no se sumarán a la carga térmica de la luminaria, porque el driver está alojado en una caja independiente.</w:t>
      </w:r>
    </w:p>
    <w:p>
      <w:pPr>
        <w:pStyle w:val="ListBullet"/>
      </w:pPr>
      <w:r>
        <w:t>La potencia térmica usada para calcular Ts será exclusivamente la potencia DC disipada por los LEDs dentro del cuerpo óptico, según el modelo conservador definido en este documento.</w:t>
      </w:r>
    </w:p>
    <w:p>
      <w:pPr>
        <w:pStyle w:val="Heading1"/>
      </w:pPr>
      <w:r>
        <w:t>1. Objetivo general</w:t>
      </w:r>
    </w:p>
    <w:p>
      <w:r>
        <w:t>Modificar el motor fotométrico y de selección de luminarias de LuxStudio – módulo de túneles para sustituir las tablas cerradas de potencia y flujo de las luminarias Aphex por un modelo paramétrico basado en el LED, la corriente, la tensión, la temperatura de soldadura y las pérdidas ópticas y eléctricas.</w:t>
      </w:r>
    </w:p>
    <w:p>
      <w:pPr>
        <w:pStyle w:val="ListBullet"/>
      </w:pPr>
      <w:r>
        <w:t>Calcular la corriente por LED necesaria para alcanzar el flujo solicitado.</w:t>
      </w:r>
    </w:p>
    <w:p>
      <w:pPr>
        <w:pStyle w:val="ListBullet"/>
      </w:pPr>
      <w:r>
        <w:t>Calcular la tensión directa y la potencia DC del conjunto LED.</w:t>
      </w:r>
    </w:p>
    <w:p>
      <w:pPr>
        <w:pStyle w:val="ListBullet"/>
      </w:pPr>
      <w:r>
        <w:t>Calcular Ts a partir de la potencia LED y la resistencia térmica del cuerpo.</w:t>
      </w:r>
    </w:p>
    <w:p>
      <w:pPr>
        <w:pStyle w:val="ListBullet"/>
      </w:pPr>
      <w:r>
        <w:t>Calcular el flujo útil de salida y la eficacia de la luminaria.</w:t>
      </w:r>
    </w:p>
    <w:p>
      <w:pPr>
        <w:pStyle w:val="ListBullet"/>
      </w:pPr>
      <w:r>
        <w:t>Calcular la potencia absorbida de red teniendo en cuenta el rendimiento del driver.</w:t>
      </w:r>
    </w:p>
    <w:p>
      <w:pPr>
        <w:pStyle w:val="ListBullet"/>
      </w:pPr>
      <w:r>
        <w:t>Seleccionar automáticamente la variante Aphex más pequeña que cumpla los requisitos fotométricos, eléctricos y térmicos.</w:t>
      </w:r>
    </w:p>
    <w:p>
      <w:pPr>
        <w:pStyle w:val="Heading1"/>
      </w:pPr>
      <w:r>
        <w:t>2. LED de referencia y alcance</w:t>
      </w:r>
    </w:p>
    <w:p>
      <w:r>
        <w:t xml:space="preserve">La primera implementación utilizará exclusivamente el LED </w:t>
      </w:r>
      <w:r>
        <w:rPr>
          <w:b/>
        </w:rPr>
        <w:t>Lumileds LUXEON 5050 HE Plus – 6 V</w:t>
      </w:r>
    </w:p>
    <w:p>
      <w:pPr>
        <w:pStyle w:val="ListBullet"/>
      </w:pPr>
      <w:r>
        <w:t>No mezclar las curvas de LUXEON 5050 Round LES, Square LES o HE con la variante HE Plus, salvo cuando el datasheet declare explícitamente una curva común aplicable al HE Plus.</w:t>
      </w:r>
    </w:p>
    <w:p>
      <w:pPr>
        <w:pStyle w:val="ListBullet"/>
      </w:pPr>
      <w:r>
        <w:t>CRI disponibles en la interfaz: 70 y 80.</w:t>
      </w:r>
    </w:p>
    <w:p>
      <w:pPr>
        <w:pStyle w:val="ListBullet"/>
      </w:pPr>
      <w:r>
        <w:t>CCT disponibles: 2200 K, 2700 K, 3000 K, 4000 K y 5000 K.</w:t>
      </w:r>
    </w:p>
    <w:p>
      <w:pPr>
        <w:pStyle w:val="ListBullet"/>
      </w:pPr>
      <w:r>
        <w:t>La arquitectura de datos debe quedar preparada para añadir CRI 90, otros CCT, otros LEDs y nuevas familias de luminaria.</w:t>
      </w:r>
    </w:p>
    <w:p>
      <w:pPr>
        <w:pStyle w:val="Heading1"/>
      </w:pPr>
      <w:r>
        <w:t>3. Separación entre fotometría, flujo y potencia</w:t>
      </w:r>
    </w:p>
    <w:p>
      <w:pPr>
        <w:pStyle w:val="Heading2"/>
      </w:pPr>
      <w:r>
        <w:t>3.1 Distribución espacial</w:t>
      </w:r>
    </w:p>
    <w:p>
      <w:r>
        <w:t>Los archivos LDT F151, F2MD y F2M2 definirán exclusivamente la distribución espacial de la luz. El flujo total del LDT no fijará la potencia ni el flujo operativo de la luminaria.</w:t>
      </w:r>
    </w:p>
    <w:p>
      <w:pPr>
        <w:pStyle w:val="ListBullet"/>
      </w:pPr>
      <w:r>
        <w:t>Normalizar internamente cada fotometría a 1.000 lm o a flujo unitario.</w:t>
      </w:r>
    </w:p>
    <w:p>
      <w:pPr>
        <w:pStyle w:val="ListBullet"/>
      </w:pPr>
      <w:r>
        <w:t>Conservar la matriz de intensidades normalizada.</w:t>
      </w:r>
    </w:p>
    <w:p>
      <w:pPr>
        <w:pStyle w:val="ListBullet"/>
      </w:pPr>
      <w:r>
        <w:t>Escalar la matriz al flujo útil calculado por el nuevo motor.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Ireal(C,γ) = Inormalizada(C,γ) × Φlum / 1000</w:t>
      </w:r>
    </w:p>
    <w:p>
      <w:pPr>
        <w:pStyle w:val="Heading2"/>
      </w:pPr>
      <w:r>
        <w:t>3.2 Flujo y potencia</w:t>
      </w:r>
    </w:p>
    <w:p>
      <w:r>
        <w:t>El flujo y la potencia se calcularán a partir de CCT, CRI, corriente, tensión directa, número de LEDs, Ts, pérdidas ópticas, rendimiento del driver y límites de cada variante Aphex.</w:t>
      </w:r>
    </w:p>
    <w:p>
      <w:pPr>
        <w:pStyle w:val="Heading1"/>
      </w:pPr>
      <w:r>
        <w:t>4. Datos nominales del LUXEON 5050 HE Plus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67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1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Tensión nominal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 V</w:t>
            </w:r>
          </w:p>
        </w:tc>
      </w:tr>
      <w:t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Corriente nominal de referencia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640 mA</w:t>
            </w:r>
          </w:p>
        </w:tc>
      </w:tr>
      <w:t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Tensión directa típica a 25 °C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5,85 V</w:t>
            </w:r>
          </w:p>
        </w:tc>
      </w:tr>
      <w:t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Coeficiente térmico de Vf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−3 mV/°C</w:t>
            </w:r>
          </w:p>
        </w:tc>
      </w:tr>
      <w:t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Resistencia térmica unión–solder pad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1,10 °C/W</w:t>
            </w:r>
          </w:p>
        </w:tc>
      </w:tr>
      <w:t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Corriente máxima DC absoluta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1.200 mA</w:t>
            </w:r>
          </w:p>
        </w:tc>
      </w:tr>
      <w:t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Temperatura máxima de unión del LED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125 °C</w:t>
            </w:r>
          </w:p>
        </w:tc>
      </w:tr>
      <w:t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Temperatura térmica de control del sistema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Ts</w:t>
            </w:r>
          </w:p>
        </w:tc>
      </w:tr>
      <w:tr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Límite de diseño de Ts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90 °C máximo</w:t>
            </w:r>
          </w:p>
        </w:tc>
      </w:tr>
    </w:tbl>
    <w:p>
      <w:pPr>
        <w:spacing w:after="40"/>
      </w:pPr>
    </w:p>
    <w:p>
      <w:r>
        <w:t>La temperatura máxima de unión del LED no será el criterio operativo principal. El límite efectivo del producto será Ts ≤ 90 °C por protección de las lentes de PMMA.</w:t>
      </w:r>
    </w:p>
    <w:p>
      <w:pPr>
        <w:pStyle w:val="Heading1"/>
      </w:pPr>
      <w:r>
        <w:t>5. Rendimiento nominal por CCT y CRI</w:t>
      </w:r>
    </w:p>
    <w:p>
      <w:pPr>
        <w:pStyle w:val="Heading2"/>
      </w:pPr>
      <w:r>
        <w:t>5.1 CRI 70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CCT</w:t>
            </w:r>
          </w:p>
        </w:tc>
        <w:tc>
          <w:tcPr>
            <w:tcW w:type="dxa" w:w="36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Flujo típico por LED</w:t>
            </w:r>
          </w:p>
        </w:tc>
        <w:tc>
          <w:tcPr>
            <w:tcW w:type="dxa" w:w="31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Eficacia típica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2200 K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626 lm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167 lm/W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2700 K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687 lm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183 lm/W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3000 K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708 lm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189 lm/W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4000 K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746 lm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199 lm/W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5000 K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737 lm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197 lm/W</w:t>
            </w:r>
          </w:p>
        </w:tc>
      </w:tr>
    </w:tbl>
    <w:p>
      <w:pPr>
        <w:spacing w:after="40"/>
      </w:pPr>
    </w:p>
    <w:p>
      <w:pPr>
        <w:pStyle w:val="Heading2"/>
      </w:pPr>
      <w:r>
        <w:t>5.2 CRI 80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CCT</w:t>
            </w:r>
          </w:p>
        </w:tc>
        <w:tc>
          <w:tcPr>
            <w:tcW w:type="dxa" w:w="36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Flujo típico por LED</w:t>
            </w:r>
          </w:p>
        </w:tc>
        <w:tc>
          <w:tcPr>
            <w:tcW w:type="dxa" w:w="31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Eficacia típica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2200 K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541 lm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144 lm/W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2700 K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624 lm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167 lm/W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3000 K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645 lm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172 lm/W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4000 K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684 lm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183 lm/W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5000 K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690 lm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184 lm/W</w:t>
            </w:r>
          </w:p>
        </w:tc>
      </w:tr>
    </w:tbl>
    <w:p>
      <w:pPr>
        <w:spacing w:after="40"/>
      </w:pPr>
    </w:p>
    <w:p>
      <w:pPr>
        <w:pStyle w:val="Heading1"/>
      </w:pPr>
      <w:r>
        <w:t>6. Modelización de CCT y CRI</w:t>
      </w:r>
    </w:p>
    <w:p>
      <w:pPr>
        <w:pStyle w:val="ListBullet"/>
      </w:pPr>
      <w:r>
        <w:t>Crear una curva cuadrática de mínimos cuadrados independiente para CRI 70 y CRI 80.</w:t>
      </w:r>
    </w:p>
    <w:p>
      <w:pPr>
        <w:pStyle w:val="ListBullet"/>
      </w:pPr>
      <w:r>
        <w:t>Cuando el CCT coincida con uno de los cinco valores soportados, utilizar siempre el dato tabulado exacto.</w:t>
      </w:r>
    </w:p>
    <w:p>
      <w:pPr>
        <w:pStyle w:val="ListBullet"/>
      </w:pPr>
      <w:r>
        <w:t>Usar la curva únicamente para interpolaciones futuras entre valores de CCT.</w:t>
      </w:r>
    </w:p>
    <w:p>
      <w:pPr>
        <w:pStyle w:val="ListBullet"/>
      </w:pPr>
      <w:r>
        <w:t>No extrapolar fuera de 2200–5000 K.</w:t>
      </w:r>
    </w:p>
    <w:p>
      <w:pPr>
        <w:pStyle w:val="ListBullet"/>
      </w:pPr>
      <w:r>
        <w:t>No interpolar entre CRI 70 y CRI 80 en la interfaz estándar; usar la tabla correspondiente al CRI seleccionado.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Φref(CCT, CRI) = aCRI·CCT² + bCRI·CCT + cCRI</w:t>
      </w:r>
    </w:p>
    <w:p>
      <w:pPr>
        <w:pStyle w:val="Heading1"/>
      </w:pPr>
      <w:r>
        <w:t>7. Curva de flujo frente a corriente</w:t>
      </w:r>
    </w:p>
    <w:p>
      <w:r>
        <w:t>Digitalizar la curva normalizada de flujo frente a corriente aplicable al LUXEON 5050 HE Plus de 6 V y almacenarla como puntos versionados. Ajustar inicialmente una cuadrática, conservando la posibilidad de sustituirla por PCHIP si el error supera los límites definidos.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FI(I) = aI·I² + bI·I + cI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FI(0,640 A) = 1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ΦLED(I,CCT,CRI) = Φref(CCT,CRI) × FI(I)</w:t>
      </w:r>
    </w:p>
    <w:p>
      <w:pPr>
        <w:pStyle w:val="ListBullet"/>
      </w:pPr>
      <w:r>
        <w:t>No permitir corrientes negativas.</w:t>
      </w:r>
    </w:p>
    <w:p>
      <w:pPr>
        <w:pStyle w:val="ListBullet"/>
      </w:pPr>
      <w:r>
        <w:t>No permitir corrientes superiores a 1.200 mA.</w:t>
      </w:r>
    </w:p>
    <w:p>
      <w:pPr>
        <w:pStyle w:val="ListBullet"/>
      </w:pPr>
      <w:r>
        <w:t>Definir un límite recomendado configurable inferior al máximo absoluto.</w:t>
      </w:r>
    </w:p>
    <w:p>
      <w:pPr>
        <w:pStyle w:val="ListBullet"/>
      </w:pPr>
      <w:r>
        <w:t>Las soluciones por encima del límite recomendado no se seleccionarán automáticamente.</w:t>
      </w:r>
    </w:p>
    <w:p>
      <w:pPr>
        <w:pStyle w:val="Heading1"/>
      </w:pPr>
      <w:r>
        <w:t>8. Curva tensión–corriente</w:t>
      </w:r>
    </w:p>
    <w:p>
      <w:r>
        <w:t>Digitalizar la curva específica de tensión directa del HE Plus y convertirla a una función Vf = f(I).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Vf,25(I) = aV·I² + bV·I + cV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Vf(I,Ts) = Vf,25(I) − 0,003·(Ts − 25)</w:t>
      </w:r>
    </w:p>
    <w:p>
      <w:r>
        <w:t>Para la corrección de tensión se empleará Ts como aproximación térmica operativa. No se calculará una penalización adicional de flujo por Tj.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PLED,unit = I × Vf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PLED,total = NLED × I × Vf</w:t>
      </w:r>
    </w:p>
    <w:p>
      <w:pPr>
        <w:pStyle w:val="Heading1"/>
      </w:pPr>
      <w:r>
        <w:t>9. Modelo térmico basado en Ts</w:t>
      </w:r>
    </w:p>
    <w:p>
      <w:pPr>
        <w:pStyle w:val="Heading2"/>
      </w:pPr>
      <w:r>
        <w:t>9.1 Resistencias térmicas cuerpo–ambiente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Familia</w:t>
            </w:r>
          </w:p>
        </w:tc>
        <w:tc>
          <w:tcPr>
            <w:tcW w:type="dxa" w:w="619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Rθ cuerpo–ambiente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Aphex S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0,1088 °C/W (mostrar 0,11)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Aphex M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0,077 °C/W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Aphex L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0,0595 °C/W (mostrar 0,060)</w:t>
            </w:r>
          </w:p>
        </w:tc>
      </w:tr>
    </w:tbl>
    <w:p>
      <w:pPr>
        <w:spacing w:after="40"/>
      </w:pPr>
    </w:p>
    <w:p>
      <w:pPr>
        <w:pStyle w:val="Heading2"/>
      </w:pPr>
      <w:r>
        <w:t>9.2 Ecuación térmica</w:t>
      </w:r>
    </w:p>
    <w:p>
      <w:r>
        <w:t>La temperatura de soldadura se calculará a partir de la temperatura ambiente y de la potencia DC total de los LEDs alojados en el cuerpo óptico: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Ts = Ta + Rθ,lum × PLED,total</w:t>
      </w:r>
    </w:p>
    <w:p>
      <w:pPr>
        <w:pStyle w:val="ListBullet"/>
      </w:pPr>
      <w:r>
        <w:t>No incluir las pérdidas del driver en la carga térmica de la luminaria.</w:t>
      </w:r>
    </w:p>
    <w:p>
      <w:pPr>
        <w:pStyle w:val="ListBullet"/>
      </w:pPr>
      <w:r>
        <w:t>El driver está instalado en una caja independiente y sus pérdidas se disipan fuera del cuerpo óptico.</w:t>
      </w:r>
    </w:p>
    <w:p>
      <w:pPr>
        <w:pStyle w:val="ListBullet"/>
      </w:pPr>
      <w:r>
        <w:t>No utilizar la potencia absorbida de red para calcular Ts.</w:t>
      </w:r>
    </w:p>
    <w:p>
      <w:pPr>
        <w:pStyle w:val="ListBullet"/>
      </w:pPr>
      <w:r>
        <w:t>El límite duro de validez será Ts ≤ 90 °C.</w:t>
      </w:r>
    </w:p>
    <w:p>
      <w:pPr>
        <w:pStyle w:val="ListBullet"/>
      </w:pPr>
      <w:r>
        <w:t>Cuando Ts calculada sea superior a 90 °C, la solución se marcará como INVALID y se descartará automáticamente.</w:t>
      </w:r>
    </w:p>
    <w:p>
      <w:pPr>
        <w:pStyle w:val="Heading2"/>
      </w:pPr>
      <w:r>
        <w:t>9.3 No aplicación de penalización por Tj</w:t>
      </w:r>
    </w:p>
    <w:p>
      <w:r>
        <w:t>El motor no aplicará la curva de reducción de flujo frente a temperatura de unión. Se desprecia esa pérdida de rendimiento en esta versión. El flujo del LED dependerá de CCT, CRI y corriente; la temperatura se usará como restricción de diseño y para la corrección de Vf.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ΦLED = Φref(CCT,CRI) × FI(I)</w:t>
      </w:r>
    </w:p>
    <w:p>
      <w:pPr>
        <w:pStyle w:val="Heading1"/>
      </w:pPr>
      <w:r>
        <w:t>10. Pérdidas ópticas y eléctricas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60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30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Rendimiento</w:t>
            </w:r>
          </w:p>
        </w:tc>
        <w:tc>
          <w:tcPr>
            <w:tcW w:type="dxa" w:w="432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Tratamiento térmico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Lente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95 %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Pérdida óptica; no modifica Ts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Vidrio ultrawhite antirreflex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97 %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Pérdida óptica; no modifica Ts</w:t>
            </w:r>
          </w:p>
        </w:tc>
      </w:tr>
      <w:tr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Driver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90 %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Afecta a la potencia de red; no se añade al calor de la luminaria</w:t>
            </w:r>
          </w:p>
        </w:tc>
      </w:tr>
    </w:tbl>
    <w:p>
      <w:pPr>
        <w:spacing w:after="40"/>
      </w:pPr>
    </w:p>
    <w:p>
      <w:pPr>
        <w:spacing w:after="120"/>
        <w:jc w:val="center"/>
      </w:pPr>
      <w:r>
        <w:rPr>
          <w:rFonts w:ascii="Cambria Math" w:hAnsi="Cambria Math"/>
          <w:sz w:val="22"/>
        </w:rPr>
        <w:t>ηóptica = 0,95 × 0,97 = 0,9215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Φlum = NLED × ΦLED × 0,9215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Pinput = PLED,total / 0,90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ηlum = Φlum / Pinput</w:t>
      </w:r>
    </w:p>
    <w:p>
      <w:pPr>
        <w:pStyle w:val="Heading1"/>
      </w:pPr>
      <w:r>
        <w:t>11. Nueva gama de modelos Aphex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223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Modelo</w:t>
            </w:r>
          </w:p>
        </w:tc>
        <w:tc>
          <w:tcPr>
            <w:tcW w:type="dxa" w:w="86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LEDs</w:t>
            </w:r>
          </w:p>
        </w:tc>
        <w:tc>
          <w:tcPr>
            <w:tcW w:type="dxa" w:w="2952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Driver</w:t>
            </w:r>
          </w:p>
        </w:tc>
        <w:tc>
          <w:tcPr>
            <w:tcW w:type="dxa" w:w="165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Pot. máx. luminaria</w:t>
            </w:r>
          </w:p>
        </w:tc>
        <w:tc>
          <w:tcPr>
            <w:tcW w:type="dxa" w:w="108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Ta ref.</w:t>
            </w:r>
          </w:p>
        </w:tc>
        <w:tc>
          <w:tcPr>
            <w:tcW w:type="dxa" w:w="136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Ts ref.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Aphex S 75W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OSRAM 75 W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75 W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35 °C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43,16 °C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Aphex S 100W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OSRAM 100 W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100 W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35 °C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45,88 °C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Aphex S 165W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OSRAM 165 W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165 W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35 °C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52,95 °C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Aphex S 240W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Inventronics EUR 240 W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240 W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35 °C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61,11 °C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Aphex S 300W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Inventronics EUR 320 W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320 W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35 °C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69,82 °C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Aphex M 200W × 2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 × Inventronics EUR 200 W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400 W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35 °C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65,77 °C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Aphex M 240W × 2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 × Inventronics EUR 240 W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480 W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35 °C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71,96 °C calc.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Aphex L 320W × 2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 × Inventronics EUR 320 W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640 W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35 °C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73,08 °C</w:t>
            </w:r>
          </w:p>
        </w:tc>
      </w:tr>
      <w:t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sz w:val="16"/>
              </w:rPr>
              <w:t>Aphex L 480W × 2</w:t>
            </w:r>
          </w:p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150</w:t>
            </w:r>
          </w:p>
        </w:tc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2 × Inventronics EUR 480 W</w:t>
            </w:r>
          </w:p>
        </w:tc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800 W</w:t>
            </w:r>
          </w:p>
        </w:tc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35 °C</w:t>
            </w:r>
          </w:p>
        </w:tc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sz w:val="16"/>
              </w:rPr>
              <w:t>82,59 °C</w:t>
            </w:r>
          </w:p>
        </w:tc>
      </w:tr>
    </w:tbl>
    <w:p>
      <w:pPr>
        <w:spacing w:after="40"/>
      </w:pPr>
    </w:p>
    <w:p>
      <w:r>
        <w:t>La denominación completa del modelo será obligatoria en la interfaz, los informes y los resultados. No volver a mostrar únicamente Aphex S, M o L.</w:t>
      </w:r>
    </w:p>
    <w:p>
      <w:pPr>
        <w:pStyle w:val="Heading1"/>
      </w:pPr>
      <w:r>
        <w:t>12. Observaciones específicas de catálogo</w:t>
      </w:r>
    </w:p>
    <w:p>
      <w:pPr>
        <w:pStyle w:val="ListBullet"/>
      </w:pPr>
      <w:r>
        <w:t>Aphex S 300W conserva ese nombre comercial, aunque el driver y el límite operativo indicado sean 320 W.</w:t>
      </w:r>
    </w:p>
    <w:p>
      <w:pPr>
        <w:pStyle w:val="ListBullet"/>
      </w:pPr>
      <w:r>
        <w:t>Aphex M 240W × 2 se configura inicialmente con 480 W y Ts de referencia calculada a partir de 0,077 °C/W.</w:t>
      </w:r>
    </w:p>
    <w:p>
      <w:pPr>
        <w:pStyle w:val="ListBullet"/>
      </w:pPr>
      <w:r>
        <w:t>Aphex L 480W × 2 dispone de 960 W nominales de driver, pero la luminaria se limita a 800 W.</w:t>
      </w:r>
    </w:p>
    <w:p>
      <w:pPr>
        <w:pStyle w:val="ListBullet"/>
      </w:pPr>
      <w:r>
        <w:t>Guardar por separado el nombre comercial, la potencia nominal total de drivers y la potencia máxima autorizada de la luminaria.</w:t>
      </w:r>
    </w:p>
    <w:p>
      <w:pPr>
        <w:pStyle w:val="Heading1"/>
      </w:pPr>
      <w:r>
        <w:t>13. Estructura de datos recomendada</w:t>
      </w:r>
    </w:p>
    <w:p>
      <w:r>
        <w:rPr>
          <w:b/>
        </w:rPr>
        <w:t>LuminaireVariant</w:t>
      </w:r>
    </w:p>
    <w:p>
      <w:r>
        <w:rPr>
          <w:rFonts w:ascii="Consolas" w:hAnsi="Consolas"/>
          <w:sz w:val="17"/>
        </w:rPr>
        <w:t>interface LuminaireVariant {</w:t>
        <w:br/>
        <w:t xml:space="preserve">  id: string;</w:t>
        <w:br/>
        <w:t xml:space="preserve">  commercialName: string;</w:t>
        <w:br/>
        <w:t xml:space="preserve">  family: "APHEX_S" | "APHEX_M" | "APHEX_L";</w:t>
        <w:br/>
        <w:t xml:space="preserve">  ledType: "LUXEON_5050_HE_PLUS_6V";</w:t>
        <w:br/>
        <w:t xml:space="preserve">  ledCount: number;</w:t>
        <w:br/>
        <w:t xml:space="preserve">  driverManufacturer: string;</w:t>
        <w:br/>
        <w:t xml:space="preserve">  driverModel: string;</w:t>
        <w:br/>
        <w:t xml:space="preserve">  driverCount: number;</w:t>
        <w:br/>
        <w:t xml:space="preserve">  driverRatedPowerEachW: number;</w:t>
        <w:br/>
        <w:t xml:space="preserve">  driverRatedPowerTotalW: number;</w:t>
        <w:br/>
        <w:t xml:space="preserve">  driverEfficiency: number;</w:t>
        <w:br/>
        <w:t xml:space="preserve">  luminaireMaxInputPowerW: number;</w:t>
        <w:br/>
        <w:t xml:space="preserve">  thermalResistanceBodyAmbientCPerW: number;</w:t>
        <w:br/>
        <w:t xml:space="preserve">  maxSolderPointTemperatureC: 90;</w:t>
        <w:br/>
        <w:t xml:space="preserve">  supportedOptics: string[];</w:t>
        <w:br/>
        <w:t xml:space="preserve">  supportedCctK: number[];</w:t>
        <w:br/>
        <w:t xml:space="preserve">  supportedCri: number[];</w:t>
        <w:br/>
        <w:t xml:space="preserve">  active: boolean;</w:t>
        <w:br/>
        <w:t xml:space="preserve">  version: number;</w:t>
        <w:br/>
        <w:t>}</w:t>
      </w:r>
    </w:p>
    <w:p>
      <w:pPr>
        <w:pStyle w:val="Heading1"/>
      </w:pPr>
      <w:r>
        <w:t>14. Definición de potencias y límites</w:t>
      </w:r>
    </w:p>
    <w:p>
      <w:pPr>
        <w:pStyle w:val="ListBullet"/>
      </w:pPr>
      <w:r>
        <w:t>PLED,total: potencia DC total suministrada a los LEDs.</w:t>
      </w:r>
    </w:p>
    <w:p>
      <w:pPr>
        <w:pStyle w:val="ListBullet"/>
      </w:pPr>
      <w:r>
        <w:t>Pinput: potencia absorbida de red.</w:t>
      </w:r>
    </w:p>
    <w:p>
      <w:pPr>
        <w:pStyle w:val="ListBullet"/>
      </w:pPr>
      <w:r>
        <w:t>Pdriver,rated: potencia nominal total del conjunto de drivers.</w:t>
      </w:r>
    </w:p>
    <w:p>
      <w:pPr>
        <w:pStyle w:val="ListBullet"/>
      </w:pPr>
      <w:r>
        <w:t>Plum,max: potencia máxima autorizada para la variante de luminaria.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Pinput = PLED,total / ηdriver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Pinput ≤ min(Pdriver,rated, Plum,max)</w:t>
      </w:r>
    </w:p>
    <w:p>
      <w:r>
        <w:t>La potencia usada en el cálculo térmico será PLED,total. Las pérdidas del driver no incrementarán Ts.</w:t>
      </w:r>
    </w:p>
    <w:p>
      <w:pPr>
        <w:pStyle w:val="Heading1"/>
      </w:pPr>
      <w:r>
        <w:t>15. Procedimiento de cálculo para un modelo</w:t>
      </w:r>
    </w:p>
    <w:p>
      <w:pPr>
        <w:pStyle w:val="ListNumber"/>
      </w:pPr>
      <w:r>
        <w:t>Recibir flujo útil requerido, modelo Aphex, óptica, CCT, CRI y temperatura ambiente.</w:t>
      </w:r>
    </w:p>
    <w:p>
      <w:pPr>
        <w:pStyle w:val="ListNumber"/>
      </w:pPr>
      <w:r>
        <w:t>Proponer una corriente candidata I.</w:t>
      </w:r>
    </w:p>
    <w:p>
      <w:pPr>
        <w:pStyle w:val="ListNumber"/>
      </w:pPr>
      <w:r>
        <w:t>Calcular Vf,25(I) con la curva digitalizada.</w:t>
      </w:r>
    </w:p>
    <w:p>
      <w:pPr>
        <w:pStyle w:val="ListNumber"/>
      </w:pPr>
      <w:r>
        <w:t>Calcular PLED,total = NLED × I × Vf.</w:t>
      </w:r>
    </w:p>
    <w:p>
      <w:pPr>
        <w:pStyle w:val="ListNumber"/>
      </w:pPr>
      <w:r>
        <w:t>Calcular Ts = Ta + Rθ,lum × PLED,total.</w:t>
      </w:r>
    </w:p>
    <w:p>
      <w:pPr>
        <w:pStyle w:val="ListNumber"/>
      </w:pPr>
      <w:r>
        <w:t>Corregir Vf por Ts mediante −3 mV/°C y repetir potencia y Ts hasta convergencia.</w:t>
      </w:r>
    </w:p>
    <w:p>
      <w:pPr>
        <w:pStyle w:val="ListNumber"/>
      </w:pPr>
      <w:r>
        <w:t>Rechazar inmediatamente el punto si Ts &gt; 90 °C.</w:t>
      </w:r>
    </w:p>
    <w:p>
      <w:pPr>
        <w:pStyle w:val="ListNumber"/>
      </w:pPr>
      <w:r>
        <w:t>Calcular ΦLED = Φref × FI(I), sin factor de reducción por Tj.</w:t>
      </w:r>
    </w:p>
    <w:p>
      <w:pPr>
        <w:pStyle w:val="ListNumber"/>
      </w:pPr>
      <w:r>
        <w:t>Calcular Φlum aplicando lente y vidrio.</w:t>
      </w:r>
    </w:p>
    <w:p>
      <w:pPr>
        <w:pStyle w:val="ListNumber"/>
      </w:pPr>
      <w:r>
        <w:t>Calcular Pinput aplicando el rendimiento del driver.</w:t>
      </w:r>
    </w:p>
    <w:p>
      <w:pPr>
        <w:pStyle w:val="ListNumber"/>
      </w:pPr>
      <w:r>
        <w:t>Calcular eficacias, márgenes y estado final.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|Ts(n) − Ts(n−1)| &lt; 0,01 °C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|Vf(n) − Vf(n−1)| &lt; 0,0001 V</w:t>
      </w:r>
    </w:p>
    <w:p>
      <w:r>
        <w:t>Máximo recomendado: 30 iteraciones. Si no converge, devolver error numérico y no aceptar la solución.</w:t>
      </w:r>
    </w:p>
    <w:p>
      <w:pPr>
        <w:pStyle w:val="Heading1"/>
      </w:pPr>
      <w:r>
        <w:t>16. Resolución inversa de la corriente</w:t>
      </w:r>
    </w:p>
    <w:p>
      <w:r>
        <w:t>El motor recibirá un flujo necesario y resolverá la corriente que satisface la ecuación:</w:t>
      </w:r>
    </w:p>
    <w:p>
      <w:pPr>
        <w:spacing w:after="120"/>
        <w:jc w:val="center"/>
      </w:pPr>
      <w:r>
        <w:rPr>
          <w:rFonts w:ascii="Cambria Math" w:hAnsi="Cambria Math"/>
          <w:sz w:val="22"/>
        </w:rPr>
        <w:t>g(I) = Φlum(I) − Φrequired = 0</w:t>
      </w:r>
    </w:p>
    <w:p>
      <w:pPr>
        <w:pStyle w:val="ListBullet"/>
      </w:pPr>
      <w:r>
        <w:t>Usar preferentemente el método de Brent; bisección como alternativa.</w:t>
      </w:r>
    </w:p>
    <w:p>
      <w:pPr>
        <w:pStyle w:val="ListBullet"/>
      </w:pPr>
      <w:r>
        <w:t>No usar Newton-Raphson como único método.</w:t>
      </w:r>
    </w:p>
    <w:p>
      <w:pPr>
        <w:pStyle w:val="ListBullet"/>
      </w:pPr>
      <w:r>
        <w:t>Limitar el rango por corriente máxima, potencia máxima y Ts máxima.</w:t>
      </w:r>
    </w:p>
    <w:p>
      <w:pPr>
        <w:pStyle w:val="ListBullet"/>
      </w:pPr>
      <w:r>
        <w:t>Criterio de convergencia de flujo: máximo entre 1 lm y 0,1 % del flujo requerido.</w:t>
      </w:r>
    </w:p>
    <w:p>
      <w:pPr>
        <w:pStyle w:val="Heading1"/>
      </w:pPr>
      <w:r>
        <w:t>17. Selección automática del modelo óptimo</w:t>
      </w:r>
    </w:p>
    <w:p>
      <w:pPr>
        <w:pStyle w:val="ListNumber"/>
      </w:pPr>
      <w:r>
        <w:t>Ordenar las variantes activas por capacidad creciente.</w:t>
      </w:r>
    </w:p>
    <w:p>
      <w:pPr>
        <w:pStyle w:val="ListNumber"/>
      </w:pPr>
      <w:r>
        <w:t>Resolver la corriente necesaria para cada variante.</w:t>
      </w:r>
    </w:p>
    <w:p>
      <w:pPr>
        <w:pStyle w:val="ListNumber"/>
      </w:pPr>
      <w:r>
        <w:t>Comprobar corriente, potencia, Ts, rango del driver y flujo alcanzable.</w:t>
      </w:r>
    </w:p>
    <w:p>
      <w:pPr>
        <w:pStyle w:val="ListNumber"/>
      </w:pPr>
      <w:r>
        <w:t>Descartar soluciones inválidas.</w:t>
      </w:r>
    </w:p>
    <w:p>
      <w:pPr>
        <w:pStyle w:val="ListNumber"/>
      </w:pPr>
      <w:r>
        <w:t>Seleccionar la solución válida de menor potencia instalada y menor tamaño de luminaria.</w:t>
      </w:r>
    </w:p>
    <w:p>
      <w:pPr>
        <w:pStyle w:val="ListNumber"/>
      </w:pPr>
      <w:r>
        <w:t>Evitar saltos grandes entre familias cuando una variante intermedia resuelva el punto con mejor ajuste.</w:t>
      </w:r>
    </w:p>
    <w:p>
      <w:r>
        <w:t>Orden inicial de evaluación: Aphex S 75W, S 100W, S 165W, S 240W, S 300W, M 200W × 2, M 240W × 2, L 320W × 2 y L 480W × 2.</w:t>
      </w:r>
    </w:p>
    <w:p>
      <w:pPr>
        <w:pStyle w:val="Heading1"/>
      </w:pPr>
      <w:r>
        <w:t>18. Regulación y variantes de flujo</w:t>
      </w:r>
    </w:p>
    <w:p>
      <w:r>
        <w:t>Para cada nivel de regulación se recalcularán corriente, tensión, potencia, Ts, flujo y eficacia. No se asumirá una relación lineal simple entre porcentaje de flujo y porcentaje de potencia.</w:t>
      </w:r>
    </w:p>
    <w:p>
      <w:pPr>
        <w:pStyle w:val="ListBullet"/>
      </w:pPr>
      <w:r>
        <w:t>100 %.</w:t>
      </w:r>
    </w:p>
    <w:p>
      <w:pPr>
        <w:pStyle w:val="ListBullet"/>
      </w:pPr>
      <w:r>
        <w:t>Nivel nocturno.</w:t>
      </w:r>
    </w:p>
    <w:p>
      <w:pPr>
        <w:pStyle w:val="ListBullet"/>
      </w:pPr>
      <w:r>
        <w:t>Nivel de emergencia.</w:t>
      </w:r>
    </w:p>
    <w:p>
      <w:pPr>
        <w:pStyle w:val="ListBullet"/>
      </w:pPr>
      <w:r>
        <w:t>Escalones de regulación.</w:t>
      </w:r>
    </w:p>
    <w:p>
      <w:pPr>
        <w:pStyle w:val="ListBullet"/>
      </w:pPr>
      <w:r>
        <w:t>Perfiles dinámicos.</w:t>
      </w:r>
    </w:p>
    <w:p>
      <w:pPr>
        <w:pStyle w:val="Heading1"/>
      </w:pPr>
      <w:r>
        <w:t>19. Salida del motor</w:t>
      </w:r>
    </w:p>
    <w:p>
      <w:r>
        <w:rPr>
          <w:rFonts w:ascii="Consolas" w:hAnsi="Consolas"/>
          <w:sz w:val="17"/>
        </w:rPr>
        <w:t>interface LuminaireOperatingPoint {</w:t>
        <w:br/>
        <w:t xml:space="preserve">  luminaireName: string;</w:t>
        <w:br/>
        <w:t xml:space="preserve">  opticId: string;</w:t>
        <w:br/>
        <w:t xml:space="preserve">  cctK: number;</w:t>
        <w:br/>
        <w:t xml:space="preserve">  cri: number;</w:t>
        <w:br/>
        <w:t xml:space="preserve">  requiredLuminaireFluxLm: number;</w:t>
        <w:br/>
        <w:t xml:space="preserve">  calculatedLuminaireFluxLm: number;</w:t>
        <w:br/>
        <w:t xml:space="preserve">  ledCount: number;</w:t>
        <w:br/>
        <w:t xml:space="preserve">  currentPerLedA: number;</w:t>
        <w:br/>
        <w:t xml:space="preserve">  voltagePerLedV: number;</w:t>
        <w:br/>
        <w:t xml:space="preserve">  totalLedPowerW: number;</w:t>
        <w:br/>
        <w:t xml:space="preserve">  inputPowerW: number;</w:t>
        <w:br/>
        <w:t xml:space="preserve">  ambientTemperatureC: number;</w:t>
        <w:br/>
        <w:t xml:space="preserve">  solderPointTemperatureC: number;</w:t>
        <w:br/>
        <w:t xml:space="preserve">  ledEfficacyLmW: number;</w:t>
        <w:br/>
        <w:t xml:space="preserve">  luminaireEfficacyLmW: number;</w:t>
        <w:br/>
        <w:t xml:space="preserve">  powerMarginW: number;</w:t>
        <w:br/>
        <w:t xml:space="preserve">  thermalMarginC: number;</w:t>
        <w:br/>
        <w:t xml:space="preserve">  status: "VALID" | "WARNING" | "INVALID";</w:t>
        <w:br/>
        <w:t xml:space="preserve">  warnings: string[];</w:t>
        <w:br/>
        <w:t xml:space="preserve">  calculationVersion: string;</w:t>
        <w:br/>
        <w:t>}</w:t>
      </w:r>
    </w:p>
    <w:p>
      <w:pPr>
        <w:pStyle w:val="Heading1"/>
      </w:pPr>
      <w:r>
        <w:t>20. Interfaz y trazabilidad</w:t>
      </w:r>
    </w:p>
    <w:p>
      <w:pPr>
        <w:pStyle w:val="ListBullet"/>
      </w:pPr>
      <w:r>
        <w:t>Mostrar siempre el nombre completo del modelo.</w:t>
      </w:r>
    </w:p>
    <w:p>
      <w:pPr>
        <w:pStyle w:val="ListBullet"/>
      </w:pPr>
      <w:r>
        <w:t>Mostrar óptica, CCT, CRI, flujo requerido y calculado, corriente, tensión, número de LEDs, potencia DC, potencia de red, Ta, Ts, eficacia LED, eficacia luminaria, margen de potencia y margen térmico.</w:t>
      </w:r>
    </w:p>
    <w:p>
      <w:pPr>
        <w:pStyle w:val="ListBullet"/>
      </w:pPr>
      <w:r>
        <w:t>Crear un desplegable “Detalle del punto de funcionamiento”.</w:t>
      </w:r>
    </w:p>
    <w:p>
      <w:pPr>
        <w:pStyle w:val="ListBullet"/>
      </w:pPr>
      <w:r>
        <w:t>Mostrar factores aplicados, iteraciones térmicas, límites comprobados y motivos de descarte de alternativas.</w:t>
      </w:r>
    </w:p>
    <w:p>
      <w:pPr>
        <w:pStyle w:val="ListBullet"/>
      </w:pPr>
      <w:r>
        <w:t>Registrar versión del motor, versión de curvas, fecha y parámetros de cálculo.</w:t>
      </w:r>
    </w:p>
    <w:p>
      <w:pPr>
        <w:pStyle w:val="Heading1"/>
      </w:pPr>
      <w:r>
        <w:t>21. Curvas y versionado</w:t>
      </w:r>
    </w:p>
    <w:p>
      <w:pPr>
        <w:pStyle w:val="ListBullet"/>
      </w:pPr>
      <w:r>
        <w:t>Almacenar los puntos digitalizados y los coeficientes de ajuste.</w:t>
      </w:r>
    </w:p>
    <w:p>
      <w:pPr>
        <w:pStyle w:val="ListBullet"/>
      </w:pPr>
      <w:r>
        <w:t>Identificar fabricante, familia, variante exacta, datasheet, revisión, figura de origen, rango válido, error RMS y error máximo.</w:t>
      </w:r>
    </w:p>
    <w:p>
      <w:pPr>
        <w:pStyle w:val="ListBullet"/>
      </w:pPr>
      <w:r>
        <w:t>Conservar la posibilidad de cambiar el método de ajuste sin modificar el núcleo del motor.</w:t>
      </w:r>
    </w:p>
    <w:p>
      <w:pPr>
        <w:pStyle w:val="ListBullet"/>
      </w:pPr>
      <w:r>
        <w:t>No leer ni digitalizar el PDF durante cada ejecución.</w:t>
      </w:r>
    </w:p>
    <w:p>
      <w:pPr>
        <w:pStyle w:val="Heading1"/>
      </w:pPr>
      <w:r>
        <w:t>22. Validación y pruebas obligatorias</w:t>
      </w:r>
    </w:p>
    <w:p>
      <w:pPr>
        <w:pStyle w:val="Heading2"/>
      </w:pPr>
      <w:r>
        <w:t>22.1 Pruebas nominales</w:t>
      </w:r>
    </w:p>
    <w:p>
      <w:pPr>
        <w:pStyle w:val="ListBullet"/>
      </w:pPr>
      <w:r>
        <w:t>A 640 mA y condiciones de referencia, 4000 K CRI 70 debe producir aproximadamente 746 lm por LED.</w:t>
      </w:r>
    </w:p>
    <w:p>
      <w:pPr>
        <w:pStyle w:val="ListBullet"/>
      </w:pPr>
      <w:r>
        <w:t>A 640 mA y condiciones de referencia, 4000 K CRI 80 debe producir aproximadamente 684 lm por LED.</w:t>
      </w:r>
    </w:p>
    <w:p>
      <w:pPr>
        <w:pStyle w:val="ListBullet"/>
      </w:pPr>
      <w:r>
        <w:t>Vf debe ser próxima a 5,85 V en el punto nominal.</w:t>
      </w:r>
    </w:p>
    <w:p>
      <w:pPr>
        <w:pStyle w:val="Heading2"/>
      </w:pPr>
      <w:r>
        <w:t>22.2 Pruebas térmicas</w:t>
      </w:r>
    </w:p>
    <w:p>
      <w:pPr>
        <w:pStyle w:val="ListBullet"/>
      </w:pPr>
      <w:r>
        <w:t>Verificar Ts con 25, 50, 100 y 150 LEDs.</w:t>
      </w:r>
    </w:p>
    <w:p>
      <w:pPr>
        <w:pStyle w:val="ListBullet"/>
      </w:pPr>
      <w:r>
        <w:t>Verificar que las pérdidas del driver no alteran Ts.</w:t>
      </w:r>
    </w:p>
    <w:p>
      <w:pPr>
        <w:pStyle w:val="ListBullet"/>
      </w:pPr>
      <w:r>
        <w:t>Verificar que cualquier Ts &gt; 90 °C invalida la solución.</w:t>
      </w:r>
    </w:p>
    <w:p>
      <w:pPr>
        <w:pStyle w:val="ListBullet"/>
      </w:pPr>
      <w:r>
        <w:t>Verificar los valores de referencia de cada variante a Ta = 35 °C.</w:t>
      </w:r>
    </w:p>
    <w:p>
      <w:pPr>
        <w:pStyle w:val="Heading2"/>
      </w:pPr>
      <w:r>
        <w:t>22.3 Pruebas de límites</w:t>
      </w:r>
    </w:p>
    <w:p>
      <w:pPr>
        <w:pStyle w:val="ListBullet"/>
      </w:pPr>
      <w:r>
        <w:t>Rechazar corriente &gt; 1.200 mA.</w:t>
      </w:r>
    </w:p>
    <w:p>
      <w:pPr>
        <w:pStyle w:val="ListBullet"/>
      </w:pPr>
      <w:r>
        <w:t>Rechazar potencia de entrada superior al límite del modelo.</w:t>
      </w:r>
    </w:p>
    <w:p>
      <w:pPr>
        <w:pStyle w:val="ListBullet"/>
      </w:pPr>
      <w:r>
        <w:t>Rechazar flujo imposible de alcanzar.</w:t>
      </w:r>
    </w:p>
    <w:p>
      <w:pPr>
        <w:pStyle w:val="ListBullet"/>
      </w:pPr>
      <w:r>
        <w:t>Rechazar CCT o CRI no soportados.</w:t>
      </w:r>
    </w:p>
    <w:p>
      <w:pPr>
        <w:pStyle w:val="ListBullet"/>
      </w:pPr>
      <w:r>
        <w:t>Rechazar uso de curvas fuera de rango.</w:t>
      </w:r>
    </w:p>
    <w:p>
      <w:pPr>
        <w:pStyle w:val="ListBullet"/>
      </w:pPr>
      <w:r>
        <w:t>Rechazar Ts &gt; 90 °C.</w:t>
      </w:r>
    </w:p>
    <w:p>
      <w:pPr>
        <w:pStyle w:val="Heading1"/>
      </w:pPr>
      <w:r>
        <w:t>23. Compatibilidad con proyectos anteriores</w:t>
      </w:r>
    </w:p>
    <w:p>
      <w:pPr>
        <w:pStyle w:val="ListBullet"/>
      </w:pPr>
      <w:r>
        <w:t>Mantener los resultados antiguos como legacyCalculation.</w:t>
      </w:r>
    </w:p>
    <w:p>
      <w:pPr>
        <w:pStyle w:val="ListBullet"/>
      </w:pPr>
      <w:r>
        <w:t>No recalcular silenciosamente proyectos cerrados.</w:t>
      </w:r>
    </w:p>
    <w:p>
      <w:pPr>
        <w:pStyle w:val="ListBullet"/>
      </w:pPr>
      <w:r>
        <w:t>Ofrecer conservar, duplicar y recalcular, o recalcular con confirmación expresa.</w:t>
      </w:r>
    </w:p>
    <w:p>
      <w:pPr>
        <w:pStyle w:val="ListBullet"/>
      </w:pPr>
      <w:r>
        <w:t>Registrar la versión del motor y la tabla de modelos utilizada.</w:t>
      </w:r>
    </w:p>
    <w:p>
      <w:pPr>
        <w:pStyle w:val="Heading1"/>
      </w:pPr>
      <w:r>
        <w:t>24. Criterios de aceptación de la implementación</w:t>
      </w:r>
    </w:p>
    <w:p>
      <w:pPr>
        <w:pStyle w:val="ListBullet"/>
      </w:pPr>
      <w:r>
        <w:t>Los LDT definen únicamente la distribución espacial.</w:t>
      </w:r>
    </w:p>
    <w:p>
      <w:pPr>
        <w:pStyle w:val="ListBullet"/>
      </w:pPr>
      <w:r>
        <w:t>El flujo y la potencia se calculan desde el LED y el punto de funcionamiento.</w:t>
      </w:r>
    </w:p>
    <w:p>
      <w:pPr>
        <w:pStyle w:val="ListBullet"/>
      </w:pPr>
      <w:r>
        <w:t>El motor trabaja con Ts y aplica un límite duro de 90 °C.</w:t>
      </w:r>
    </w:p>
    <w:p>
      <w:pPr>
        <w:pStyle w:val="ListBullet"/>
      </w:pPr>
      <w:r>
        <w:t>No se aplica reducción de flujo por Tj.</w:t>
      </w:r>
    </w:p>
    <w:p>
      <w:pPr>
        <w:pStyle w:val="ListBullet"/>
      </w:pPr>
      <w:r>
        <w:t>Las pérdidas del driver afectan a Pinput, pero no al calor de la luminaria.</w:t>
      </w:r>
    </w:p>
    <w:p>
      <w:pPr>
        <w:pStyle w:val="ListBullet"/>
      </w:pPr>
      <w:r>
        <w:t>La selección automática evalúa las nueve variantes Aphex.</w:t>
      </w:r>
    </w:p>
    <w:p>
      <w:pPr>
        <w:pStyle w:val="ListBullet"/>
      </w:pPr>
      <w:r>
        <w:t>Todos los resultados son trazables, versionados y reproducibles.</w:t>
      </w:r>
    </w:p>
    <w:p>
      <w:pPr>
        <w:pStyle w:val="ListBullet"/>
      </w:pPr>
      <w:r>
        <w:t>La arquitectura permite incorporar nuevos LEDs, drivers y luminarias sin reescribir el núcleo matemático.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Salvi Lighting · LuxStudio · Motor de eficiencia Aphex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4F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