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A3A6B"/>
          <w:sz w:val="44"/>
        </w:rPr>
        <w:t>SALVI TUNNEL ENGINE</w:t>
      </w:r>
    </w:p>
    <w:p>
      <w:pPr>
        <w:spacing w:before="40" w:after="40"/>
      </w:pPr>
      <w:r>
        <w:rPr>
          <w:color w:val="1A56B0"/>
          <w:sz w:val="28"/>
        </w:rPr>
        <w:t>Informe Técnico de Iluminación de Túneles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80"/>
      </w:pPr>
      <w:r>
        <w:rPr>
          <w:i/>
          <w:color w:val="555555"/>
          <w:sz w:val="19"/>
        </w:rPr>
        <w:t>Norma: CIE 88:2004 — Guide for the Lighting of Road Tunnels and Underpasses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Vista previa de informe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Tubo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T1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Longitud total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600.0 m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Velocidad de diseño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80.0 km/h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Tráfico de diseño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500 veh/h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Clasificación óptica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optically long</w:t>
            </w:r>
          </w:p>
        </w:tc>
      </w:tr>
      <w:tr>
        <w:tc>
          <w:tcPr>
            <w:tcW w:type="dxa" w:w="3402"/>
            <w:shd w:val="clear" w:color="auto" w:fill="D5E8F5"/>
          </w:tcPr>
          <w:p>
            <w:pPr>
              <w:jc w:val="left"/>
            </w:pPr>
            <w:r/>
            <w:r>
              <w:rPr>
                <w:b/>
                <w:sz w:val="20"/>
              </w:rPr>
              <w:t>Iluminación diurna</w:t>
            </w:r>
          </w:p>
        </w:tc>
        <w:tc>
          <w:tcPr>
            <w:tcW w:type="dxa" w:w="4535"/>
            <w:shd w:val="clear" w:color="auto" w:fill="D5E8F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normal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29/07/2026</w:t>
            </w:r>
          </w:p>
        </w:tc>
      </w:tr>
    </w:tbl>
    <w:p/>
    <w:p>
      <w:r>
        <w:rPr>
          <w:i/>
          <w:color w:val="888888"/>
          <w:sz w:val="16"/>
        </w:rPr>
        <w:t>Redactado con SALVI Tunnel Engine (STE) — Motor de cálculo conforme a CIE 88:2004.</w:t>
      </w:r>
    </w:p>
    <w:p/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1. Resumen de Validación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color w:val="1A7A3C"/>
                <w:sz w:val="20"/>
              </w:rPr>
              <w:t>CONFORME — Se cumplen el perfil CIE 88 y los criterios CIE 140 de todas las zonas verificadas.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Tubo / longitud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T1  /  600.0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Condición de diseño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SD 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4785.0 cd/m² · Lth 224.0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L20 3045.0 cd/m² · Lth 143.0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Interior / noche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 3.0 cd/m² · L noche 1.0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Instalación calculada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 luminarias · 8.2 kW instalados</w:t>
            </w:r>
          </w:p>
        </w:tc>
      </w:tr>
    </w:tbl>
    <w:p>
      <w:pPr>
        <w:spacing w:before="100"/>
      </w:pPr>
      <w:r>
        <w:rPr>
          <w:b/>
          <w:sz w:val="17"/>
        </w:rPr>
        <w:t xml:space="preserve">Condicionantes: </w:t>
      </w:r>
      <w:r>
        <w:rPr>
          <w:color w:val="9A4B00"/>
          <w:sz w:val="17"/>
        </w:rPr>
        <w:t>⚠️ Túnel bidireccional corto: layout truncado a Lth_A=140 m, Lth_B=140 m, Ltr_A=94 m, Ltr_B=66 m. · Salto de respaldo 'Cubierto'/'Crepuscular' = 9.7:1; considerar una escena intermedia. · Salto de respaldo 'Normal'/'Cubierto' = 3.7:1; considerar una escena intermedia.</w:t>
      </w:r>
    </w:p>
    <w:p>
      <w:pPr>
        <w:spacing w:before="280" w:after="80"/>
      </w:pPr>
      <w:r>
        <w:rPr>
          <w:b/>
          <w:color w:val="1A3A6B"/>
          <w:sz w:val="24"/>
        </w:rPr>
        <w:t>2. Datos de Partida y Alcance</w:t>
      </w:r>
    </w:p>
    <w:p>
      <w:pPr>
        <w:spacing w:before="80" w:after="80"/>
        <w:pBdr>
          <w:bottom w:val="single" w:sz="8" w:space="1" w:color="1A3A6B"/>
        </w:pBdr>
      </w:pPr>
    </w:p>
    <w:p>
      <w:pPr>
        <w:spacing w:before="160" w:after="80"/>
      </w:pPr>
      <w:r>
        <w:rPr>
          <w:b/>
          <w:color w:val="1A56B0"/>
          <w:sz w:val="21"/>
        </w:rPr>
        <w:t>Geometría, tráfico y explotación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Longitud del tubo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600.0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Calzada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10.5 m · 2 carriles de 3.5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Sección / altura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 · 5.5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Circulación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Two Way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Velocidad / distancia de parada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80.0 km/h · 140.0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Pendiente / fricción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0 % · μ=None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Tráfico de proyecto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 veh/h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Pavimento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before="160" w:after="80"/>
      </w:pPr>
      <w:r>
        <w:rPr>
          <w:b/>
          <w:color w:val="1A56B0"/>
          <w:sz w:val="21"/>
        </w:rPr>
        <w:t>Entorno y parámetros luminotécnicos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L20 / entorno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· Open Country Flat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Orientación / cielo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 · Clear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A: L20 / Lth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/ 224.0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Portal B: L20 / Lth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3045.0 / 143.0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de mantenimiento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Reflectancias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Paredes ρ=0.4 · Techo ρ=0.25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3. Criterios y Metodología</w:t>
      </w:r>
    </w:p>
    <w:p>
      <w:pPr>
        <w:spacing w:before="80" w:after="80"/>
        <w:pBdr>
          <w:bottom w:val="single" w:sz="8" w:space="1" w:color="1A3A6B"/>
        </w:pBdr>
      </w:pPr>
    </w:p>
    <w:p>
      <w:pPr>
        <w:pStyle w:val="ListBullet"/>
      </w:pPr>
      <w:r>
        <w:rPr>
          <w:sz w:val="18"/>
        </w:rPr>
        <w:t>La luminancia de adaptación se determina para cada portal con el método L20. A partir de ella se obtiene la luminancia de umbral y el perfil longitudinal exigido según CIE 88:2004.</w:t>
      </w:r>
    </w:p>
    <w:p>
      <w:pPr>
        <w:pStyle w:val="ListBullet"/>
      </w:pPr>
      <w:r>
        <w:rPr>
          <w:sz w:val="18"/>
        </w:rPr>
        <w:t>El tubo se divide en zonas de umbral, transición e interior. Cuando hay circulación bidireccional, ambos portales se calculan de forma independiente y se conserva el caso más desfavorable en cada comprobación.</w:t>
      </w:r>
    </w:p>
    <w:p>
      <w:pPr>
        <w:pStyle w:val="ListBullet"/>
      </w:pPr>
      <w:r>
        <w:rPr>
          <w:sz w:val="18"/>
        </w:rPr>
        <w:t>La instalación se dimensiona con los ficheros fotométricos de las luminarias. La verificación se realiza sobre campos bidimensionales CIE 140:2019: luminancia media, uniformidad general U0, uniformidad longitudinal Ul e incremento de umbral TI.</w:t>
      </w:r>
    </w:p>
    <w:p>
      <w:pPr>
        <w:spacing w:before="280" w:after="80"/>
      </w:pPr>
      <w:r>
        <w:rPr>
          <w:b/>
          <w:color w:val="1A3A6B"/>
          <w:sz w:val="24"/>
        </w:rPr>
        <w:t>4. Resultado Luminotécnico — Perfil Longitudinal</w:t>
      </w:r>
    </w:p>
    <w:p>
      <w:pPr>
        <w:spacing w:before="80" w:after="80"/>
        <w:pBdr>
          <w:bottom w:val="single" w:sz="8" w:space="1" w:color="1A3A6B"/>
        </w:pBd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18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color w:val="666666"/>
          <w:sz w:val="16"/>
        </w:rPr>
        <w:t>La curva roja procede exclusivamente de Lavg calculada en campos bidimensionales CIE 140 entre luminarias consecutivas.</w:t>
      </w:r>
    </w:p>
    <w:p>
      <w:pPr>
        <w:spacing w:before="160" w:after="80"/>
      </w:pPr>
      <w:r>
        <w:rPr>
          <w:b/>
          <w:color w:val="1A56B0"/>
          <w:sz w:val="21"/>
        </w:rPr>
        <w:t>Cumplimiento por zona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Lavg / Lreq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(%)</w:t>
            </w:r>
          </w:p>
        </w:tc>
        <w:tc>
          <w:tcPr>
            <w:tcW w:type="dxa" w:w="161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CTH A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210.0 / 200.0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0.56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0.74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8.1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7"/>
              </w:rPr>
              <w:t>CUMPLE</w:t>
            </w:r>
          </w:p>
        </w:tc>
      </w:tr>
      <w:tr>
        <w:tc>
          <w:tcPr>
            <w:tcW w:type="dxa" w:w="1615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CTR A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41.0 / 38.0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0.54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0.71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9.5</w:t>
            </w:r>
          </w:p>
        </w:tc>
        <w:tc>
          <w:tcPr>
            <w:tcW w:type="dxa" w:w="1615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7"/>
              </w:rPr>
              <w:t>CUMPLE</w:t>
            </w:r>
          </w:p>
        </w:tc>
      </w:tr>
      <w:tr>
        <w:tc>
          <w:tcPr>
            <w:tcW w:type="dxa" w:w="1615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CIN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3.4 / 3.0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0.48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0.67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10.2</w:t>
            </w:r>
          </w:p>
        </w:tc>
        <w:tc>
          <w:tcPr>
            <w:tcW w:type="dxa" w:w="1615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7"/>
              </w:rPr>
              <w:t>CUMPLE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5. Diseño de la Instalación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Disposición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Single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Luminaria de referencia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APHEX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Óptica / CCT / I máx.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F2M2 · 4000K · 500 mA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instalado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48 luminarias · 8.2 kW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Densidad media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1.3 W/m²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Tramo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 / 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d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CTH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0–80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 M / 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15°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5"/>
              </w:rPr>
              <w:t>CTR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80–180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 S / 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350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5"/>
              </w:rPr>
              <w:t>CIN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180–600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APHEX S / 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250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50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28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5"/>
              </w:rPr>
              <w:t>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Permanent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6. Control DALI y Escenas de Operación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Protocolo de control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DALI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grupos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Nº de escenas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Tabla de Regulación (grupos × escenas)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28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diseño</w:t>
              <w:br/>
              <w:t>(cd/m²)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Soleado</w:t>
              <w:br/>
              <w:t>L₂₀=4785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Normal</w:t>
              <w:br/>
              <w:t>L₂₀=3350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Cubierto</w:t>
              <w:br/>
              <w:t>L₂₀=1436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Crepuscular</w:t>
              <w:br/>
              <w:t>L₂₀=239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Noche</w:t>
              <w:br/>
              <w:t>L₂₀=0</w:t>
            </w:r>
          </w:p>
        </w:tc>
      </w:tr>
      <w:tr>
        <w:tc>
          <w:tcPr>
            <w:tcW w:type="dxa" w:w="2835"/>
            <w:shd w:val="clear" w:color="auto" w:fill="D1E7DD"/>
          </w:tcPr>
          <w:p>
            <w:pPr>
              <w:jc w:val="left"/>
            </w:pPr>
            <w:r/>
            <w:r>
              <w:rPr>
                <w:b/>
                <w:sz w:val="17"/>
              </w:rPr>
              <w:t>BASE — Permanente A–B</w:t>
            </w:r>
          </w:p>
        </w:tc>
        <w:tc>
          <w:tcPr>
            <w:tcW w:type="dxa" w:w="113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100.0%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33.3%</w:t>
            </w:r>
            <w:r>
              <w:rPr>
                <w:color w:val="666666"/>
                <w:sz w:val="15"/>
              </w:rPr>
              <w:br/>
              <w:t>DALI 214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REF-A-TH — Umbral A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221.0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99.7%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69.4%</w:t>
            </w:r>
            <w:r>
              <w:rPr>
                <w:color w:val="666666"/>
                <w:sz w:val="15"/>
              </w:rPr>
              <w:br/>
              <w:t>DALI 241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29.0%</w:t>
            </w:r>
            <w:r>
              <w:rPr>
                <w:color w:val="666666"/>
                <w:sz w:val="15"/>
              </w:rPr>
              <w:br/>
              <w:t>DALI 209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3.7%</w:t>
            </w:r>
            <w:r>
              <w:rPr>
                <w:color w:val="666666"/>
                <w:sz w:val="15"/>
              </w:rPr>
              <w:br/>
              <w:t>DALI 133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REF-A-TR1 — Transición A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46.0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99.7%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67.8%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25.3%</w:t>
            </w:r>
            <w:r>
              <w:rPr>
                <w:color w:val="666666"/>
                <w:sz w:val="15"/>
              </w:rPr>
              <w:br/>
              <w:t>DALI 204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REF-A-TR2 — Transición A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20.0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99.6%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65.3%</w:t>
            </w:r>
            <w:r>
              <w:rPr>
                <w:color w:val="666666"/>
                <w:sz w:val="15"/>
              </w:rPr>
              <w:br/>
              <w:t>DALI 238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19.4%</w:t>
            </w:r>
            <w:r>
              <w:rPr>
                <w:color w:val="666666"/>
                <w:sz w:val="15"/>
              </w:rPr>
              <w:br/>
              <w:t>DALI 194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REF-B-TR1 — Transición B 1/2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16.7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99.3%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64.1%</w:t>
            </w:r>
            <w:r>
              <w:rPr>
                <w:color w:val="666666"/>
                <w:sz w:val="15"/>
              </w:rPr>
              <w:br/>
              <w:t>DALI 238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17.2%</w:t>
            </w:r>
            <w:r>
              <w:rPr>
                <w:color w:val="666666"/>
                <w:sz w:val="15"/>
              </w:rPr>
              <w:br/>
              <w:t>DALI 190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CFF4FC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REF-B-TR2 — Transición B 2/2</w:t>
            </w:r>
          </w:p>
        </w:tc>
        <w:tc>
          <w:tcPr>
            <w:tcW w:type="dxa" w:w="113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33.7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99.3%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66.9%</w:t>
            </w:r>
            <w:r>
              <w:rPr>
                <w:color w:val="666666"/>
                <w:sz w:val="15"/>
              </w:rPr>
              <w:br/>
              <w:t>DALI 239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23.6%</w:t>
            </w:r>
            <w:r>
              <w:rPr>
                <w:color w:val="666666"/>
                <w:sz w:val="15"/>
              </w:rPr>
              <w:br/>
              <w:t>DALI 201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  <w:tr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sz w:val="17"/>
              </w:rPr>
              <w:t>REF-B-TH — Umbral B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color w:val="0066CC"/>
                <w:sz w:val="18"/>
              </w:rPr>
              <w:t>140.0</w:t>
            </w:r>
          </w:p>
        </w:tc>
        <w:tc>
          <w:tcPr>
            <w:tcW w:type="dxa" w:w="1134"/>
            <w:shd w:val="clear" w:color="auto" w:fill="FFFDE7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99.4%</w:t>
            </w:r>
            <w:r>
              <w:rPr>
                <w:color w:val="666666"/>
                <w:sz w:val="15"/>
              </w:rPr>
              <w:br/>
              <w:t>DALI 254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68.9%</w:t>
            </w:r>
            <w:r>
              <w:rPr>
                <w:color w:val="666666"/>
                <w:sz w:val="15"/>
              </w:rPr>
              <w:br/>
              <w:t>DALI 240</w:t>
            </w:r>
          </w:p>
        </w:tc>
        <w:tc>
          <w:tcPr>
            <w:tcW w:type="dxa" w:w="1134"/>
            <w:shd w:val="clear" w:color="auto" w:fill="ECEFF1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28.3%</w:t>
            </w:r>
            <w:r>
              <w:rPr>
                <w:color w:val="666666"/>
                <w:sz w:val="15"/>
              </w:rPr>
              <w:br/>
              <w:t>DALI 208</w:t>
            </w:r>
          </w:p>
        </w:tc>
        <w:tc>
          <w:tcPr>
            <w:tcW w:type="dxa" w:w="1134"/>
            <w:shd w:val="clear" w:color="auto" w:fill="FCE4EC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2.9%</w:t>
            </w:r>
            <w:r>
              <w:rPr>
                <w:color w:val="666666"/>
                <w:sz w:val="15"/>
              </w:rPr>
              <w:br/>
              <w:t>DALI 125</w:t>
            </w:r>
          </w:p>
        </w:tc>
        <w:tc>
          <w:tcPr>
            <w:tcW w:type="dxa" w:w="1134"/>
            <w:shd w:val="clear" w:color="auto" w:fill="E8EAF6"/>
          </w:tcPr>
          <w:p>
            <w:pPr>
              <w:jc w:val="center"/>
            </w:pPr>
            <w:r/>
            <w:r>
              <w:rPr>
                <w:b/>
                <w:color w:val="1A3A6B"/>
                <w:sz w:val="18"/>
              </w:rPr>
              <w:t>0.0%</w:t>
            </w:r>
          </w:p>
        </w:tc>
      </w:tr>
    </w:tbl>
    <w:p>
      <w:pPr>
        <w:spacing w:before="80"/>
      </w:pPr>
      <w:r>
        <w:rPr>
          <w:i/>
          <w:color w:val="666666"/>
          <w:sz w:val="16"/>
        </w:rPr>
        <w:t>CTH=Umbral · CTRn=Transición · CIN=Interior · CEX=Salida. Niveles DALI según IEC 62386 (curva logarítmica, rango 0–254).</w:t>
      </w:r>
    </w:p>
    <w:p>
      <w:pPr>
        <w:spacing w:before="160" w:after="80"/>
      </w:pPr>
      <w:r>
        <w:rPr>
          <w:b/>
          <w:color w:val="1A56B0"/>
          <w:sz w:val="21"/>
        </w:rPr>
        <w:t>Potencia por escena de operación</w:t>
      </w:r>
    </w:p>
    <w:p>
      <w:pPr>
        <w:spacing w:before="80" w:after="80"/>
        <w:pBdr>
          <w:bottom w:val="single" w:sz="8" w:space="1" w:color="1A56B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Escena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Luminarias activas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Potencia (kW)</w:t>
            </w:r>
          </w:p>
        </w:tc>
        <w:tc>
          <w:tcPr>
            <w:tcW w:type="dxa" w:w="2422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Flujo (lm)</w:t>
            </w:r>
          </w:p>
        </w:tc>
      </w:tr>
      <w:tr>
        <w:tc>
          <w:tcPr>
            <w:tcW w:type="dxa" w:w="2422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7"/>
              </w:rPr>
              <w:t>Soleado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8.2</w:t>
            </w:r>
          </w:p>
        </w:tc>
        <w:tc>
          <w:tcPr>
            <w:tcW w:type="dxa" w:w="2422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690000</w:t>
            </w:r>
          </w:p>
        </w:tc>
      </w:tr>
      <w:tr>
        <w:tc>
          <w:tcPr>
            <w:tcW w:type="dxa" w:w="2422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7"/>
              </w:rPr>
              <w:t>Noche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1.5</w:t>
            </w:r>
          </w:p>
        </w:tc>
        <w:tc>
          <w:tcPr>
            <w:tcW w:type="dxa" w:w="2422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110000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7. Conclusiones y Verificaciones de Recepción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b/>
          <w:color w:val="1A7A3C"/>
        </w:rPr>
        <w:t xml:space="preserve">Estado del diseño: CONFORME. </w:t>
      </w:r>
      <w:r>
        <w:t>Se cumplen el perfil CIE 88 y los criterios CIE 140 de todas las zonas verificadas.</w:t>
      </w:r>
    </w:p>
    <w:p>
      <w:pPr>
        <w:pStyle w:val="ListBullet"/>
      </w:pPr>
      <w:r>
        <w:rPr>
          <w:sz w:val="18"/>
        </w:rPr>
        <w:t>Verificar en obra la geometría efectiva, la posición transversal y la altura de montaje de cada fila.</w:t>
      </w:r>
    </w:p>
    <w:p>
      <w:pPr>
        <w:pStyle w:val="ListBullet"/>
      </w:pPr>
      <w:r>
        <w:rPr>
          <w:sz w:val="18"/>
        </w:rPr>
        <w:t>Comprobar que modelo, óptica, flujo, corriente y orientación/tilt coinciden con el listado de luminarias.</w:t>
      </w:r>
    </w:p>
    <w:p>
      <w:pPr>
        <w:pStyle w:val="ListBullet"/>
      </w:pPr>
      <w:r>
        <w:rPr>
          <w:sz w:val="18"/>
        </w:rPr>
        <w:t>Programar y ensayar las escenas y grupos DALI antes de la recepción de la instalación.</w:t>
      </w:r>
    </w:p>
    <w:p>
      <w:pPr>
        <w:pStyle w:val="ListBullet"/>
      </w:pPr>
      <w:r>
        <w:rPr>
          <w:sz w:val="18"/>
        </w:rPr>
        <w:t>Confirmar las condiciones de mantenimiento y las reflectancias adoptadas si difieren de las existentes en obra.</w:t>
      </w:r>
    </w:p>
    <w:p>
      <w:r>
        <w:br w:type="page"/>
      </w:r>
    </w:p>
    <w:p>
      <w:pPr>
        <w:spacing w:before="280" w:after="80"/>
      </w:pPr>
      <w:r>
        <w:rPr>
          <w:b/>
          <w:color w:val="1A3A6B"/>
          <w:sz w:val="24"/>
        </w:rPr>
        <w:t>ANEXOS DE CÁLCULO E INSTALACIÓN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sz w:val="18"/>
        </w:rPr>
        <w:t>Los anexos conservan la trazabilidad necesaria para auditoría, dirección facultativa y puesta en marcha.</w:t>
      </w:r>
    </w:p>
    <w:p>
      <w:pPr>
        <w:spacing w:before="280" w:after="80"/>
      </w:pPr>
      <w:r>
        <w:rPr>
          <w:b/>
          <w:color w:val="1A3A6B"/>
          <w:sz w:val="24"/>
        </w:rPr>
        <w:t>ANEXO A. Clasificación y Distancia de Parada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geométrica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long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Clasificación óptica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optically long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Necesidad de ilum. diurna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normal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parada (SD)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140.0 m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reacción (dr)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33.3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Distancia de frenado (df)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106.7 m</w:t>
            </w:r>
          </w:p>
        </w:tc>
      </w:tr>
    </w:tbl>
    <w:p>
      <w:pPr>
        <w:spacing w:before="120"/>
      </w:pPr>
      <w:r>
        <w:rPr>
          <w:b/>
          <w:sz w:val="18"/>
        </w:rPr>
        <w:t xml:space="preserve">Justificación: </w:t>
      </w:r>
      <w:r>
        <w:rPr>
          <w:sz w:val="18"/>
        </w:rPr>
        <w:t>Longitud: 600 m → long. Clasificación óptica: salida no visible desde SD=140 m, penetración de luz: poor → optically_long. Necesidad de iluminación diurna: normal.</w:t>
      </w:r>
    </w:p>
    <w:p>
      <w:pPr>
        <w:spacing w:before="280" w:after="80"/>
      </w:pPr>
      <w:r>
        <w:rPr>
          <w:b/>
          <w:color w:val="1A3A6B"/>
          <w:sz w:val="24"/>
        </w:rPr>
        <w:t>ANEXO A.2 Datos L20, Lth e Interior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L₂₀ — Luminancia campo 20°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Método de cálculo L₂₀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Confianza del valor L₂₀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Lth — Luminancia de umbral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224.0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Factor k (Lth = k · L₂₀)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0.0467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Coef. revelación contraste qc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Lseq — Luminancia equivalente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4785.0 cd/m²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Lin — Luminancia interior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3.0 cd/m²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L_noche — Luminancia nocturna</w:t>
            </w:r>
          </w:p>
        </w:tc>
        <w:tc>
          <w:tcPr>
            <w:tcW w:type="dxa" w:w="4819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cd/m²</w:t>
            </w:r>
          </w:p>
        </w:tc>
      </w:tr>
    </w:tbl>
    <w:p>
      <w:pPr>
        <w:spacing w:before="80"/>
      </w:pPr>
      <w:r>
        <w:rPr>
          <w:i/>
          <w:color w:val="666666"/>
          <w:sz w:val="17"/>
        </w:rPr>
        <w:t>Nota L₂₀: Modelo entorno: open_country_flat, orientación: S, cielo: clear</w:t>
      </w:r>
    </w:p>
    <w:p>
      <w:pPr>
        <w:spacing w:before="280" w:after="80"/>
      </w:pPr>
      <w:r>
        <w:rPr>
          <w:b/>
          <w:color w:val="1A3A6B"/>
          <w:sz w:val="24"/>
        </w:rPr>
        <w:t>ANEXO A.3 Zonas y Perfil Normativo</w:t>
      </w:r>
    </w:p>
    <w:p>
      <w:pPr>
        <w:spacing w:before="80" w:after="80"/>
        <w:pBdr>
          <w:bottom w:val="single" w:sz="8" w:space="1" w:color="1A3A6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01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inicio (m)</w:t>
            </w:r>
          </w:p>
        </w:tc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 fin (m)</w:t>
            </w:r>
          </w:p>
        </w:tc>
        <w:tc>
          <w:tcPr>
            <w:tcW w:type="dxa" w:w="130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Longitud (m)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inicio (cd/m²)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fin (cd/m²)</w:t>
            </w:r>
          </w:p>
        </w:tc>
        <w:tc>
          <w:tcPr>
            <w:tcW w:type="dxa" w:w="181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 mín. req. (cd/m²)</w:t>
            </w:r>
          </w:p>
        </w:tc>
      </w:tr>
      <w:tr>
        <w:tc>
          <w:tcPr>
            <w:tcW w:type="dxa" w:w="1701"/>
            <w:shd w:val="clear" w:color="auto" w:fill="FFF3C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30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224.00</w:t>
            </w:r>
          </w:p>
        </w:tc>
        <w:tc>
          <w:tcPr>
            <w:tcW w:type="dxa" w:w="1587"/>
            <w:shd w:val="clear" w:color="auto" w:fill="FFF3C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91.20</w:t>
            </w:r>
          </w:p>
        </w:tc>
        <w:tc>
          <w:tcPr>
            <w:tcW w:type="dxa" w:w="1814"/>
            <w:shd w:val="clear" w:color="auto" w:fill="FFF3CD"/>
          </w:tcPr>
          <w:p>
            <w:pPr>
              <w:jc w:val="center"/>
            </w:pPr>
            <w:r/>
            <w:r>
              <w:rPr>
                <w:b/>
                <w:sz w:val="18"/>
              </w:rPr>
              <w:t>224.00</w:t>
            </w:r>
          </w:p>
        </w:tc>
      </w:tr>
      <w:tr>
        <w:tc>
          <w:tcPr>
            <w:tcW w:type="dxa" w:w="1701"/>
            <w:shd w:val="clear" w:color="auto" w:fill="CFF4F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140.0</w:t>
            </w:r>
          </w:p>
        </w:tc>
        <w:tc>
          <w:tcPr>
            <w:tcW w:type="dxa" w:w="124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234.1</w:t>
            </w:r>
          </w:p>
        </w:tc>
        <w:tc>
          <w:tcPr>
            <w:tcW w:type="dxa" w:w="130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94.1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91.20</w:t>
            </w:r>
          </w:p>
        </w:tc>
        <w:tc>
          <w:tcPr>
            <w:tcW w:type="dxa" w:w="1587"/>
            <w:shd w:val="clear" w:color="auto" w:fill="CFF4FC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CFF4FC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D1E7DD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Interior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234.1</w:t>
            </w:r>
          </w:p>
        </w:tc>
        <w:tc>
          <w:tcPr>
            <w:tcW w:type="dxa" w:w="124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394.1</w:t>
            </w:r>
          </w:p>
        </w:tc>
        <w:tc>
          <w:tcPr>
            <w:tcW w:type="dxa" w:w="130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160.0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D1E7DD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814"/>
            <w:shd w:val="clear" w:color="auto" w:fill="D1E7DD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Transition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394.1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65.9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58.22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3.00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Threshold B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460.0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600.0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140.0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58.22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143.00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sz w:val="18"/>
              </w:rPr>
              <w:t>143.00</w:t>
            </w:r>
          </w:p>
        </w:tc>
      </w:tr>
    </w:tbl>
    <w:p>
      <w:pPr>
        <w:spacing w:before="280" w:after="80"/>
      </w:pPr>
      <w:r>
        <w:rPr>
          <w:b/>
          <w:color w:val="1A3A6B"/>
          <w:sz w:val="24"/>
        </w:rPr>
        <w:t>ANEXO B. Verificación Fotométrica CIE 140:2019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i/>
          <w:color w:val="444444"/>
          <w:sz w:val="17"/>
        </w:rPr>
        <w:t>CIE 140:2019  ·  Tabla R3  ·  Optica F2M2  ·  H = 4.5 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24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41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L_avg / L_req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U0 &gt;=0.40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Ul &gt;=0.60</w:t>
            </w:r>
          </w:p>
        </w:tc>
        <w:tc>
          <w:tcPr>
            <w:tcW w:type="dxa" w:w="96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 &lt;=15%</w:t>
            </w:r>
          </w:p>
        </w:tc>
        <w:tc>
          <w:tcPr>
            <w:tcW w:type="dxa" w:w="1134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CTH A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210.0 / 200.0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0.56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0.74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8.1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8"/>
              </w:rPr>
              <w:t>CTR 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41.0 / 38.0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0.54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0.71</w:t>
            </w:r>
          </w:p>
        </w:tc>
        <w:tc>
          <w:tcPr>
            <w:tcW w:type="dxa" w:w="964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9.5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8"/>
              </w:rPr>
              <w:t>CIN</w:t>
            </w:r>
          </w:p>
        </w:tc>
        <w:tc>
          <w:tcPr>
            <w:tcW w:type="dxa" w:w="141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3.4 / 3.0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0.48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0.67</w:t>
            </w:r>
          </w:p>
        </w:tc>
        <w:tc>
          <w:tcPr>
            <w:tcW w:type="dxa" w:w="964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color w:val="1A7A3C"/>
                <w:sz w:val="18"/>
              </w:rPr>
              <w:t>10.2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35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158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CIE 140:2019 global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todas las zonas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Perfil longitudinal normativo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CIE 88:2004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Ratios de transicion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&lt;= 3:1</w:t>
            </w:r>
          </w:p>
        </w:tc>
        <w:tc>
          <w:tcPr>
            <w:tcW w:type="dxa" w:w="1587"/>
            <w:shd w:val="clear" w:color="auto" w:fill="F5F5F5"/>
          </w:tcPr>
          <w:p>
            <w:pPr>
              <w:jc w:val="center"/>
            </w:pPr>
            <w:r/>
            <w:r>
              <w:rPr>
                <w:b/>
                <w:color w:val="1A7A3C"/>
                <w:sz w:val="18"/>
              </w:rPr>
              <w:t>CUMPLE</w:t>
            </w:r>
          </w:p>
        </w:tc>
      </w:tr>
    </w:tbl>
    <w:p/>
    <w:p>
      <w:pPr>
        <w:spacing w:before="160" w:after="80"/>
      </w:pPr>
      <w:r>
        <w:rPr>
          <w:b/>
          <w:color w:val="1A56B0"/>
          <w:sz w:val="21"/>
        </w:rPr>
        <w:t>Advertencias del cálculo</w:t>
      </w:r>
    </w:p>
    <w:p>
      <w:pPr>
        <w:spacing w:before="80" w:after="80"/>
        <w:pBdr>
          <w:bottom w:val="single" w:sz="8" w:space="1" w:color="1A56B0"/>
        </w:pBdr>
      </w:pPr>
    </w:p>
    <w:p>
      <w:pPr>
        <w:pStyle w:val="ListBullet"/>
      </w:pPr>
      <w:r>
        <w:rPr>
          <w:color w:val="C0392B"/>
          <w:sz w:val="18"/>
        </w:rPr>
        <w:t>⚠️ Túnel bidireccional corto: layout truncado a Lth_A=140 m, Lth_B=140 m, Ltr_A=94 m, Ltr_B=66 m.</w:t>
      </w:r>
    </w:p>
    <w:p>
      <w:pPr>
        <w:pStyle w:val="ListBullet"/>
      </w:pPr>
      <w:r>
        <w:rPr>
          <w:color w:val="C0392B"/>
          <w:sz w:val="18"/>
        </w:rPr>
        <w:t>Salto de respaldo 'Cubierto'/'Crepuscular' = 9.7:1; considerar una escena intermedia.</w:t>
      </w:r>
    </w:p>
    <w:p>
      <w:pPr>
        <w:pStyle w:val="ListBullet"/>
      </w:pPr>
      <w:r>
        <w:rPr>
          <w:color w:val="C0392B"/>
          <w:sz w:val="18"/>
        </w:rPr>
        <w:t>Salto de respaldo 'Normal'/'Cubierto' = 3.7:1; considerar una escena intermedia.</w:t>
      </w:r>
    </w:p>
    <w:p>
      <w:pPr>
        <w:spacing w:before="280" w:after="80"/>
      </w:pPr>
      <w:r>
        <w:rPr>
          <w:b/>
          <w:color w:val="1A3A6B"/>
          <w:sz w:val="24"/>
        </w:rPr>
        <w:t>ANEXO C. Listado de Luminarias y Reglajes</w:t>
      </w:r>
    </w:p>
    <w:p>
      <w:pPr>
        <w:spacing w:before="80" w:after="80"/>
        <w:pBdr>
          <w:bottom w:val="single" w:sz="8" w:space="1" w:color="1A3A6B"/>
        </w:pBdr>
      </w:pPr>
    </w:p>
    <w:p>
      <w:r>
        <w:rPr>
          <w:sz w:val="17"/>
        </w:rPr>
        <w:t>Listado por posición longitudinal. Las coordenadas transversales y la configuración de filas se rigen por la disposición indicada en el informe principal.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Ref.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PK (m)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Óptica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W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Tilt</w:t>
            </w:r>
          </w:p>
        </w:tc>
        <w:tc>
          <w:tcPr>
            <w:tcW w:type="dxa" w:w="1077"/>
            <w:shd w:val="clear" w:color="auto" w:fill="1A56B0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Capa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CTH A-1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CTH A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 M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sz w:val="14"/>
              </w:rPr>
              <w:t>CTR A-1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CTR A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 S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F2M2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5°</w:t>
            </w:r>
          </w:p>
        </w:tc>
        <w:tc>
          <w:tcPr>
            <w:tcW w:type="dxa" w:w="1077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Reinforcement</w:t>
            </w:r>
          </w:p>
        </w:tc>
      </w:tr>
      <w:tr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/>
                <w:sz w:val="14"/>
              </w:rPr>
              <w:t>CIN-1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CIN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APHEX S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F151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0°</w:t>
            </w:r>
          </w:p>
        </w:tc>
        <w:tc>
          <w:tcPr>
            <w:tcW w:type="dxa" w:w="1077"/>
            <w:shd w:val="clear" w:color="auto" w:fill="F5F5F5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Permanent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 xml:space="preserve">SALVI Tunnel Engine (STE) — CIE 88:2004 — </w:t>
    </w:r>
    <w:r>
      <w:rPr>
        <w:color w:val="888888"/>
        <w:sz w:val="15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