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color w:val="1A3A6B"/>
          <w:sz w:val="44"/>
        </w:rPr>
        <w:t>SALVI TUNNEL ENGINE</w:t>
      </w:r>
    </w:p>
    <w:p>
      <w:pPr>
        <w:spacing w:before="40" w:after="40"/>
      </w:pPr>
      <w:r>
        <w:rPr>
          <w:color w:val="1A56B0"/>
          <w:sz w:val="28"/>
        </w:rPr>
        <w:t>Informe Técnico de Iluminación de Túneles</w:t>
      </w:r>
    </w:p>
    <w:p>
      <w:pPr>
        <w:spacing w:before="80" w:after="80"/>
        <w:pBdr>
          <w:bottom w:val="single" w:sz="8" w:space="1" w:color="1A3A6B"/>
        </w:pBdr>
      </w:pPr>
    </w:p>
    <w:p>
      <w:pPr>
        <w:spacing w:before="80"/>
      </w:pPr>
      <w:r>
        <w:rPr>
          <w:i/>
          <w:color w:val="555555"/>
          <w:sz w:val="19"/>
        </w:rPr>
        <w:t>Norma: CIE 88:2004 — Guide for the Lighting of Road Tunnels and Underpasses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D5E8F5"/>
          </w:tcPr>
          <w:p>
            <w:pPr>
              <w:jc w:val="left"/>
            </w:pPr>
            <w:r/>
            <w:r>
              <w:rPr>
                <w:b/>
                <w:sz w:val="20"/>
              </w:rPr>
              <w:t>Proyecto</w:t>
            </w:r>
          </w:p>
        </w:tc>
        <w:tc>
          <w:tcPr>
            <w:tcW w:type="dxa" w:w="4535"/>
            <w:shd w:val="clear" w:color="auto" w:fill="D5E8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Validacion fotos de bocas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Tubo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T1</w:t>
            </w:r>
          </w:p>
        </w:tc>
      </w:tr>
      <w:tr>
        <w:tc>
          <w:tcPr>
            <w:tcW w:type="dxa" w:w="3402"/>
            <w:shd w:val="clear" w:color="auto" w:fill="D5E8F5"/>
          </w:tcPr>
          <w:p>
            <w:pPr>
              <w:jc w:val="left"/>
            </w:pPr>
            <w:r/>
            <w:r>
              <w:rPr>
                <w:b/>
                <w:sz w:val="20"/>
              </w:rPr>
              <w:t>Longitud total</w:t>
            </w:r>
          </w:p>
        </w:tc>
        <w:tc>
          <w:tcPr>
            <w:tcW w:type="dxa" w:w="4535"/>
            <w:shd w:val="clear" w:color="auto" w:fill="D5E8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160.0 m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Velocidad de diseño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60.0 km/h</w:t>
            </w:r>
          </w:p>
        </w:tc>
      </w:tr>
      <w:tr>
        <w:tc>
          <w:tcPr>
            <w:tcW w:type="dxa" w:w="3402"/>
            <w:shd w:val="clear" w:color="auto" w:fill="D5E8F5"/>
          </w:tcPr>
          <w:p>
            <w:pPr>
              <w:jc w:val="left"/>
            </w:pPr>
            <w:r/>
            <w:r>
              <w:rPr>
                <w:b/>
                <w:sz w:val="20"/>
              </w:rPr>
              <w:t>Tráfico de diseño</w:t>
            </w:r>
          </w:p>
        </w:tc>
        <w:tc>
          <w:tcPr>
            <w:tcW w:type="dxa" w:w="4535"/>
            <w:shd w:val="clear" w:color="auto" w:fill="D5E8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500 veh/h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Clasificación óptica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optically long</w:t>
            </w:r>
          </w:p>
        </w:tc>
      </w:tr>
      <w:tr>
        <w:tc>
          <w:tcPr>
            <w:tcW w:type="dxa" w:w="3402"/>
            <w:shd w:val="clear" w:color="auto" w:fill="D5E8F5"/>
          </w:tcPr>
          <w:p>
            <w:pPr>
              <w:jc w:val="left"/>
            </w:pPr>
            <w:r/>
            <w:r>
              <w:rPr>
                <w:b/>
                <w:sz w:val="20"/>
              </w:rPr>
              <w:t>Iluminación diurna</w:t>
            </w:r>
          </w:p>
        </w:tc>
        <w:tc>
          <w:tcPr>
            <w:tcW w:type="dxa" w:w="4535"/>
            <w:shd w:val="clear" w:color="auto" w:fill="D5E8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normal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Fecha del informe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30/07/2026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68000" cy="22317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231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Situación del túnel, eje de cálculo y portales A/B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jc w:val="center"/>
            </w:pPr>
            <w:r/>
            <w:r>
              <w:rPr>
                <w:b/>
                <w:sz w:val="17"/>
              </w:rPr>
              <w:t>Boca 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52000" cy="267428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26742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66666"/>
                <w:sz w:val="13"/>
              </w:rPr>
              <w:t>Imagen vial © KartaView · captura 2020-07-21</w:t>
            </w:r>
          </w:p>
        </w:tc>
      </w:tr>
    </w:tbl>
    <w:p/>
    <w:p>
      <w:r>
        <w:rPr>
          <w:i/>
          <w:color w:val="888888"/>
          <w:sz w:val="16"/>
        </w:rPr>
        <w:t>Redactado con SALVI Tunnel Engine (STE) — Motor de cálculo conforme a CIE 88:2004.</w:t>
      </w:r>
    </w:p>
    <w:p/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1. Resumen de Validación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1A7A3C"/>
                <w:sz w:val="20"/>
              </w:rPr>
              <w:t>CONFORME — Se cumplen el perfil CIE 88 y los criterios CIE 140 de todas las zonas verificadas.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Tubo / longitud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T1  /  160.0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Condición de diseño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60.0 km/h · SD 85.0 m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Portal 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L20 4785.0 cd/m² · Lth 3.0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Portal B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L20 4785.0 cd/m² · Lth 0.0 cd/m²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Interior / noche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Lin 3.0 cd/m² · noche normal 3.0 cd/m² · noche reducida 1.0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Instalación calculada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18 luminarias · 0.82 kW instalados</w:t>
            </w:r>
          </w:p>
        </w:tc>
      </w:tr>
    </w:tbl>
    <w:p>
      <w:pPr>
        <w:spacing w:before="100"/>
      </w:pPr>
      <w:r>
        <w:rPr>
          <w:b/>
          <w:sz w:val="17"/>
        </w:rPr>
        <w:t xml:space="preserve">Condicionantes: </w:t>
      </w:r>
      <w:r>
        <w:rPr>
          <w:color w:val="9A4B00"/>
          <w:sz w:val="17"/>
        </w:rPr>
        <w:t>Clase 1 OC 36/2015: no hay requisito de Lth; el perfil usa Lin únicamente como nivel de continuidad. · CTH: malla de refuerzo desfasada +0.50 m; separación constructiva mínima 0.50 m. · Arquitectura multiescenario: BASE A–B con 12 posiciones, d=16.0 m, F2M2, tilt=0.0°.</w:t>
      </w:r>
    </w:p>
    <w:p>
      <w:pPr>
        <w:spacing w:before="280" w:after="80"/>
      </w:pPr>
      <w:r>
        <w:rPr>
          <w:b/>
          <w:color w:val="1A3A6B"/>
          <w:sz w:val="24"/>
        </w:rPr>
        <w:t>2. Datos de Partida y Alcance</w:t>
      </w:r>
    </w:p>
    <w:p>
      <w:pPr>
        <w:spacing w:before="80" w:after="80"/>
        <w:pBdr>
          <w:bottom w:val="single" w:sz="8" w:space="1" w:color="1A3A6B"/>
        </w:pBdr>
      </w:pPr>
    </w:p>
    <w:p>
      <w:pPr>
        <w:spacing w:before="160" w:after="80"/>
      </w:pPr>
      <w:r>
        <w:rPr>
          <w:b/>
          <w:color w:val="1A56B0"/>
          <w:sz w:val="21"/>
        </w:rPr>
        <w:t>Geometría, tráfico y explotación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Longitud del tubo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160.0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Calzada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 m · 2 carriles de 3.5 m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Sección / altura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Horseshoe · 5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Circulación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One Way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Velocidad / distancia de parada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60.0 km/h · 85.0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Pendiente / fricción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0 % · μ=None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Tráfico de proyecto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500 veh/h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Pavimento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Asfalto Oscuro (R3)</w:t>
            </w:r>
          </w:p>
        </w:tc>
      </w:tr>
    </w:tbl>
    <w:p>
      <w:pPr>
        <w:spacing w:before="160" w:after="80"/>
      </w:pPr>
      <w:r>
        <w:rPr>
          <w:b/>
          <w:color w:val="1A56B0"/>
          <w:sz w:val="21"/>
        </w:rPr>
        <w:t>Entorno y parámetros luminotécnicos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Método L20 / entorno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 · Open Country Flat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Orientación / cielo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 · Clear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Portal A: L20 / Lth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4785.0 / 3.0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Portal B: L20 / Lth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4785.0 / 0.0 cd/m²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Factor de mantenimiento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0.7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Reflectancias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Paredes ρ=0.4 · Techo ρ=0.25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3. Criterios y Metodología</w:t>
      </w:r>
    </w:p>
    <w:p>
      <w:pPr>
        <w:spacing w:before="80" w:after="80"/>
        <w:pBdr>
          <w:bottom w:val="single" w:sz="8" w:space="1" w:color="1A3A6B"/>
        </w:pBdr>
      </w:pPr>
    </w:p>
    <w:p>
      <w:pPr>
        <w:pStyle w:val="ListBullet"/>
      </w:pPr>
      <w:r>
        <w:rPr>
          <w:sz w:val="18"/>
        </w:rPr>
        <w:t>La luminancia de adaptación se determina para cada portal con el método L20. A partir de ella se obtiene la luminancia de umbral y el perfil longitudinal exigido según CIE 88:2004.</w:t>
      </w:r>
    </w:p>
    <w:p>
      <w:pPr>
        <w:pStyle w:val="ListBullet"/>
      </w:pPr>
      <w:r>
        <w:rPr>
          <w:sz w:val="18"/>
        </w:rPr>
        <w:t>El tubo se divide en zonas de umbral, transición e interior. Cuando hay circulación bidireccional, ambos portales se calculan de forma independiente y se conserva el caso más desfavorable en cada comprobación.</w:t>
      </w:r>
    </w:p>
    <w:p>
      <w:pPr>
        <w:pStyle w:val="ListBullet"/>
      </w:pPr>
      <w:r>
        <w:rPr>
          <w:sz w:val="18"/>
        </w:rPr>
        <w:t>La instalación se dimensiona con los ficheros fotométricos de las luminarias. La verificación se realiza sobre campos bidimensionales CIE 140:2019: luminancia media, uniformidad general U0, uniformidad longitudinal Ul e incremento de umbral TI.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1457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45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b/>
          <w:color w:val="1A3A6B"/>
          <w:sz w:val="24"/>
        </w:rPr>
        <w:t>4. Resultado Luminotécnico — Perfil Longitudinal</w:t>
      </w:r>
    </w:p>
    <w:p>
      <w:pPr>
        <w:spacing w:before="80" w:after="80"/>
        <w:pBdr>
          <w:bottom w:val="single" w:sz="8" w:space="1" w:color="1A3A6B"/>
        </w:pBd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180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18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</w:pPr>
      <w:r>
        <w:rPr>
          <w:i/>
          <w:color w:val="666666"/>
          <w:sz w:val="16"/>
        </w:rPr>
        <w:t>La curva roja procede exclusivamente de Lavg calculada en campos bidimensionales CIE 140 entre luminarias consecutivas.</w:t>
      </w:r>
    </w:p>
    <w:p>
      <w:pPr>
        <w:spacing w:before="160" w:after="80"/>
      </w:pPr>
      <w:r>
        <w:rPr>
          <w:b/>
          <w:color w:val="1A56B0"/>
          <w:sz w:val="21"/>
        </w:rPr>
        <w:t>Cumplimiento por zona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rPr>
          <w:tblHeader w:val="true"/>
        </w:trPr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Lavg / Lreq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U0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Ul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 (%)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615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7"/>
              </w:rPr>
              <w:t>BASE A–B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3.1 / 3.0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0.42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0.676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4.9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7A3C"/>
                <w:sz w:val="17"/>
              </w:rPr>
              <w:t>CUMPLE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5. Diseño de la Instalación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Disposición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Central Single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Luminaria de referencia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Aphex APHEX_S_75W/Aphex S 75W 387mA 4000K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Óptica / CCT / I máx.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F2M2 · 4000K · 500 mA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Total instalado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18 luminarias · 0.82 kW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Densidad media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0.73 W/m²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 w:val="true"/>
        </w:trPr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Tramo (m)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Modelo / óptica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mA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W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 (m)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Tilt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Capa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5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0.0–160.0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APHEX_S_75W / 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387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5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0.0–85.0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APHEX_S_75W / 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Reinforcement</w:t>
            </w:r>
          </w:p>
        </w:tc>
      </w:tr>
    </w:tbl>
    <w:p>
      <w:r>
        <w:rPr>
          <w:i/>
          <w:sz w:val="16"/>
        </w:rPr>
        <w:t>La planta y esta tabla por tipo de tramo constituyen la especificación ordinaria de montaje. El listado unitario se incorpora sólo si existen reglajes singulares; el detalle completo queda disponible en la exportación Excel.</w:t>
      </w:r>
    </w:p>
    <w:p>
      <w:pPr>
        <w:spacing w:before="280" w:after="80"/>
      </w:pPr>
      <w:r>
        <w:rPr>
          <w:b/>
          <w:color w:val="1A3A6B"/>
          <w:sz w:val="24"/>
        </w:rPr>
        <w:t>6. Plano de Implantación de Luminarias</w:t>
      </w:r>
    </w:p>
    <w:p>
      <w:pPr>
        <w:spacing w:before="80" w:after="80"/>
        <w:pBdr>
          <w:bottom w:val="single" w:sz="8" w:space="1" w:color="1A3A6B"/>
        </w:pBd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1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b/>
          <w:color w:val="1A3A6B"/>
          <w:sz w:val="24"/>
        </w:rPr>
        <w:t>7. Control DALI y Escenas de Operación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Protocolo de control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DALI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Nº de grupos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Nº de escenas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</w:t>
            </w:r>
          </w:p>
        </w:tc>
      </w:tr>
    </w:tbl>
    <w:p/>
    <w:p>
      <w:pPr>
        <w:spacing w:before="160" w:after="80"/>
      </w:pPr>
      <w:r>
        <w:rPr>
          <w:b/>
          <w:color w:val="1A56B0"/>
          <w:sz w:val="21"/>
        </w:rPr>
        <w:t>Tabla de Regulación (grupos × escenas)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blHeader w:val="true"/>
        </w:trPr>
        <w:tc>
          <w:tcPr>
            <w:tcW w:type="dxa" w:w="283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Grupo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diseño</w:t>
              <w:br/>
              <w:t>(cd/m²)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Soleado</w:t>
              <w:br/>
              <w:t>L₂₀=4785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Normal</w:t>
              <w:br/>
              <w:t>L₂₀=3350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Cubierto</w:t>
              <w:br/>
              <w:t>L₂₀=1436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Crepuscular</w:t>
              <w:br/>
              <w:t>L₂₀=239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Noche reducida</w:t>
              <w:br/>
              <w:t>L₂₀=0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Noche normal</w:t>
              <w:br/>
              <w:t>L₂₀=0</w:t>
            </w:r>
          </w:p>
        </w:tc>
      </w:tr>
      <w:tr>
        <w:tc>
          <w:tcPr>
            <w:tcW w:type="dxa" w:w="2835"/>
            <w:shd w:val="clear" w:color="auto" w:fill="D1E7DD"/>
          </w:tcPr>
          <w:p>
            <w:pPr>
              <w:jc w:val="left"/>
            </w:pPr>
            <w:r/>
            <w:r>
              <w:rPr>
                <w:b/>
                <w:sz w:val="17"/>
              </w:rPr>
              <w:t>BASE — Permanente A–B</w:t>
            </w:r>
          </w:p>
        </w:tc>
        <w:tc>
          <w:tcPr>
            <w:tcW w:type="dxa" w:w="1134"/>
            <w:shd w:val="clear" w:color="auto" w:fill="D1E7DD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3.0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33.3%</w:t>
            </w:r>
            <w:r>
              <w:rPr>
                <w:color w:val="666666"/>
                <w:sz w:val="15"/>
              </w:rPr>
              <w:br/>
              <w:t>DALI 214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</w:tr>
      <w:tr>
        <w:tc>
          <w:tcPr>
            <w:tcW w:type="dxa" w:w="2835"/>
            <w:shd w:val="clear" w:color="auto" w:fill="FFF3CD"/>
          </w:tcPr>
          <w:p>
            <w:pPr>
              <w:jc w:val="left"/>
            </w:pPr>
            <w:r/>
            <w:r>
              <w:rPr>
                <w:b/>
                <w:sz w:val="17"/>
              </w:rPr>
              <w:t>REF-A-TH — Umbral A</w:t>
            </w:r>
          </w:p>
        </w:tc>
        <w:tc>
          <w:tcPr>
            <w:tcW w:type="dxa" w:w="1134"/>
            <w:shd w:val="clear" w:color="auto" w:fill="FFF3CD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0.0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  <w:tr>
        <w:tc>
          <w:tcPr>
            <w:tcW w:type="dxa" w:w="2835"/>
            <w:shd w:val="clear" w:color="auto" w:fill="CFF4FC"/>
          </w:tcPr>
          <w:p>
            <w:pPr>
              <w:jc w:val="left"/>
            </w:pPr>
            <w:r/>
            <w:r>
              <w:rPr>
                <w:b/>
                <w:sz w:val="17"/>
              </w:rPr>
              <w:t>REF-A-TR1 — Transición A 1/2</w:t>
            </w:r>
          </w:p>
        </w:tc>
        <w:tc>
          <w:tcPr>
            <w:tcW w:type="dxa" w:w="113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0.0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  <w:tr>
        <w:tc>
          <w:tcPr>
            <w:tcW w:type="dxa" w:w="2835"/>
            <w:shd w:val="clear" w:color="auto" w:fill="CFF4FC"/>
          </w:tcPr>
          <w:p>
            <w:pPr>
              <w:jc w:val="left"/>
            </w:pPr>
            <w:r/>
            <w:r>
              <w:rPr>
                <w:b/>
                <w:sz w:val="17"/>
              </w:rPr>
              <w:t>REF-A-TR2 — Transición A 2/2</w:t>
            </w:r>
          </w:p>
        </w:tc>
        <w:tc>
          <w:tcPr>
            <w:tcW w:type="dxa" w:w="113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0.0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</w:tbl>
    <w:p>
      <w:pPr>
        <w:spacing w:before="80"/>
      </w:pPr>
      <w:r>
        <w:rPr>
          <w:i/>
          <w:color w:val="666666"/>
          <w:sz w:val="16"/>
        </w:rPr>
        <w:t>CTH=Umbral · CTRn=Transición · CIN=Interior · CEX=Salida. Niveles DALI según IEC 62386 (curva logarítmica, rango 0–254).</w:t>
      </w:r>
    </w:p>
    <w:p>
      <w:pPr>
        <w:spacing w:before="40"/>
      </w:pPr>
      <w:r>
        <w:rPr>
          <w:color w:val="666666"/>
          <w:sz w:val="16"/>
        </w:rPr>
        <w:t>Emergencia: la escena de evacuación y el alumbrado de seguridad se verifican en el proyecto eléctrico específico; no se infieren de los niveles de regulación ordinaria.</w:t>
      </w:r>
    </w:p>
    <w:p>
      <w:pPr>
        <w:spacing w:before="160" w:after="80"/>
      </w:pPr>
      <w:r>
        <w:rPr>
          <w:b/>
          <w:color w:val="1A56B0"/>
          <w:sz w:val="21"/>
        </w:rPr>
        <w:t>Potencia por escena de operación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Escena</w:t>
            </w:r>
          </w:p>
        </w:tc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Luminarias activas</w:t>
            </w:r>
          </w:p>
        </w:tc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Potencia (kW)</w:t>
            </w:r>
          </w:p>
        </w:tc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Flujo (lm)</w:t>
            </w:r>
          </w:p>
        </w:tc>
      </w:tr>
      <w:tr>
        <w:tc>
          <w:tcPr>
            <w:tcW w:type="dxa" w:w="2422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7"/>
              </w:rPr>
              <w:t>Soleado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0.72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132684.0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7"/>
              </w:rPr>
              <w:t>Normal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0.72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132684.0</w:t>
            </w:r>
          </w:p>
        </w:tc>
      </w:tr>
      <w:tr>
        <w:tc>
          <w:tcPr>
            <w:tcW w:type="dxa" w:w="2422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7"/>
              </w:rPr>
              <w:t>Cubierto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0.72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132684.0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7"/>
              </w:rPr>
              <w:t>Crepuscular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0.72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132684.0</w:t>
            </w:r>
          </w:p>
        </w:tc>
      </w:tr>
      <w:tr>
        <w:tc>
          <w:tcPr>
            <w:tcW w:type="dxa" w:w="2422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7"/>
              </w:rPr>
              <w:t>Noche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0.215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44231.0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08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b/>
          <w:color w:val="1A3A6B"/>
          <w:sz w:val="24"/>
        </w:rPr>
        <w:t>8. Potencia, Energía y Mantenimiento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Escena</w:t>
            </w:r>
          </w:p>
        </w:tc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Horas/año</w:t>
            </w:r>
          </w:p>
        </w:tc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Potencia (kW)</w:t>
            </w:r>
          </w:p>
        </w:tc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Consumo (kWh/año)</w:t>
            </w:r>
          </w:p>
        </w:tc>
      </w:tr>
      <w:tr>
        <w:tc>
          <w:tcPr>
            <w:tcW w:type="dxa" w:w="2422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Soleado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1,200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864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Normal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1,800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1,296</w:t>
            </w:r>
          </w:p>
        </w:tc>
      </w:tr>
      <w:tr>
        <w:tc>
          <w:tcPr>
            <w:tcW w:type="dxa" w:w="2422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Cubierto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900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648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Crepuscular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600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432</w:t>
            </w:r>
          </w:p>
        </w:tc>
      </w:tr>
      <w:tr>
        <w:tc>
          <w:tcPr>
            <w:tcW w:type="dxa" w:w="2422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Noche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3,000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0.21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645</w:t>
            </w:r>
          </w:p>
        </w:tc>
      </w:tr>
      <w:tr>
        <w:tc>
          <w:tcPr>
            <w:tcW w:type="dxa" w:w="2422"/>
            <w:shd w:val="clear" w:color="auto" w:fill="D5E8F5"/>
          </w:tcPr>
          <w:p>
            <w:pPr>
              <w:jc w:val="center"/>
            </w:pPr>
            <w:r/>
            <w:r>
              <w:rPr>
                <w:b/>
                <w:color w:val="1A3A6B"/>
                <w:sz w:val="17"/>
              </w:rPr>
              <w:t>TOTAL</w:t>
            </w:r>
          </w:p>
        </w:tc>
        <w:tc>
          <w:tcPr>
            <w:tcW w:type="dxa" w:w="2422"/>
            <w:shd w:val="clear" w:color="auto" w:fill="D5E8F5"/>
          </w:tcPr>
          <w:p>
            <w:pPr>
              <w:jc w:val="center"/>
            </w:pPr>
            <w:r/>
            <w:r>
              <w:rPr>
                <w:b/>
                <w:color w:val="1A3A6B"/>
                <w:sz w:val="17"/>
              </w:rPr>
              <w:t>7,500</w:t>
            </w:r>
          </w:p>
        </w:tc>
        <w:tc>
          <w:tcPr>
            <w:tcW w:type="dxa" w:w="2422"/>
            <w:shd w:val="clear" w:color="auto" w:fill="D5E8F5"/>
          </w:tcPr>
          <w:p>
            <w:pPr>
              <w:jc w:val="center"/>
            </w:pPr>
            <w:r/>
            <w:r>
              <w:rPr>
                <w:b/>
                <w:color w:val="1A3A6B"/>
                <w:sz w:val="17"/>
              </w:rPr>
              <w:t>—</w:t>
            </w:r>
          </w:p>
        </w:tc>
        <w:tc>
          <w:tcPr>
            <w:tcW w:type="dxa" w:w="2422"/>
            <w:shd w:val="clear" w:color="auto" w:fill="D5E8F5"/>
          </w:tcPr>
          <w:p>
            <w:pPr>
              <w:jc w:val="center"/>
            </w:pPr>
            <w:r/>
            <w:r>
              <w:rPr>
                <w:b/>
                <w:color w:val="1A3A6B"/>
                <w:sz w:val="17"/>
              </w:rPr>
              <w:t>3,885</w:t>
            </w:r>
          </w:p>
        </w:tc>
      </w:tr>
    </w:tbl>
    <w:p>
      <w:r>
        <w:rPr>
          <w:b/>
        </w:rPr>
        <w:t xml:space="preserve">Coste anual de referencia: </w:t>
      </w:r>
      <w:r>
        <w:t xml:space="preserve">583 EUR/año </w:t>
      </w:r>
      <w:r>
        <w:rPr>
          <w:i/>
          <w:sz w:val="16"/>
        </w:rPr>
        <w:t>(tarifa 0.150 EUR/kWh; distribución anual de referencia escalada a 8,760 h/año).</w:t>
      </w:r>
    </w:p>
    <w:p>
      <w:r>
        <w:rPr>
          <w:color w:val="B26A00"/>
          <w:sz w:val="16"/>
        </w:rPr>
        <w:t>Aviso energético: faltan escenas verificadas para cubrir todas las horas adoptadas; el consumo sólo suma las escenas disponibles.</w:t>
      </w:r>
    </w:p>
    <w:p>
      <w:pPr>
        <w:spacing w:before="160" w:after="80"/>
      </w:pPr>
      <w:r>
        <w:rPr>
          <w:b/>
          <w:color w:val="1A56B0"/>
          <w:sz w:val="21"/>
        </w:rPr>
        <w:t>Criterios de mantenimiento y explotación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Factor de mantenimiento aplicado</w:t>
            </w:r>
          </w:p>
        </w:tc>
        <w:tc>
          <w:tcPr>
            <w:tcW w:type="dxa" w:w="4535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0.7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Reflectancia de paredes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0.4</w:t>
            </w:r>
          </w:p>
        </w:tc>
      </w:tr>
      <w:tr>
        <w:tc>
          <w:tcPr>
            <w:tcW w:type="dxa" w:w="3402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Reflectancia de techo</w:t>
            </w:r>
          </w:p>
        </w:tc>
        <w:tc>
          <w:tcPr>
            <w:tcW w:type="dxa" w:w="4535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0.25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Revisión en recepción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Modelo/LDT, flujo, corriente, altura, posición, tilt, escenas DALI y mediciones finales.</w:t>
            </w:r>
          </w:p>
        </w:tc>
      </w:tr>
    </w:tbl>
    <w:p>
      <w:pPr>
        <w:spacing w:before="280" w:after="80"/>
      </w:pPr>
      <w:r>
        <w:rPr>
          <w:b/>
          <w:color w:val="1A3A6B"/>
          <w:sz w:val="24"/>
        </w:rPr>
        <w:t>9. Conclusiones y Verificaciones de Recepción</w:t>
      </w:r>
    </w:p>
    <w:p>
      <w:pPr>
        <w:spacing w:before="80" w:after="80"/>
        <w:pBdr>
          <w:bottom w:val="single" w:sz="8" w:space="1" w:color="1A3A6B"/>
        </w:pBdr>
      </w:pPr>
    </w:p>
    <w:p>
      <w:r>
        <w:rPr>
          <w:b/>
          <w:color w:val="1A7A3C"/>
        </w:rPr>
        <w:t xml:space="preserve">Estado del diseño: CONFORME. </w:t>
      </w:r>
      <w:r>
        <w:t>Se cumplen el perfil CIE 88 y los criterios CIE 140 de todas las zonas verificadas.</w:t>
      </w:r>
    </w:p>
    <w:p>
      <w:pPr>
        <w:pStyle w:val="ListBullet"/>
      </w:pPr>
      <w:r>
        <w:rPr>
          <w:sz w:val="18"/>
        </w:rPr>
        <w:t>Verificar en obra la geometría efectiva, la posición transversal y la altura de montaje de cada fila.</w:t>
      </w:r>
    </w:p>
    <w:p>
      <w:pPr>
        <w:pStyle w:val="ListBullet"/>
      </w:pPr>
      <w:r>
        <w:rPr>
          <w:sz w:val="18"/>
        </w:rPr>
        <w:t>Comprobar que modelo, óptica, flujo, corriente y orientación/tilt coinciden con el listado de luminarias.</w:t>
      </w:r>
    </w:p>
    <w:p>
      <w:pPr>
        <w:pStyle w:val="ListBullet"/>
      </w:pPr>
      <w:r>
        <w:rPr>
          <w:sz w:val="18"/>
        </w:rPr>
        <w:t>Programar y ensayar las escenas y grupos DALI antes de la recepción de la instalación.</w:t>
      </w:r>
    </w:p>
    <w:p>
      <w:pPr>
        <w:pStyle w:val="ListBullet"/>
      </w:pPr>
      <w:r>
        <w:rPr>
          <w:sz w:val="18"/>
        </w:rPr>
        <w:t>Confirmar las condiciones de mantenimiento y las reflectancias adoptadas si difieren de las existentes en obra.</w:t>
      </w:r>
    </w:p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ANEXOS DE CÁLCULO E INSTALACIÓN</w:t>
      </w:r>
    </w:p>
    <w:p>
      <w:pPr>
        <w:spacing w:before="80" w:after="80"/>
        <w:pBdr>
          <w:bottom w:val="single" w:sz="8" w:space="1" w:color="1A3A6B"/>
        </w:pBdr>
      </w:pPr>
    </w:p>
    <w:p>
      <w:r>
        <w:rPr>
          <w:i/>
          <w:sz w:val="18"/>
        </w:rPr>
        <w:t>Los anexos conservan la trazabilidad necesaria para auditoría, dirección facultativa y puesta en marcha.</w:t>
      </w:r>
    </w:p>
    <w:p>
      <w:pPr>
        <w:spacing w:before="280" w:after="80"/>
      </w:pPr>
      <w:r>
        <w:rPr>
          <w:b/>
          <w:color w:val="1A3A6B"/>
          <w:sz w:val="24"/>
        </w:rPr>
        <w:t>ANEXO A. Clasificación y Distancia de Parada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Clasificación geométrica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long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Clasificación óptica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optically long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Necesidad de ilum. diurna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normal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Distancia de parada (SD)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85.0 m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Distancia de reacción (dr)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25.0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Distancia de frenado (df)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60.0 m</w:t>
            </w:r>
          </w:p>
        </w:tc>
      </w:tr>
    </w:tbl>
    <w:p>
      <w:pPr>
        <w:spacing w:before="120"/>
      </w:pPr>
      <w:r>
        <w:rPr>
          <w:b/>
          <w:sz w:val="18"/>
        </w:rPr>
        <w:t xml:space="preserve">Justificación: </w:t>
      </w:r>
      <w:r>
        <w:rPr>
          <w:sz w:val="18"/>
        </w:rPr>
        <w:t>Longitud: 160 m → long. Clasificación óptica: salida no visible desde SD=85 m, penetración de luz: poor → optically_long. Necesidad de iluminación diurna: normal.</w:t>
      </w:r>
    </w:p>
    <w:p>
      <w:pPr>
        <w:spacing w:before="280" w:after="80"/>
      </w:pPr>
      <w:r>
        <w:rPr>
          <w:b/>
          <w:color w:val="1A3A6B"/>
          <w:sz w:val="24"/>
        </w:rPr>
        <w:t>ANEXO A.2 Datos L20, Lth e Interior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L₂₀ — Luminancia campo 20°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4785.0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Método de cálculo L₂₀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Confianza del valor L₂₀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Media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Lth — Luminancia de umbral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3.0 cd/m²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Factor k (Lth = k · L₂₀)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Coef. revelación contraste qc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0.1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Lseq — Luminancia equivalente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4785.0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Lin — Luminancia interior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3.0 cd/m²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L_noche normal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L_noche reducida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1.0 cd/m²</w:t>
            </w:r>
          </w:p>
        </w:tc>
      </w:tr>
    </w:tbl>
    <w:p>
      <w:pPr>
        <w:spacing w:before="80"/>
      </w:pPr>
      <w:r>
        <w:rPr>
          <w:i/>
          <w:color w:val="666666"/>
          <w:sz w:val="17"/>
        </w:rPr>
        <w:t>Nota L₂₀: Modelo entorno: open_country_flat, orientación: S, cielo: clear</w:t>
      </w:r>
    </w:p>
    <w:p>
      <w:pPr>
        <w:spacing w:before="280" w:after="80"/>
      </w:pPr>
      <w:r>
        <w:rPr>
          <w:b/>
          <w:color w:val="1A3A6B"/>
          <w:sz w:val="24"/>
        </w:rPr>
        <w:t>ANEXO A.3 Zonas y Perfil Normativo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 w:val="true"/>
        </w:trPr>
        <w:tc>
          <w:tcPr>
            <w:tcW w:type="dxa" w:w="170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24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 inicio (m)</w:t>
            </w:r>
          </w:p>
        </w:tc>
        <w:tc>
          <w:tcPr>
            <w:tcW w:type="dxa" w:w="124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 fin (m)</w:t>
            </w:r>
          </w:p>
        </w:tc>
        <w:tc>
          <w:tcPr>
            <w:tcW w:type="dxa" w:w="130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Longitud (m)</w:t>
            </w:r>
          </w:p>
        </w:tc>
        <w:tc>
          <w:tcPr>
            <w:tcW w:type="dxa" w:w="158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inicio (cd/m²)</w:t>
            </w:r>
          </w:p>
        </w:tc>
        <w:tc>
          <w:tcPr>
            <w:tcW w:type="dxa" w:w="158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fin (cd/m²)</w:t>
            </w:r>
          </w:p>
        </w:tc>
        <w:tc>
          <w:tcPr>
            <w:tcW w:type="dxa" w:w="181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mín. req. (cd/m²)</w:t>
            </w:r>
          </w:p>
        </w:tc>
      </w:tr>
      <w:tr>
        <w:tc>
          <w:tcPr>
            <w:tcW w:type="dxa" w:w="1701"/>
            <w:shd w:val="clear" w:color="auto" w:fill="F8D7D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Acceso</w:t>
            </w:r>
          </w:p>
        </w:tc>
        <w:tc>
          <w:tcPr>
            <w:tcW w:type="dxa" w:w="124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-85.0</w:t>
            </w:r>
          </w:p>
        </w:tc>
        <w:tc>
          <w:tcPr>
            <w:tcW w:type="dxa" w:w="124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304"/>
            <w:shd w:val="clear" w:color="auto" w:fill="F8D7DA"/>
          </w:tcPr>
          <w:p>
            <w:pPr>
              <w:jc w:val="center"/>
            </w:pPr>
            <w:r/>
            <w:r>
              <w:rPr>
                <w:b/>
                <w:sz w:val="18"/>
              </w:rPr>
              <w:t>85.0</w:t>
            </w:r>
          </w:p>
        </w:tc>
        <w:tc>
          <w:tcPr>
            <w:tcW w:type="dxa" w:w="158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58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814"/>
            <w:shd w:val="clear" w:color="auto" w:fill="F8D7DA"/>
          </w:tcPr>
          <w:p>
            <w:pPr>
              <w:jc w:val="center"/>
            </w:pPr>
            <w:r/>
            <w:r>
              <w:rPr>
                <w:b/>
                <w:sz w:val="18"/>
              </w:rPr>
              <w:t>0.00</w:t>
            </w:r>
          </w:p>
        </w:tc>
      </w:tr>
      <w:tr>
        <w:tc>
          <w:tcPr>
            <w:tcW w:type="dxa" w:w="1701"/>
            <w:shd w:val="clear" w:color="auto" w:fill="FFF3CD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Umbral A</w:t>
            </w:r>
          </w:p>
        </w:tc>
        <w:tc>
          <w:tcPr>
            <w:tcW w:type="dxa" w:w="1247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247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85.0</w:t>
            </w:r>
          </w:p>
        </w:tc>
        <w:tc>
          <w:tcPr>
            <w:tcW w:type="dxa" w:w="1304"/>
            <w:shd w:val="clear" w:color="auto" w:fill="FFF3CD"/>
          </w:tcPr>
          <w:p>
            <w:pPr>
              <w:jc w:val="center"/>
            </w:pPr>
            <w:r/>
            <w:r>
              <w:rPr>
                <w:b/>
                <w:sz w:val="18"/>
              </w:rPr>
              <w:t>85.0</w:t>
            </w:r>
          </w:p>
        </w:tc>
        <w:tc>
          <w:tcPr>
            <w:tcW w:type="dxa" w:w="1587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587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814"/>
            <w:shd w:val="clear" w:color="auto" w:fill="FFF3CD"/>
          </w:tcPr>
          <w:p>
            <w:pPr>
              <w:jc w:val="center"/>
            </w:pPr>
            <w:r/>
            <w:r>
              <w:rPr>
                <w:b/>
                <w:sz w:val="18"/>
              </w:rPr>
              <w:t>3.00</w:t>
            </w:r>
          </w:p>
        </w:tc>
      </w:tr>
      <w:tr>
        <w:tc>
          <w:tcPr>
            <w:tcW w:type="dxa" w:w="1701"/>
            <w:shd w:val="clear" w:color="auto" w:fill="CFF4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Transición A</w:t>
            </w:r>
          </w:p>
        </w:tc>
        <w:tc>
          <w:tcPr>
            <w:tcW w:type="dxa" w:w="1247"/>
            <w:shd w:val="clear" w:color="auto" w:fill="CFF4F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85.0</w:t>
            </w:r>
          </w:p>
        </w:tc>
        <w:tc>
          <w:tcPr>
            <w:tcW w:type="dxa" w:w="1247"/>
            <w:shd w:val="clear" w:color="auto" w:fill="CFF4F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85.0</w:t>
            </w:r>
          </w:p>
        </w:tc>
        <w:tc>
          <w:tcPr>
            <w:tcW w:type="dxa" w:w="130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sz w:val="18"/>
              </w:rPr>
              <w:t>0.0</w:t>
            </w:r>
          </w:p>
        </w:tc>
        <w:tc>
          <w:tcPr>
            <w:tcW w:type="dxa" w:w="1587"/>
            <w:shd w:val="clear" w:color="auto" w:fill="CFF4F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587"/>
            <w:shd w:val="clear" w:color="auto" w:fill="CFF4F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81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sz w:val="18"/>
              </w:rPr>
              <w:t>3.00</w:t>
            </w:r>
          </w:p>
        </w:tc>
      </w:tr>
      <w:tr>
        <w:tc>
          <w:tcPr>
            <w:tcW w:type="dxa" w:w="1701"/>
            <w:shd w:val="clear" w:color="auto" w:fill="E2D9F3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Salida</w:t>
            </w:r>
          </w:p>
        </w:tc>
        <w:tc>
          <w:tcPr>
            <w:tcW w:type="dxa" w:w="1247"/>
            <w:shd w:val="clear" w:color="auto" w:fill="E2D9F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85.0</w:t>
            </w:r>
          </w:p>
        </w:tc>
        <w:tc>
          <w:tcPr>
            <w:tcW w:type="dxa" w:w="1247"/>
            <w:shd w:val="clear" w:color="auto" w:fill="E2D9F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160.0</w:t>
            </w:r>
          </w:p>
        </w:tc>
        <w:tc>
          <w:tcPr>
            <w:tcW w:type="dxa" w:w="1304"/>
            <w:shd w:val="clear" w:color="auto" w:fill="E2D9F3"/>
          </w:tcPr>
          <w:p>
            <w:pPr>
              <w:jc w:val="center"/>
            </w:pPr>
            <w:r/>
            <w:r>
              <w:rPr>
                <w:b/>
                <w:sz w:val="18"/>
              </w:rPr>
              <w:t>75.0</w:t>
            </w:r>
          </w:p>
        </w:tc>
        <w:tc>
          <w:tcPr>
            <w:tcW w:type="dxa" w:w="1587"/>
            <w:shd w:val="clear" w:color="auto" w:fill="E2D9F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587"/>
            <w:shd w:val="clear" w:color="auto" w:fill="E2D9F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814"/>
            <w:shd w:val="clear" w:color="auto" w:fill="E2D9F3"/>
          </w:tcPr>
          <w:p>
            <w:pPr>
              <w:jc w:val="center"/>
            </w:pPr>
            <w:r/>
            <w:r>
              <w:rPr>
                <w:b/>
                <w:sz w:val="18"/>
              </w:rPr>
              <w:t>1.50</w:t>
            </w:r>
          </w:p>
        </w:tc>
      </w:tr>
      <w:tr>
        <w:tc>
          <w:tcPr>
            <w:tcW w:type="dxa" w:w="1701"/>
            <w:shd w:val="clear" w:color="auto" w:fill="F8D7D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Partida</w:t>
            </w:r>
          </w:p>
        </w:tc>
        <w:tc>
          <w:tcPr>
            <w:tcW w:type="dxa" w:w="124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160.0</w:t>
            </w:r>
          </w:p>
        </w:tc>
        <w:tc>
          <w:tcPr>
            <w:tcW w:type="dxa" w:w="124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245.0</w:t>
            </w:r>
          </w:p>
        </w:tc>
        <w:tc>
          <w:tcPr>
            <w:tcW w:type="dxa" w:w="1304"/>
            <w:shd w:val="clear" w:color="auto" w:fill="F8D7DA"/>
          </w:tcPr>
          <w:p>
            <w:pPr>
              <w:jc w:val="center"/>
            </w:pPr>
            <w:r/>
            <w:r>
              <w:rPr>
                <w:b/>
                <w:sz w:val="18"/>
              </w:rPr>
              <w:t>85.0</w:t>
            </w:r>
          </w:p>
        </w:tc>
        <w:tc>
          <w:tcPr>
            <w:tcW w:type="dxa" w:w="158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58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814"/>
            <w:shd w:val="clear" w:color="auto" w:fill="F8D7DA"/>
          </w:tcPr>
          <w:p>
            <w:pPr>
              <w:jc w:val="center"/>
            </w:pPr>
            <w:r/>
            <w:r>
              <w:rPr>
                <w:b/>
                <w:sz w:val="18"/>
              </w:rPr>
              <w:t>1.00</w:t>
            </w:r>
          </w:p>
        </w:tc>
      </w:tr>
    </w:tbl>
    <w:p>
      <w:pPr>
        <w:spacing w:before="280" w:after="80"/>
      </w:pPr>
      <w:r>
        <w:rPr>
          <w:b/>
          <w:color w:val="1A3A6B"/>
          <w:sz w:val="24"/>
        </w:rPr>
        <w:t>ANEXO B. Verificación Fotométrica CIE 140:2019</w:t>
      </w:r>
    </w:p>
    <w:p>
      <w:pPr>
        <w:spacing w:before="80" w:after="80"/>
        <w:pBdr>
          <w:bottom w:val="single" w:sz="8" w:space="1" w:color="1A3A6B"/>
        </w:pBdr>
      </w:pPr>
    </w:p>
    <w:p>
      <w:r>
        <w:rPr>
          <w:i/>
          <w:color w:val="444444"/>
          <w:sz w:val="17"/>
        </w:rPr>
        <w:t>CIE 140:2019  ·  Tabla R3  ·  Optica F2M2  ·  H = 4.5 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rPr>
          <w:tblHeader w:val="true"/>
        </w:trPr>
        <w:tc>
          <w:tcPr>
            <w:tcW w:type="dxa" w:w="124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41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L_avg / L_req</w:t>
            </w:r>
          </w:p>
        </w:tc>
        <w:tc>
          <w:tcPr>
            <w:tcW w:type="dxa" w:w="96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U0 &gt;=0.40</w:t>
            </w:r>
          </w:p>
        </w:tc>
        <w:tc>
          <w:tcPr>
            <w:tcW w:type="dxa" w:w="96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Ul &gt;=0.60</w:t>
            </w:r>
          </w:p>
        </w:tc>
        <w:tc>
          <w:tcPr>
            <w:tcW w:type="dxa" w:w="96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 &lt;=15%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24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BASE A–B</w:t>
            </w:r>
          </w:p>
        </w:tc>
        <w:tc>
          <w:tcPr>
            <w:tcW w:type="dxa" w:w="141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3.1 / 3.0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0.42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0.676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4.9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7A3C"/>
                <w:sz w:val="18"/>
              </w:rPr>
              <w:t>CUMPLE</w:t>
            </w:r>
          </w:p>
        </w:tc>
      </w:tr>
    </w:tbl>
    <w:p/>
    <w:p>
      <w:pPr>
        <w:spacing w:before="160" w:after="80"/>
      </w:pPr>
      <w:r>
        <w:rPr>
          <w:b/>
          <w:color w:val="1A56B0"/>
          <w:sz w:val="21"/>
        </w:rPr>
        <w:t>Verificación por carril y sentido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blHeader w:val="true"/>
        </w:trPr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Carril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Sentido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/ Lreq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U0 carril*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Ul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211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color w:val="222222"/>
                <w:sz w:val="15"/>
              </w:rPr>
              <w:t>BASE A–B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A → B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2.41 / 3.0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0.4759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0.6759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3.313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C0392B"/>
                <w:sz w:val="15"/>
              </w:rPr>
              <w:t>REVISAR</w:t>
            </w:r>
          </w:p>
        </w:tc>
      </w:tr>
      <w:tr>
        <w:tc>
          <w:tcPr>
            <w:tcW w:type="dxa" w:w="121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22222"/>
                <w:sz w:val="15"/>
              </w:rPr>
              <w:t>BASE A–B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A → B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3.474 / 3.0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0.7116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0.8443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4.943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7A3C"/>
                <w:sz w:val="15"/>
              </w:rPr>
              <w:t>CUMPLE</w:t>
            </w:r>
          </w:p>
        </w:tc>
      </w:tr>
    </w:tbl>
    <w:p>
      <w:r>
        <w:rPr>
          <w:color w:val="666666"/>
          <w:sz w:val="15"/>
        </w:rPr>
        <w:t>* U0 por carril es un diagnóstico adicional. La conformidad normativa de U0 se calcula sobre toda la calzada para cada observador; Ul se verifica sobre el eje de cada carril. En el resumen gobierna el peor resultado.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453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158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158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4535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CIE 140:2019 global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todas las zonas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7A3C"/>
                <w:sz w:val="18"/>
              </w:rPr>
              <w:t>CUMPLE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Perfil longitudinal normativo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CIE 88:2004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7A3C"/>
                <w:sz w:val="18"/>
              </w:rPr>
              <w:t>CUMPLE</w:t>
            </w:r>
          </w:p>
        </w:tc>
      </w:tr>
      <w:tr>
        <w:tc>
          <w:tcPr>
            <w:tcW w:type="dxa" w:w="4535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Ratios de transicion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&lt;= 3:1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7A3C"/>
                <w:sz w:val="18"/>
              </w:rPr>
              <w:t>CUMPLE</w:t>
            </w:r>
          </w:p>
        </w:tc>
      </w:tr>
    </w:tbl>
    <w:p/>
    <w:p>
      <w:pPr>
        <w:spacing w:before="160" w:after="80"/>
      </w:pPr>
      <w:r>
        <w:rPr>
          <w:b/>
          <w:color w:val="1A56B0"/>
          <w:sz w:val="21"/>
        </w:rPr>
        <w:t>Advertencias del cálculo</w:t>
      </w:r>
    </w:p>
    <w:p>
      <w:pPr>
        <w:spacing w:before="80" w:after="80"/>
        <w:pBdr>
          <w:bottom w:val="single" w:sz="8" w:space="1" w:color="1A56B0"/>
        </w:pBdr>
      </w:pPr>
    </w:p>
    <w:p>
      <w:pPr>
        <w:pStyle w:val="ListBullet"/>
      </w:pPr>
      <w:r>
        <w:rPr>
          <w:color w:val="C0392B"/>
          <w:sz w:val="18"/>
        </w:rPr>
        <w:t>Clase 1 OC 36/2015: no hay requisito de Lth; el perfil usa Lin únicamente como nivel de continuidad.</w:t>
      </w:r>
    </w:p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ANEXO B.1. Caso crítico CIE 140 — BASE A–B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 w:val="true"/>
        </w:trPr>
        <w:tc>
          <w:tcPr>
            <w:tcW w:type="dxa" w:w="1938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Criterio gobernante</w:t>
            </w:r>
          </w:p>
        </w:tc>
        <w:tc>
          <w:tcPr>
            <w:tcW w:type="dxa" w:w="1938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 (m)</w:t>
            </w:r>
          </w:p>
        </w:tc>
        <w:tc>
          <w:tcPr>
            <w:tcW w:type="dxa" w:w="1938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type="dxa" w:w="1938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Observador</w:t>
            </w:r>
          </w:p>
        </w:tc>
        <w:tc>
          <w:tcPr>
            <w:tcW w:type="dxa" w:w="1938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Referencia</w:t>
            </w:r>
          </w:p>
        </w:tc>
      </w:tr>
      <w:tr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Luminancia media mínima</w:t>
            </w:r>
          </w:p>
        </w:tc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144.0–160.0</w:t>
            </w:r>
          </w:p>
        </w:tc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</w:t>
            </w:r>
          </w:p>
        </w:tc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C2 / A→B</w:t>
            </w:r>
          </w:p>
        </w:tc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cd/m²</w:t>
            </w:r>
          </w:p>
        </w:tc>
      </w:tr>
      <w:tr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Uniformidad general mínima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128.0–144.0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0.360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C2 / A→B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Uniformidad longitudinal mínima</w:t>
            </w:r>
          </w:p>
        </w:tc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144.0–160.0</w:t>
            </w:r>
          </w:p>
        </w:tc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0.676</w:t>
            </w:r>
          </w:p>
        </w:tc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C2 / A→B</w:t>
            </w:r>
          </w:p>
        </w:tc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Incremento de umbral máximo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144.0–160.0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4.9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C2 / A→B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3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 xml:space="preserve">SALVI Tunnel Engine (STE) — CIE 88:2004 — </w:t>
    </w:r>
    <w:r>
      <w:rPr>
        <w:color w:val="888888"/>
        <w:sz w:val="15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