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数据平台产品手册</w:t>
      </w:r>
    </w:p>
    <w:p>
      <w:r>
        <w:t>本手册适用于</w:t>
      </w:r>
      <w:r>
        <w:rPr>
          <w:b/>
        </w:rPr>
        <w:t>数据平台 2.3 版本</w:t>
      </w:r>
      <w:r>
        <w:t>，面向系统管理员和数据分析师。阅读前请确认已获得</w:t>
      </w:r>
      <w:r>
        <w:rPr>
          <w:i/>
          <w:color w:val="C00000"/>
        </w:rPr>
        <w:t>管理员权限</w:t>
      </w:r>
      <w:r>
        <w:t>。更新日志见</w:t>
      </w:r>
      <w:hyperlink r:id="rId11">
        <w:r>
          <w:rPr>
            <w:rStyle w:val="Hyperlink"/>
          </w:rPr>
          <w:t>官方更新日志</w:t>
        </w:r>
      </w:hyperlink>
      <w:r>
        <w:t>。</w:t>
      </w:r>
    </w:p>
    <w:p>
      <w:pPr>
        <w:pStyle w:val="Heading1"/>
      </w:pPr>
      <w:r>
        <w:t>1 安装部署</w:t>
      </w:r>
    </w:p>
    <w:p>
      <w:pPr>
        <w:pStyle w:val="Heading2"/>
      </w:pPr>
      <w:r>
        <w:t>1.1 环境要求</w:t>
      </w:r>
    </w:p>
    <w:p>
      <w:r>
        <w:t>部署前需要准备以下环境：</w:t>
      </w:r>
    </w:p>
    <w:p>
      <w:pPr>
        <w:pStyle w:val="ListBullet"/>
      </w:pPr>
      <w:r>
        <w:t>操作系统：Ubuntu 22.04 或 CentOS 8</w:t>
      </w:r>
    </w:p>
    <w:p>
      <w:pPr>
        <w:pStyle w:val="ListBullet"/>
      </w:pPr>
      <w:r>
        <w:t>内存不少于 16 GB</w:t>
      </w:r>
    </w:p>
    <w:p>
      <w:pPr>
        <w:pStyle w:val="ListBullet2"/>
      </w:pPr>
      <w:r>
        <w:t>生产环境建议 32 GB</w:t>
      </w:r>
    </w:p>
    <w:p>
      <w:pPr>
        <w:pStyle w:val="ListBullet"/>
      </w:pPr>
      <w:r>
        <w:t>数据库：PostgreSQL 14 及以上</w:t>
      </w:r>
    </w:p>
    <w:p>
      <w:pPr>
        <w:pStyle w:val="Heading2"/>
      </w:pPr>
      <w:r>
        <w:t>1.2 安装步骤</w:t>
      </w:r>
    </w:p>
    <w:p>
      <w:pPr>
        <w:pStyle w:val="ListNumber"/>
      </w:pPr>
      <w:r>
        <w:t>下载安装包并校验 SHA-256</w:t>
      </w:r>
    </w:p>
    <w:p>
      <w:pPr>
        <w:pStyle w:val="ListNumber"/>
      </w:pPr>
      <w:r>
        <w:t>解压后执行安装脚本：</w:t>
      </w:r>
    </w:p>
    <w:p>
      <w:r>
        <w:rPr>
          <w:rFonts w:ascii="Courier New" w:hAnsi="Courier New"/>
          <w:sz w:val="18"/>
        </w:rPr>
        <w:t>tar -xzf dataplat-2.3.tar.gz</w:t>
        <w:br/>
        <w:t>cd dataplat &amp;&amp; sudo ./install.sh --prefix /opt/dataplat</w:t>
      </w:r>
    </w:p>
    <w:p>
      <w:pPr>
        <w:pStyle w:val="ListNumber"/>
      </w:pPr>
      <w:r>
        <w:t>访问 http://&lt;服务器IP&gt;:8080 完成初始化</w:t>
      </w:r>
    </w:p>
    <w:p>
      <w:pPr>
        <w:pStyle w:val="Heading3"/>
      </w:pPr>
      <w:r>
        <w:t>1.2.1 常见安装问题</w:t>
      </w:r>
    </w:p>
    <w:p>
      <w:pPr>
        <w:pStyle w:val="IntenseQuote"/>
      </w:pPr>
      <w:r>
        <w:t>若提示端口被占用，请修改 config.yaml 中的 server.port。</w:t>
      </w:r>
    </w:p>
    <w:p>
      <w:pPr>
        <w:pStyle w:val="Heading1"/>
      </w:pPr>
      <w:r>
        <w:t>2 计费说明</w:t>
      </w:r>
    </w:p>
    <w:p>
      <w:r>
        <w:t>各版本价格如表 1 所示，标准版和企业版的年费合并显示在“订阅”列组下。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Merge w:val="restart"/>
          </w:tcPr>
          <w:p>
            <w:r>
              <w:t>版本</w:t>
            </w:r>
          </w:p>
          <w:p>
            <w:r/>
          </w:p>
        </w:tc>
        <w:tc>
          <w:tcPr>
            <w:tcW w:type="dxa" w:w="4320"/>
            <w:gridSpan w:val="2"/>
          </w:tcPr>
          <w:p>
            <w:r>
              <w:t>订阅</w:t>
            </w:r>
          </w:p>
          <w:p>
            <w:r/>
          </w:p>
        </w:tc>
        <w:tc>
          <w:tcPr>
            <w:tcW w:type="dxa" w:w="2160"/>
            <w:vMerge w:val="restart"/>
          </w:tcPr>
          <w:p>
            <w:r>
              <w:t>备注</w:t>
            </w:r>
          </w:p>
          <w:p>
            <w:r/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月费（元）</w:t>
            </w:r>
          </w:p>
        </w:tc>
        <w:tc>
          <w:tcPr>
            <w:tcW w:type="dxa" w:w="2160"/>
          </w:tcPr>
          <w:p>
            <w:r>
              <w:t>年费（元）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</w:tcPr>
          <w:p>
            <w:r>
              <w:t>基础版</w:t>
            </w:r>
          </w:p>
        </w:tc>
        <w:tc>
          <w:tcPr>
            <w:tcW w:type="dxa" w:w="2160"/>
          </w:tcPr>
          <w:p>
            <w:r>
              <w:t>999</w:t>
            </w:r>
          </w:p>
        </w:tc>
        <w:tc>
          <w:tcPr>
            <w:tcW w:type="dxa" w:w="2160"/>
          </w:tcPr>
          <w:p>
            <w:r>
              <w:t>9,990</w:t>
            </w:r>
          </w:p>
        </w:tc>
        <w:tc>
          <w:tcPr>
            <w:tcW w:type="dxa" w:w="2160"/>
          </w:tcPr>
          <w:p>
            <w:r>
              <w:t>不含技术支持</w:t>
            </w:r>
          </w:p>
        </w:tc>
      </w:tr>
      <w:tr>
        <w:tc>
          <w:tcPr>
            <w:tcW w:type="dxa" w:w="2160"/>
          </w:tcPr>
          <w:p>
            <w:r>
              <w:t>标准版</w:t>
            </w:r>
          </w:p>
        </w:tc>
        <w:tc>
          <w:tcPr>
            <w:tcW w:type="dxa" w:w="2160"/>
          </w:tcPr>
          <w:p>
            <w:r>
              <w:t>2,999</w:t>
            </w:r>
          </w:p>
        </w:tc>
        <w:tc>
          <w:tcPr>
            <w:tcW w:type="dxa" w:w="2160"/>
          </w:tcPr>
          <w:p>
            <w:r>
              <w:t>29,990</w:t>
            </w:r>
          </w:p>
        </w:tc>
        <w:tc>
          <w:tcPr>
            <w:tcW w:type="dxa" w:w="2160"/>
          </w:tcPr>
          <w:p>
            <w:r>
              <w:t>工作日支持</w:t>
            </w:r>
          </w:p>
        </w:tc>
      </w:tr>
      <w:tr>
        <w:tc>
          <w:tcPr>
            <w:tcW w:type="dxa" w:w="2160"/>
          </w:tcPr>
          <w:p>
            <w:r>
              <w:t>企业版</w:t>
            </w:r>
          </w:p>
        </w:tc>
        <w:tc>
          <w:tcPr>
            <w:tcW w:type="dxa" w:w="2160"/>
          </w:tcPr>
          <w:p>
            <w:r>
              <w:t>面议</w:t>
            </w:r>
          </w:p>
        </w:tc>
        <w:tc>
          <w:tcPr>
            <w:tcW w:type="dxa" w:w="2160"/>
          </w:tcPr>
          <w:p>
            <w:r>
              <w:t>面议</w:t>
            </w:r>
          </w:p>
        </w:tc>
        <w:tc>
          <w:tcPr>
            <w:tcW w:type="dxa" w:w="2160"/>
          </w:tcPr>
          <w:p>
            <w:r>
              <w:t>7×24 小时支持</w:t>
            </w:r>
          </w:p>
        </w:tc>
      </w:tr>
    </w:tbl>
    <w:p>
      <w:pPr>
        <w:pStyle w:val="Caption"/>
      </w:pPr>
      <w:r>
        <w:t>表 1 各版本价格</w:t>
      </w:r>
    </w:p>
    <w:p>
      <w:pPr>
        <w:pStyle w:val="Heading1"/>
      </w:pPr>
      <w:r>
        <w:t>3 数据分析</w:t>
      </w:r>
    </w:p>
    <w:p>
      <w:r>
        <w:t>平台内置的报表模块可以直接生成区域营收对比图，如图 1 所示。</w:t>
      </w:r>
    </w:p>
    <w:p>
      <w:r>
        <w:drawing>
          <wp:inline xmlns:a="http://schemas.openxmlformats.org/drawingml/2006/main" xmlns:pic="http://schemas.openxmlformats.org/drawingml/2006/picture">
            <wp:extent cx="4114800" cy="26499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49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各区域季度营收对比</w:t>
      </w:r>
    </w:p>
    <w:p>
      <w:r>
        <w:t>同比增长率按下式计算：</w:t>
      </w:r>
    </w:p>
    <w:p>
      <w:r>
        <w:drawing>
          <wp:inline xmlns:a="http://schemas.openxmlformats.org/drawingml/2006/main" xmlns:pic="http://schemas.openxmlformats.org/drawingml/2006/picture">
            <wp:extent cx="2011680" cy="4276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27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 报销流程</w:t>
      </w:r>
    </w:p>
    <w:p>
      <w:r>
        <w:t>使用平台费用模块报销时，单据按图 2 所示的四个环节流转，任一环节驳回都会退回申请人。</w:t>
      </w:r>
    </w:p>
    <w:p>
      <w:r>
        <w:drawing>
          <wp:inline xmlns:a="http://schemas.openxmlformats.org/drawingml/2006/main" xmlns:pic="http://schemas.openxmlformats.org/drawingml/2006/picture">
            <wp:extent cx="5029200" cy="111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报销审批流程</w:t>
      </w:r>
    </w:p>
    <w:p>
      <w:pPr>
        <w:pStyle w:val="Heading1"/>
      </w:pPr>
      <w:r>
        <w:t>附录 A 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术语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RRF</w:t>
            </w:r>
          </w:p>
        </w:tc>
        <w:tc>
          <w:tcPr>
            <w:tcW w:type="dxa" w:w="4320"/>
          </w:tcPr>
          <w:p>
            <w:r>
              <w:t>倒数排名融合，一种多路召回融合方法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服务等级协议，约定可用性与响应时间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内部资料，请勿外传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星河科技 · 数据平台产品手册 v2.3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xample.com/changelog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