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</w:pPr>
      <w:r>
        <w:rPr>
          <w:rFonts w:ascii="Calibri" w:hAnsi="Calibri" w:eastAsia="Calibri"/>
          <w:b/>
          <w:color w:val="6E2430"/>
          <w:sz w:val="44"/>
        </w:rPr>
        <w:t>INFORME DE DESARROLLO</w:t>
      </w:r>
    </w:p>
    <w:p>
      <w:pPr>
        <w:spacing w:before="0" w:after="200" w:line="259" w:lineRule="auto"/>
      </w:pPr>
      <w:r>
        <w:rPr>
          <w:rFonts w:ascii="Calibri" w:hAnsi="Calibri" w:eastAsia="Calibri"/>
          <w:b/>
          <w:color w:val="1C1C1C"/>
          <w:sz w:val="26"/>
        </w:rPr>
        <w:t>Resumen de Avances y Actividades del Proyecto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C1C1C"/>
          <w:sz w:val="22"/>
        </w:rPr>
        <w:t>Período de Ejecución: 2 al viernes 23 de octubre de 2026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C1C1C"/>
          <w:sz w:val="22"/>
        </w:rPr>
        <w:t>Estatus General: En progreso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color w:val="1C1C1C"/>
          <w:sz w:val="22"/>
        </w:rPr>
        <w:t>Tecnologías Principales: SvelteKit, Node y PostgreSQL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color w:val="1C1C1C"/>
          <w:sz w:val="22"/>
        </w:rPr>
        <w:t>Área / Módulo: Acceso, minería, 1 x 1000 y timbres fiscales</w:t>
      </w:r>
    </w:p>
    <w:p>
      <w:pPr>
        <w:spacing w:before="280" w:after="120" w:line="259" w:lineRule="auto"/>
      </w:pPr>
      <w:r>
        <w:rPr>
          <w:rFonts w:ascii="Calibri" w:hAnsi="Calibri" w:eastAsia="Calibri"/>
          <w:b/>
          <w:color w:val="6E2430"/>
          <w:sz w:val="32"/>
        </w:rPr>
        <w:t>1. Introducción y Objetivo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color w:val="1C1C1C"/>
          <w:sz w:val="22"/>
        </w:rPr>
        <w:t>El presente documento detalla las actividades y los hitos alcanzados desde el 2 de octubre hasta el viernes 23 de octubre de 2026. Al inicio, el trabajo se concentró en dejar listo el entorno local y la organización del proyecto. En los días siguientes se cerró el acceso de los contribuyentes, con registro, inicio de sesión y aprobación del expediente, y quedó disponible la tasa diaria del BCV. Las pantallas de entrada al sistema ya acompañan ese avance. Sobre esa base quedaron en uso las declaraciones de minería, el impuesto del 1 x 1000, el alta de verificadores del SAREN y la emisión del timbre fiscal en PDF con código QR firmado. Tesorería, la verificación de timbres en el SAREN, los reportes, el POA y la auditoría siguen pendientes.</w:t>
      </w:r>
    </w:p>
    <w:p>
      <w:pPr>
        <w:spacing w:before="280" w:after="120" w:line="259" w:lineRule="auto"/>
      </w:pPr>
      <w:r>
        <w:rPr>
          <w:rFonts w:ascii="Calibri" w:hAnsi="Calibri" w:eastAsia="Calibri"/>
          <w:b/>
          <w:color w:val="6E2430"/>
          <w:sz w:val="32"/>
        </w:rPr>
        <w:t>2. Configuración de Infraestructura y Entorno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color w:val="1C1C1C"/>
          <w:sz w:val="22"/>
        </w:rPr>
        <w:t>Para que el equipo trabaje sobre la misma base, se completó la preparación inicial del proyecto. Estos son los puntos atendidos: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color w:val="1C1C1C"/>
          <w:sz w:val="22"/>
        </w:rPr>
        <w:t>Configuración de Entornos de Trabajo: Los entornos locales quedaron listos para trabajar las pantallas y el servidor de forma homogénea.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color w:val="1C1C1C"/>
          <w:sz w:val="22"/>
        </w:rPr>
        <w:t>Estructuración de Carpetas y Proyecto: El proyecto quedó organizado como un monorepo, con las pantallas en SvelteKit, el servidor en Node y los datos en PostgreSQL.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color w:val="1C1C1C"/>
          <w:sz w:val="22"/>
        </w:rPr>
        <w:t>Despliegue e Instalación de Coolify en Servidor: El 2 de octubre se reportó la instalación de Coolify en el servidor; esa instalación sigue por confirmar.</w:t>
      </w:r>
    </w:p>
    <w:p>
      <w:pPr>
        <w:spacing w:before="280" w:after="120" w:line="259" w:lineRule="auto"/>
      </w:pPr>
      <w:r>
        <w:rPr>
          <w:rFonts w:ascii="Calibri" w:hAnsi="Calibri" w:eastAsia="Calibri"/>
          <w:b/>
          <w:color w:val="6E2430"/>
          <w:sz w:val="32"/>
        </w:rPr>
        <w:t>3. Avances en el Desarrollo de Software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color w:val="1C1C1C"/>
          <w:sz w:val="22"/>
        </w:rPr>
        <w:t>El desarrollo se apoya en SvelteKit para las pantallas, en Node para la lógica del servidor y en PostgreSQL para guardar la información. Con esa base ya funcionan el acceso de los contribuyentes, la tasa diaria, la minería, el 1 x 1000 y el timbre fiscal.</w:t>
      </w:r>
    </w:p>
    <w:p>
      <w:pPr>
        <w:spacing w:before="200" w:after="80" w:line="259" w:lineRule="auto"/>
      </w:pPr>
      <w:r>
        <w:rPr>
          <w:rFonts w:ascii="Calibri" w:hAnsi="Calibri" w:eastAsia="Calibri"/>
          <w:b/>
          <w:color w:val="6E2430"/>
          <w:sz w:val="26"/>
        </w:rPr>
        <w:t>3.1 Stack Tecnológico Implementado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color w:val="1C1C1C"/>
          <w:sz w:val="22"/>
        </w:rPr>
        <w:t>Las pantallas se construyen con SvelteKit y el servidor con Node, y la información queda en PostgreSQL. Esa combinación ya está en uso y es la que sostiene el acceso, la consulta de la tasa diaria y los módulos de recaudación que ya cerraron.</w:t>
      </w:r>
    </w:p>
    <w:p>
      <w:pPr>
        <w:spacing w:before="200" w:after="80" w:line="259" w:lineRule="auto"/>
      </w:pPr>
      <w:r>
        <w:rPr>
          <w:rFonts w:ascii="Calibri" w:hAnsi="Calibri" w:eastAsia="Calibri"/>
          <w:b/>
          <w:color w:val="6E2430"/>
          <w:sz w:val="26"/>
        </w:rPr>
        <w:t>3.2 Primer Módulo: Gestión de Usuarios y Timbres Fiscales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color w:val="1C1C1C"/>
          <w:sz w:val="22"/>
        </w:rPr>
        <w:t>La gestión de usuarios y el acceso están terminados. La persona puede registrarse, iniciar sesión y quedar a la espera de que se apruebe su expediente. El inicio de sesión no exige esa aprobación. La emisión del timbre sí la exige: solo un contribuyente con el expediente aprobado obtiene el timbre. El documento sale en PDF, con un código QR firmado, y el monto en bolívares usa la tasa del BCV que el sistema ya tiene guardada. El timbre queda vigente al emitirse. La pantalla de compra todavía muestra un ejemplo y no pide el timbre. La portada, el login, el registro, el escritorio, el perfil y las solicitudes pendientes ya están. También quedó el alta de cuentas de verificadores del SAREN, para el personal que más adelante revisará los timbres.</w:t>
      </w:r>
    </w:p>
    <w:p>
      <w:pPr>
        <w:spacing w:before="200" w:after="80" w:line="259" w:lineRule="auto"/>
      </w:pPr>
      <w:r>
        <w:rPr>
          <w:rFonts w:ascii="Calibri" w:hAnsi="Calibri" w:eastAsia="Calibri"/>
          <w:b/>
          <w:color w:val="6E2430"/>
          <w:sz w:val="26"/>
        </w:rPr>
        <w:t>3.3 Tasa diaria del BCV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color w:val="1C1C1C"/>
          <w:sz w:val="22"/>
        </w:rPr>
        <w:t>Quedó lista la tasa diaria del BCV. El sistema la consulta cada día y la conserva. Esa tasa es la que convierte el valor en euros del timbre a bolívares.</w:t>
      </w:r>
    </w:p>
    <w:p>
      <w:pPr>
        <w:spacing w:before="200" w:after="80" w:line="259" w:lineRule="auto"/>
      </w:pPr>
      <w:r>
        <w:rPr>
          <w:rFonts w:ascii="Calibri" w:hAnsi="Calibri" w:eastAsia="Calibri"/>
          <w:b/>
          <w:color w:val="6E2430"/>
          <w:sz w:val="26"/>
        </w:rPr>
        <w:t>3.4 Declaraciones de minería y el impuesto del 1 x 1000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color w:val="1C1C1C"/>
          <w:sz w:val="22"/>
        </w:rPr>
        <w:t>Las declaraciones de minería ya se registran. El impuesto sale del volumen, el precio y la alícuota de la actividad: extracción, procesamiento o subproducto. Si la declaración se presenta fuera del lapso, queda marcada y se indica la sanción legal de 1.000 euros para el expediente. Esa sanción no se suma al monto de la planilla. El impuesto del 1 x 1000 también quedó en uso: se carga una orden de pago o un lote, y el impuesto es el monto ejecutado dividido entre mil.</w:t>
      </w:r>
    </w:p>
    <w:p>
      <w:pPr>
        <w:spacing w:before="280" w:after="120" w:line="259" w:lineRule="auto"/>
      </w:pPr>
      <w:r>
        <w:rPr>
          <w:rFonts w:ascii="Calibri" w:hAnsi="Calibri" w:eastAsia="Calibri"/>
          <w:b/>
          <w:color w:val="6E2430"/>
          <w:sz w:val="32"/>
        </w:rPr>
        <w:t>4. Cuadro Resumen de Actividades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  <w:shd w:fill="6E243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5329"/>
            <w:shd w:fill="6E243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 del Avance</w:t>
            </w:r>
          </w:p>
        </w:tc>
        <w:tc>
          <w:tcPr>
            <w:tcW w:type="dxa" w:w="1814"/>
            <w:shd w:fill="6E243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Entornos de Trabajo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Entornos locales listos para las pantallas y el servidor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1C1C1C"/>
                <w:sz w:val="20"/>
              </w:rPr>
              <w:t>Completado</w:t>
            </w:r>
          </w:p>
        </w:tc>
      </w:tr>
      <w:tr>
        <w:tc>
          <w:tcPr>
            <w:tcW w:type="dxa" w:w="2608"/>
            <w:shd w:fill="F7F1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Estructura de Proyecto</w:t>
            </w:r>
          </w:p>
        </w:tc>
        <w:tc>
          <w:tcPr>
            <w:tcW w:type="dxa" w:w="5329"/>
            <w:shd w:fill="F7F1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Monorepo con SvelteKit, Node y PostgreSQL</w:t>
            </w:r>
          </w:p>
        </w:tc>
        <w:tc>
          <w:tcPr>
            <w:tcW w:type="dxa" w:w="1814"/>
            <w:shd w:fill="F7F1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1C1C1C"/>
                <w:sz w:val="20"/>
              </w:rPr>
              <w:t>Completado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Servidor / Despliegue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Coolify se reportó el 2 de octubre y sigue por confirmar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1C1C1C"/>
                <w:sz w:val="20"/>
              </w:rPr>
              <w:t>Por confirmar</w:t>
            </w:r>
          </w:p>
        </w:tc>
      </w:tr>
      <w:tr>
        <w:tc>
          <w:tcPr>
            <w:tcW w:type="dxa" w:w="2608"/>
            <w:shd w:fill="F7F1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Acceso de contribuyentes</w:t>
            </w:r>
          </w:p>
        </w:tc>
        <w:tc>
          <w:tcPr>
            <w:tcW w:type="dxa" w:w="5329"/>
            <w:shd w:fill="F7F1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Registro, inicio de sesión y aprobación del expediente</w:t>
            </w:r>
          </w:p>
        </w:tc>
        <w:tc>
          <w:tcPr>
            <w:tcW w:type="dxa" w:w="1814"/>
            <w:shd w:fill="F7F1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1C1C1C"/>
                <w:sz w:val="20"/>
              </w:rPr>
              <w:t>Completado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Tasa BCV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Consulta diaria de la tasa, usada también para el timbre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1C1C1C"/>
                <w:sz w:val="20"/>
              </w:rPr>
              <w:t>Completado</w:t>
            </w:r>
          </w:p>
        </w:tc>
      </w:tr>
      <w:tr>
        <w:tc>
          <w:tcPr>
            <w:tcW w:type="dxa" w:w="2608"/>
            <w:shd w:fill="F7F1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Pantallas de acceso</w:t>
            </w:r>
          </w:p>
        </w:tc>
        <w:tc>
          <w:tcPr>
            <w:tcW w:type="dxa" w:w="5329"/>
            <w:shd w:fill="F7F1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Portada, login, registro, escritorio, perfil y pendientes</w:t>
            </w:r>
          </w:p>
        </w:tc>
        <w:tc>
          <w:tcPr>
            <w:tcW w:type="dxa" w:w="1814"/>
            <w:shd w:fill="F7F1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1C1C1C"/>
                <w:sz w:val="20"/>
              </w:rPr>
              <w:t>Completado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Declaraciones de minería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Impuesto por actividad. Si es extemporánea, sanción de 1.000 euros fuera de la planilla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1C1C1C"/>
                <w:sz w:val="20"/>
              </w:rPr>
              <w:t>Completado</w:t>
            </w:r>
          </w:p>
        </w:tc>
      </w:tr>
      <w:tr>
        <w:tc>
          <w:tcPr>
            <w:tcW w:type="dxa" w:w="2608"/>
            <w:shd w:fill="F7F1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Impuesto del 1 x 1000</w:t>
            </w:r>
          </w:p>
        </w:tc>
        <w:tc>
          <w:tcPr>
            <w:tcW w:type="dxa" w:w="5329"/>
            <w:shd w:fill="F7F1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Carga de una orden o de un lote</w:t>
            </w:r>
          </w:p>
        </w:tc>
        <w:tc>
          <w:tcPr>
            <w:tcW w:type="dxa" w:w="1814"/>
            <w:shd w:fill="F7F1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1C1C1C"/>
                <w:sz w:val="20"/>
              </w:rPr>
              <w:t>Completado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Verificadores SAREN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Alta de cuentas del personal que verificará timbres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1C1C1C"/>
                <w:sz w:val="20"/>
              </w:rPr>
              <w:t>Completado</w:t>
            </w:r>
          </w:p>
        </w:tc>
      </w:tr>
      <w:tr>
        <w:tc>
          <w:tcPr>
            <w:tcW w:type="dxa" w:w="2608"/>
            <w:shd w:fill="F7F1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Timbres fiscales</w:t>
            </w:r>
          </w:p>
        </w:tc>
        <w:tc>
          <w:tcPr>
            <w:tcW w:type="dxa" w:w="5329"/>
            <w:shd w:fill="F7F1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PDF y código QR firmado. La pantalla de compra sigue de ejemplo</w:t>
            </w:r>
          </w:p>
        </w:tc>
        <w:tc>
          <w:tcPr>
            <w:tcW w:type="dxa" w:w="1814"/>
            <w:shd w:fill="F7F1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1C1C1C"/>
                <w:sz w:val="20"/>
              </w:rPr>
              <w:t>Completado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Tesorería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Registro y conciliación de pagos. La pantalla es de ejemplo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1C1C1C"/>
                <w:sz w:val="20"/>
              </w:rPr>
              <w:t>Pendiente</w:t>
            </w:r>
          </w:p>
        </w:tc>
      </w:tr>
      <w:tr>
        <w:tc>
          <w:tcPr>
            <w:tcW w:type="dxa" w:w="2608"/>
            <w:shd w:fill="F7F1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Verificación SAREN</w:t>
            </w:r>
          </w:p>
        </w:tc>
        <w:tc>
          <w:tcPr>
            <w:tcW w:type="dxa" w:w="5329"/>
            <w:shd w:fill="F7F1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Lectura y consumo del timbre. La pantalla es de ejemplo</w:t>
            </w:r>
          </w:p>
        </w:tc>
        <w:tc>
          <w:tcPr>
            <w:tcW w:type="dxa" w:w="1814"/>
            <w:shd w:fill="F7F1F2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1C1C1C"/>
                <w:sz w:val="20"/>
              </w:rPr>
              <w:t>Pendiente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Reportes, POA y auditoría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C1C1C"/>
                <w:sz w:val="20"/>
              </w:rPr>
              <w:t>Tablero, exportaciones y revisión de lo actuado. Las pantallas son de ejemplo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1C1C1C"/>
                <w:sz w:val="20"/>
              </w:rPr>
              <w:t>Pendiente</w:t>
            </w:r>
          </w:p>
        </w:tc>
      </w:tr>
    </w:tbl>
    <w:p>
      <w:pPr>
        <w:spacing w:before="280" w:after="120" w:line="259" w:lineRule="auto"/>
      </w:pPr>
      <w:r>
        <w:rPr>
          <w:rFonts w:ascii="Calibri" w:hAnsi="Calibri" w:eastAsia="Calibri"/>
          <w:b/>
          <w:color w:val="6E2430"/>
          <w:sz w:val="32"/>
        </w:rPr>
        <w:t>5. Próximos Pasos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color w:val="1C1C1C"/>
          <w:sz w:val="22"/>
        </w:rPr>
        <w:t>El siguiente paso es la tesorería: registrar el pago y conciliarlo. Después quedan la verificación del timbre en el SAREN, y los reportes, el POA y la auditoría. Esas pantallas muestran datos de ejemplo y todavía no operan.</w:t>
      </w:r>
    </w:p>
    <w:p>
      <w:pPr>
        <w:spacing w:before="0" w:after="160" w:line="259" w:lineRule="auto"/>
      </w:pPr>
      <w:r>
        <w:rPr>
          <w:rFonts w:ascii="Calibri" w:hAnsi="Calibri" w:eastAsia="Calibri"/>
          <w:b w:val="0"/>
          <w:color w:val="1C1C1C"/>
          <w:sz w:val="22"/>
        </w:rPr>
        <w:t>Confirmar la instalación de Coolify reportada el 2 de octubre, para poder llevar el proyecto al servidor.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1C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desarrollo SATET</dc:title>
  <dc:subject>Resumen de avances al viernes 23 de octubre de 2026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Informe</cp:category>
  <dc:language>es-ES</dc:language>
</cp:coreProperties>
</file>