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/>
          <w:color w:val="5C1524"/>
          <w:sz w:val="44"/>
        </w:rPr>
        <w:t>Informe de desarrollo</w:t>
      </w:r>
    </w:p>
    <w:p>
      <w:pPr>
        <w:spacing w:before="40" w:after="240"/>
      </w:pPr>
      <w:r>
        <w:rPr>
          <w:rFonts w:ascii="Calibri" w:hAnsi="Calibri"/>
          <w:color w:val="5C1524"/>
          <w:sz w:val="24"/>
        </w:rPr>
        <w:t>SATET  ·  al 9 de octubre de 2026  ·  en progreso</w:t>
      </w:r>
    </w:p>
    <w:p>
      <w:pPr>
        <w:pStyle w:val="Heading1"/>
      </w:pPr>
      <w:r>
        <w:t>Adelantado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Tema</w:t>
            </w:r>
          </w:p>
        </w:tc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Qué hay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2"/>
              </w:rPr>
              <w:t>Estructura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2"/>
              </w:rPr>
              <w:t>Monorepo con SvelteKit, Express y PostgreSQL.</w:t>
            </w:r>
          </w:p>
        </w:tc>
      </w:tr>
      <w:tr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2"/>
              </w:rPr>
              <w:t>Acceso</w:t>
            </w:r>
          </w:p>
        </w:tc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2"/>
              </w:rPr>
              <w:t>Registro, inicio de sesión y aprobación de contribuyentes.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2"/>
              </w:rPr>
              <w:t>Tasa BCV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2"/>
              </w:rPr>
              <w:t>Tasa diaria del BCV.</w:t>
            </w:r>
          </w:p>
        </w:tc>
      </w:tr>
      <w:tr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2"/>
              </w:rPr>
              <w:t>Pantallas</w:t>
            </w:r>
          </w:p>
        </w:tc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2"/>
              </w:rPr>
              <w:t>Portada, login, registro, escritorio, perfil y pendientes.</w:t>
            </w:r>
          </w:p>
        </w:tc>
      </w:tr>
    </w:tbl>
    <w:p>
      <w:pPr>
        <w:pStyle w:val="Heading1"/>
      </w:pPr>
      <w:r>
        <w:t>En desarrollo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Tema</w:t>
            </w:r>
          </w:p>
        </w:tc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Situación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2"/>
              </w:rPr>
              <w:t>Siguiente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>
              <w:t>No hay un módulo a medias. Lo que sigue son las declaraciones de minería y el 1 x 1000.</w:t>
            </w:r>
            <w:r>
              <w:rPr>
                <w:rFonts w:ascii="Calibri" w:hAnsi="Calibri"/>
                <w:b w:val="0"/>
                <w:sz w:val="22"/>
              </w:rPr>
              <w:t>Declaraciones de minería y el 1 x 1000. Aún no se está codificando.</w:t>
            </w:r>
          </w:p>
        </w:tc>
      </w:tr>
    </w:tbl>
    <w:p>
      <w:pPr>
        <w:pStyle w:val="Heading1"/>
      </w:pPr>
      <w:r>
        <w:t>Pendiente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Tema</w:t>
            </w:r>
          </w:p>
        </w:tc>
        <w:tc>
          <w:tcPr>
            <w:tcW w:type="dxa" w:w="4873"/>
            <w:shd w:val="clear" w:color="auto" w:fill="5C15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Situación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2"/>
              </w:rPr>
              <w:t>Timbres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2"/>
              </w:rPr>
              <w:t>PDF y QR. La pantalla dice próximamente.</w:t>
            </w:r>
          </w:p>
        </w:tc>
      </w:tr>
      <w:tr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2"/>
              </w:rPr>
              <w:t>Tesorería</w:t>
            </w:r>
          </w:p>
        </w:tc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2"/>
              </w:rPr>
              <w:t>Pendiente. La pantalla dice próximamente.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2"/>
              </w:rPr>
              <w:t>SAREN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2"/>
              </w:rPr>
              <w:t>Pendiente. La pantalla dice próximamente.</w:t>
            </w:r>
          </w:p>
        </w:tc>
      </w:tr>
      <w:tr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>
              <w:t>Reportes, POA y auditoría</w:t>
            </w:r>
            <w:r>
              <w:rPr>
                <w:rFonts w:ascii="Calibri" w:hAnsi="Calibri"/>
                <w:b/>
                <w:sz w:val="22"/>
              </w:rPr>
              <w:t>Reportes</w:t>
            </w:r>
          </w:p>
        </w:tc>
        <w:tc>
          <w:tcPr>
            <w:tcW w:type="dxa" w:w="4873"/>
            <w:shd w:val="clear" w:color="auto" w:fill="F6F1F2"/>
          </w:tcPr>
          <w:p>
            <w:pPr>
              <w:spacing w:before="40" w:after="40"/>
            </w:pPr>
            <w:r>
              <w:t>Pendiente. Las pantallas dicen próximamente.</w:t>
            </w:r>
            <w:r>
              <w:rPr>
                <w:rFonts w:ascii="Calibri" w:hAnsi="Calibri"/>
                <w:b w:val="0"/>
                <w:sz w:val="22"/>
              </w:rPr>
              <w:t>POA y auditoría. Las pantallas dicen próximamente.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2"/>
              </w:rPr>
              <w:t>Despliegue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2"/>
              </w:rPr>
              <w:t>Coolify, pendiente.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desarrollo SATET</dc:title>
  <dc:subject>Al 9 de octubre de 2026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