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AS-IS 1: Macroproceso General de Licitaciones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2197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AS-IS de Gestión Documental Manual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2374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jc w:val="both"/>
        <w:rPr>
          <w:sz w:val="34"/>
          <w:szCs w:val="34"/>
        </w:rPr>
      </w:pPr>
      <w:bookmarkStart w:colFirst="0" w:colLast="0" w:name="_heading=h.rmop5z1to78v" w:id="0"/>
      <w:bookmarkEnd w:id="0"/>
      <w:r w:rsidDel="00000000" w:rsidR="00000000" w:rsidRPr="00000000">
        <w:rPr>
          <w:sz w:val="34"/>
          <w:szCs w:val="34"/>
          <w:rtl w:val="0"/>
        </w:rPr>
        <w:t xml:space="preserve">TO-BE (Modelo Propuesto)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Macroproceso General TO-BE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Representa el flujo de punta a punta de la solución, organizado en módulos: usuarios/roles, empresas, licitaciones, documentos, alertas y reportes. Resume cómo cada grupo de casos de uso contribuye al proceso global de licitación digitalizada.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3898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Usuarios y Autenticación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Procesos de registro, login, recuperación de credenciales, vinculación y asignación de roles/permisos.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841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Empresas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Procesos para registrar nuevas empresas, actualizar datos o vincular usuarios a entidades existentes, con validaciones automáticas.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222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Licitaciones I: Registro y Edición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Creación, edición y asociación opcional de licitaciones externas. Representa el núcleo de la solución.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Licitaciones II: Flujo de Estados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Publicación de licitaciones, cambios de estado y cierre (adjudicada, desierta o cerrada sin adjudicar). Se ajusta al flujo lógico de postulación definido en el alcance.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2057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Documentos I: Carga y Versionado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Asignación de responsables, carga de documentos y control de versiones. Incluye la actualización de historial para garantizar trazabilidad.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663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Documentos II: Revisión y SLA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Revisión documental con observaciones, aprobación o rechazo, y control de tiempos (SLA). Se registran incumplimientos automáticamente.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816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Alertas y Notificaciones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Configuración de recordatorios y notificaciones ligadas a hitos, plazos y cambios de estado, gestionadas por motor de notificaciones.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2628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Bitácora y Comentarios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Permite el registro cronológico de comentarios y eventos, adjuntando evidencia si corresponde, y generando trazabilidad completa para auditoría.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701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Auditoría y Seguimiento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Historial detallado de cambios (quién, qué y cuándo), con capacidad de consulta, exportación y soporte a cumplimiento normativo.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968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Reportes y Analítica (KPI + Predictivo)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Dashboards de KPIs, indicadores predictivos y reportes ejecutivos. Permite exportación en formatos CSV/PDF y mantiene registro en auditoría.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1993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/1J7qIOwIanOS0Rq8SilTSyYqA==">CgMxLjAyDmgucm1vcDV6MXRvNzh2OAByITFyV2kwT2U2TWVucVBuZ2NyN3c0b0Y2VzdhcS14NnY3QQ==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