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Clasificación de enfermedades en hojas de café robusta con aprendizaje profundo: preparación de datos, optimización de hiperparámetros y validación cruzada</w:t>
      </w:r>
    </w:p>
    <w:p>
      <w:pPr>
        <w:spacing w:after="80"/>
        <w:jc w:val="center"/>
      </w:pPr>
      <w:r>
        <w:rPr>
          <w:rFonts w:ascii="Times New Roman" w:cs="Times New Roman" w:eastAsia="Times New Roman" w:hAnsi="Times New Roman"/>
          <w:sz w:val="24"/>
          <w:szCs w:val="24"/>
        </w:rPr>
        <w:t xml:space="preserve">Proyecto medio</w:t>
      </w:r>
    </w:p>
    <w:p>
      <w:pPr>
        <w:spacing w:after="80"/>
        <w:jc w:val="center"/>
      </w:pPr>
      <w:r>
        <w:rPr>
          <w:rFonts w:ascii="Times New Roman" w:cs="Times New Roman" w:eastAsia="Times New Roman" w:hAnsi="Times New Roman"/>
          <w:b/>
          <w:bCs/>
          <w:sz w:val="24"/>
          <w:szCs w:val="24"/>
          <w:highlight w:val="yellow"/>
          <w:highlightCs w:val="yellow"/>
        </w:rPr>
        <w:t xml:space="preserve">[Nombre del autor] · [Asignatura] · [Docente] · [Fecha]</w:t>
      </w:r>
    </w:p>
    <w:p>
      <w:pPr>
        <w:spacing w:after="300"/>
        <w:jc w:val="center"/>
      </w:pPr>
      <w:r>
        <w:rPr>
          <w:rFonts w:ascii="Times New Roman" w:cs="Times New Roman" w:eastAsia="Times New Roman" w:hAnsi="Times New Roman"/>
          <w:i/>
          <w:iCs/>
          <w:sz w:val="20"/>
          <w:szCs w:val="20"/>
        </w:rPr>
        <w:t xml:space="preserve">Repositorio: github.com/JavierAnd0/ia-Kaggle-Coffee</w:t>
      </w:r>
    </w:p>
    <w:p>
      <w:pPr>
        <w:pStyle w:val="Heading1"/>
        <w:spacing w:after="140" w:before="280"/>
      </w:pPr>
      <w:r>
        <w:rPr>
          <w:rFonts w:ascii="Times New Roman" w:cs="Times New Roman" w:eastAsia="Times New Roman" w:hAnsi="Times New Roman"/>
          <w:b/>
          <w:bCs/>
          <w:sz w:val="28"/>
          <w:szCs w:val="28"/>
        </w:rPr>
        <w:t xml:space="preserve">Resumen</w:t>
      </w:r>
    </w:p>
    <w:p>
      <w:pPr>
        <w:spacing w:after="160" w:line="300"/>
        <w:jc w:val="both"/>
      </w:pPr>
      <w:r>
        <w:rPr>
          <w:rFonts w:ascii="Times New Roman" w:cs="Times New Roman" w:eastAsia="Times New Roman" w:hAnsi="Times New Roman"/>
          <w:sz w:val="24"/>
          <w:szCs w:val="24"/>
        </w:rPr>
        <w:t xml:space="preserve">Este trabajo aborda la clasificación automática de enfermedades en hojas de café robusta a partir de fotografías, con el conjunto de datos público RoCoLe (1560 imágenes en tres clases: sana, roya y araña roja). Se construyó un flujo reproducible que incluye una partición 70/15/15 agrupada por planta y por duplicados para evitar fuga de datos, un generador de datos por lotes, una red generativa adversaria (GAN) condicional, una búsqueda de hiperparámetros con Hyperband y una validación cruzada con cinco esquemas. El mejor modelo encontrado (MobileNetV2 con transferencia de aprendizaje) alcanzó una exactitud media de 0,72–0,75 y un F1 macro de 0,58–0,61 en validación cruzada. El F1 macro, claramente inferior a la exactitud, evidencia que la clase minoritaria (araña roja, 10,7 % de las imágenes) se clasifica mal. Se evalúan pesos de clase, ajuste fino y aumento con imágenes sintéticas como mitigaciones.</w:t>
      </w:r>
    </w:p>
    <w:p>
      <w:pPr>
        <w:spacing w:after="160"/>
      </w:pPr>
      <w:r>
        <w:rPr>
          <w:rFonts w:ascii="Times New Roman" w:cs="Times New Roman" w:eastAsia="Times New Roman" w:hAnsi="Times New Roman"/>
          <w:b/>
          <w:bCs/>
          <w:sz w:val="24"/>
          <w:szCs w:val="24"/>
          <w:highlight w:val="yellow"/>
          <w:highlightCs w:val="yellow"/>
        </w:rPr>
        <w:t xml:space="preserve">[PENDIENTE: actualizar el resumen con el resultado final en test y el efecto de las mejoras cuando se ejecute la sección de comparación del notebook.]</w:t>
      </w:r>
    </w:p>
    <w:p>
      <w:pPr>
        <w:spacing w:after="160" w:line="300"/>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clasificación de imágenes, hojas de café, RoCoLe, Hyperband, validación cruzada, GAN, desbalance de clases.</w:t>
      </w:r>
    </w:p>
    <w:p>
      <w:pPr>
        <w:pStyle w:val="Heading1"/>
        <w:spacing w:after="140" w:before="280"/>
      </w:pPr>
      <w:r>
        <w:rPr>
          <w:rFonts w:ascii="Times New Roman" w:cs="Times New Roman" w:eastAsia="Times New Roman" w:hAnsi="Times New Roman"/>
          <w:b/>
          <w:bCs/>
          <w:sz w:val="28"/>
          <w:szCs w:val="28"/>
        </w:rPr>
        <w:t xml:space="preserve">1. Introducción</w:t>
      </w:r>
    </w:p>
    <w:p>
      <w:pPr>
        <w:spacing w:after="160" w:line="300"/>
        <w:jc w:val="both"/>
      </w:pPr>
      <w:r>
        <w:rPr>
          <w:rFonts w:ascii="Times New Roman" w:cs="Times New Roman" w:eastAsia="Times New Roman" w:hAnsi="Times New Roman"/>
          <w:sz w:val="24"/>
          <w:szCs w:val="24"/>
        </w:rPr>
        <w:t xml:space="preserve">El diagnóstico temprano de enfermedades foliares es clave en la producción de café. Un clasificador de imágenes de bajo costo puede apoyar la detección de la roya y de la araña roja en campo. El objetivo de este proyecto es entrenar y evaluar un clasificador sobre RoCoLe (Parraga-Alava et al., 2019), cubriendo tres temas del curso: (1) preparación del conjunto de datos, (2) optimización de hiperparámetros y (3) validación cruzada.</w:t>
      </w:r>
    </w:p>
    <w:p>
      <w:pPr>
        <w:pStyle w:val="Heading1"/>
        <w:spacing w:after="140" w:before="280"/>
      </w:pPr>
      <w:r>
        <w:rPr>
          <w:rFonts w:ascii="Times New Roman" w:cs="Times New Roman" w:eastAsia="Times New Roman" w:hAnsi="Times New Roman"/>
          <w:b/>
          <w:bCs/>
          <w:sz w:val="28"/>
          <w:szCs w:val="28"/>
        </w:rPr>
        <w:t xml:space="preserve">2. Datos</w:t>
      </w:r>
    </w:p>
    <w:p>
      <w:pPr>
        <w:spacing w:after="160" w:line="300"/>
        <w:jc w:val="both"/>
      </w:pPr>
      <w:r>
        <w:rPr>
          <w:rFonts w:ascii="Times New Roman" w:cs="Times New Roman" w:eastAsia="Times New Roman" w:hAnsi="Times New Roman"/>
          <w:sz w:val="24"/>
          <w:szCs w:val="24"/>
        </w:rPr>
        <w:t xml:space="preserve">RoCoLe contiene 1560 fotografías de hojas de café robusta tomadas con un teléfono móvil en un mismo cultivo, cuatro por cada una de 390 plantas. Las carpetas del conjunto descargado definen tres clases, cuya distribución se muestra en la Tabla 1. Las imágenes inspeccionadas tienen resolución de 1920×1080 píxeles. El nombre de archivo (por ejemplo, C10P10E1.jpg) permite identificar la planta (C10P10). Se detectaron además 67 imágenes duplicadas exactas mediante hash MD5.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Clase</w:t>
            </w:r>
          </w:p>
        </w:tc>
        <w:tc>
          <w:tcPr>
            <w:tcW w:type="dxa" w:w="25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Imágenes</w:t>
            </w:r>
          </w:p>
        </w:tc>
        <w:tc>
          <w:tcPr>
            <w:tcW w:type="dxa" w:w="25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Proporción</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Sana (healthy)</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791</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50,7 %</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Roya (rust)</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602</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38,6 %</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Araña roja (red_spider_mite)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167</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10,7 %</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1560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100 %</w:t>
            </w:r>
          </w:p>
        </w:tc>
      </w:tr>
    </w:tbl>
    <w:p>
      <w:pPr>
        <w:spacing w:after="200" w:before="80"/>
        <w:jc w:val="center"/>
      </w:pPr>
      <w:r>
        <w:rPr>
          <w:rFonts w:ascii="Times New Roman" w:cs="Times New Roman" w:eastAsia="Times New Roman" w:hAnsi="Times New Roman"/>
          <w:i/>
          <w:iCs/>
          <w:sz w:val="20"/>
          <w:szCs w:val="20"/>
        </w:rPr>
        <w:t xml:space="preserve">Tabla 1. Distribución de clases en RoCoLe (versión descargada de Kaggle).</w:t>
      </w:r>
    </w:p>
    <w:p>
      <w:pPr>
        <w:pStyle w:val="Heading1"/>
        <w:spacing w:after="140" w:before="280"/>
      </w:pPr>
      <w:r>
        <w:rPr>
          <w:rFonts w:ascii="Times New Roman" w:cs="Times New Roman" w:eastAsia="Times New Roman" w:hAnsi="Times New Roman"/>
          <w:b/>
          <w:bCs/>
          <w:sz w:val="28"/>
          <w:szCs w:val="28"/>
        </w:rPr>
        <w:t xml:space="preserve">3. Metodología</w:t>
      </w:r>
    </w:p>
    <w:p>
      <w:pPr>
        <w:pStyle w:val="Heading2"/>
        <w:spacing w:after="100" w:before="200"/>
      </w:pPr>
      <w:r>
        <w:rPr>
          <w:rFonts w:ascii="Times New Roman" w:cs="Times New Roman" w:eastAsia="Times New Roman" w:hAnsi="Times New Roman"/>
          <w:b/>
          <w:bCs/>
          <w:i/>
          <w:iCs/>
          <w:sz w:val="24"/>
          <w:szCs w:val="24"/>
        </w:rPr>
        <w:t xml:space="preserve">3.1 Preparación de datos y prevención de fuga</w:t>
      </w:r>
    </w:p>
    <w:p>
      <w:pPr>
        <w:spacing w:after="160" w:line="300"/>
        <w:jc w:val="both"/>
      </w:pPr>
      <w:r>
        <w:rPr>
          <w:rFonts w:ascii="Times New Roman" w:cs="Times New Roman" w:eastAsia="Times New Roman" w:hAnsi="Times New Roman"/>
          <w:sz w:val="24"/>
          <w:szCs w:val="24"/>
        </w:rPr>
        <w:t xml:space="preserve">La partición se realizó 70/15/15 con semilla fija. Como las cuatro fotos de una misma planta son muy similares, el reparto se hizo por grupos: se agruparon las imágenes por planta y por duplicado exacto (componentes conexas sobre ambos criterios), de modo que ningún grupo aparece en más de un subconjunto. Una verificación automática comprueba que no hay plantas ni imágenes repetidas entre entrenamiento, validación y prueba. El resultado fue de 1092, 244 y 224 imágenes, respectivamente (Tabla 2). Las particiones se guardaron en archivos CSV para garantizar la reproducibilidad.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460"/>
      </w:tblGrid>
      <w:tr>
        <w:trPr>
          <w:tblHeader/>
        </w:trPr>
        <w:tc>
          <w:tcPr>
            <w:tcW w:type="dxa" w:w="28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Subconjunto</w:t>
            </w:r>
          </w:p>
        </w:tc>
        <w:tc>
          <w:tcPr>
            <w:tcW w:type="dxa" w:w="17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Sana</w:t>
            </w:r>
          </w:p>
        </w:tc>
        <w:tc>
          <w:tcPr>
            <w:tcW w:type="dxa" w:w="17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Roya</w:t>
            </w:r>
          </w:p>
        </w:tc>
        <w:tc>
          <w:tcPr>
            <w:tcW w:type="dxa" w:w="17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Araña roja</w:t>
            </w:r>
          </w:p>
        </w:tc>
        <w:tc>
          <w:tcPr>
            <w:tcW w:type="dxa" w:w="146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Entrenamiento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425</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117</w:t>
            </w:r>
          </w:p>
        </w:tc>
        <w:tc>
          <w:tcPr>
            <w:tcW w:type="dxa" w:w="14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1092</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Validación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129</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w:t>
            </w:r>
          </w:p>
        </w:tc>
        <w:tc>
          <w:tcPr>
            <w:tcW w:type="dxa" w:w="14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244</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Prueba</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112</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91</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w:t>
            </w:r>
          </w:p>
        </w:tc>
        <w:tc>
          <w:tcPr>
            <w:tcW w:type="dxa" w:w="14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224</w:t>
            </w:r>
          </w:p>
        </w:tc>
      </w:tr>
    </w:tbl>
    <w:p>
      <w:pPr>
        <w:spacing w:after="200" w:before="80"/>
        <w:jc w:val="center"/>
      </w:pPr>
      <w:r>
        <w:rPr>
          <w:rFonts w:ascii="Times New Roman" w:cs="Times New Roman" w:eastAsia="Times New Roman" w:hAnsi="Times New Roman"/>
          <w:i/>
          <w:iCs/>
          <w:sz w:val="20"/>
          <w:szCs w:val="20"/>
        </w:rPr>
        <w:t xml:space="preserve">Tabla 2. Imágenes por clase y subconjunto. La partición agrupada no es estratificada por clase; la proporción de araña roja en prueba es de solo 21 imágenes.</w:t>
      </w:r>
    </w:p>
    <w:p>
      <w:pPr>
        <w:spacing w:after="160" w:line="300"/>
        <w:jc w:val="both"/>
      </w:pPr>
      <w:r>
        <w:rPr>
          <w:rFonts w:ascii="Times New Roman" w:cs="Times New Roman" w:eastAsia="Times New Roman" w:hAnsi="Times New Roman"/>
          <w:sz w:val="24"/>
          <w:szCs w:val="24"/>
        </w:rPr>
        <w:t xml:space="preserve">El preprocesamiento redimensiona a 224×224 y aplica la normalización propia del modelo base. Las imágenes se cargan por lotes con una canalización tf.data (lectura, decodificación, redimensionado, aumento y prefetch), sin cargar todo el conjunto en memoria. El aumento de datos (volteos, rotación, zoom y brillo) se aplica solo al entrenamiento.</w:t>
      </w:r>
    </w:p>
    <w:p>
      <w:pPr>
        <w:pStyle w:val="Heading2"/>
        <w:spacing w:after="100" w:before="200"/>
      </w:pPr>
      <w:r>
        <w:rPr>
          <w:rFonts w:ascii="Times New Roman" w:cs="Times New Roman" w:eastAsia="Times New Roman" w:hAnsi="Times New Roman"/>
          <w:b/>
          <w:bCs/>
          <w:i/>
          <w:iCs/>
          <w:sz w:val="24"/>
          <w:szCs w:val="24"/>
        </w:rPr>
        <w:t xml:space="preserve">3.2 Red generativa adversaria (GAN)</w:t>
      </w:r>
    </w:p>
    <w:p>
      <w:pPr>
        <w:spacing w:after="160" w:line="300"/>
        <w:jc w:val="both"/>
      </w:pPr>
      <w:r>
        <w:rPr>
          <w:rFonts w:ascii="Times New Roman" w:cs="Times New Roman" w:eastAsia="Times New Roman" w:hAnsi="Times New Roman"/>
          <w:sz w:val="24"/>
          <w:szCs w:val="24"/>
        </w:rPr>
        <w:t xml:space="preserve">Se implementó una GAN convolucional condicional (estilo DCGAN) que genera imágenes de 64×64 por clase. Se entrena únicamente con imágenes de entrenamiento y se usa para generar hojas sintéticas de la clase minoritaria, que se añaden solo al conjunto de entrenamiento; validación y prueba son siempre reales. Las imágenes generadas se amplían a 224×224 para el clasificador, por lo que son de menor nitidez que las reales.</w:t>
      </w:r>
    </w:p>
    <w:p>
      <w:pPr>
        <w:pStyle w:val="Heading2"/>
        <w:spacing w:after="100" w:before="200"/>
      </w:pPr>
      <w:r>
        <w:rPr>
          <w:rFonts w:ascii="Times New Roman" w:cs="Times New Roman" w:eastAsia="Times New Roman" w:hAnsi="Times New Roman"/>
          <w:b/>
          <w:bCs/>
          <w:i/>
          <w:iCs/>
          <w:sz w:val="24"/>
          <w:szCs w:val="24"/>
        </w:rPr>
        <w:t xml:space="preserve">3.3 Modelo y optimización de hiperparámetros</w:t>
      </w:r>
    </w:p>
    <w:p>
      <w:pPr>
        <w:spacing w:after="160" w:line="300"/>
        <w:jc w:val="both"/>
      </w:pPr>
      <w:r>
        <w:rPr>
          <w:rFonts w:ascii="Times New Roman" w:cs="Times New Roman" w:eastAsia="Times New Roman" w:hAnsi="Times New Roman"/>
          <w:sz w:val="24"/>
          <w:szCs w:val="24"/>
        </w:rPr>
        <w:t xml:space="preserve">El clasificador usa transferencia de aprendizaje: un modelo base preentrenado en ImageNet (MobileNetV2 o EfficientNetB0) congelado, seguido de promediado global, abandono (dropout), una capa densa y una capa softmax de tres clases. Se exploraron el modelo base, la tasa de aprendizaje (1e-5 a 1e-2, escala logarítmica), el dropout (0,1–0,5), el número de unidades (64, 128, 256), el optimizador (Adam o RMSprop) y el tamaño de lote (16, 32, 64) con Hyperband (Li et al., 2018), con un máximo de 30 épocas y factor 3, usando la exactitud en validación como objetivo. La búsqueda ejecutó 90 pruebas en 1 h 15 min.</w:t>
      </w:r>
    </w:p>
    <w:p>
      <w:pPr>
        <w:pStyle w:val="Heading2"/>
        <w:spacing w:after="100" w:before="200"/>
      </w:pPr>
      <w:r>
        <w:rPr>
          <w:rFonts w:ascii="Times New Roman" w:cs="Times New Roman" w:eastAsia="Times New Roman" w:hAnsi="Times New Roman"/>
          <w:b/>
          <w:bCs/>
          <w:i/>
          <w:iCs/>
          <w:sz w:val="24"/>
          <w:szCs w:val="24"/>
        </w:rPr>
        <w:t xml:space="preserve">3.4 Validación cruzada</w:t>
      </w:r>
    </w:p>
    <w:p>
      <w:pPr>
        <w:spacing w:after="160" w:line="300"/>
        <w:jc w:val="both"/>
      </w:pPr>
      <w:r>
        <w:rPr>
          <w:rFonts w:ascii="Times New Roman" w:cs="Times New Roman" w:eastAsia="Times New Roman" w:hAnsi="Times New Roman"/>
          <w:sz w:val="24"/>
          <w:szCs w:val="24"/>
        </w:rPr>
        <w:t xml:space="preserve">Sobre la unión de entrenamiento y validación (1336 imágenes) y con los hiperparámetros óptimos se aplicaron cinco esquemas: K-fold (k = 5), K-fold estratificado, K-fold estratificado y agrupado por planta, hold-out (80/20) y Monte Carlo (10 particiones aleatorias agrupadas). El conjunto de prueba no se usó en esta etapa. Leave-p-out y leave-one-out se descartan por costo: con n = 1336, leave-one-out requeriría 1336 entrenamientos y leave-2-out, 891 780. La validación cruzada de series temporales no aplica porque las imágenes no tienen orden temporal.</w:t>
      </w:r>
    </w:p>
    <w:p>
      <w:pPr>
        <w:pStyle w:val="Heading2"/>
        <w:spacing w:after="100" w:before="200"/>
      </w:pPr>
      <w:r>
        <w:rPr>
          <w:rFonts w:ascii="Times New Roman" w:cs="Times New Roman" w:eastAsia="Times New Roman" w:hAnsi="Times New Roman"/>
          <w:b/>
          <w:bCs/>
          <w:i/>
          <w:iCs/>
          <w:sz w:val="24"/>
          <w:szCs w:val="24"/>
        </w:rPr>
        <w:t xml:space="preserve">3.5 Mejoras evaluadas</w:t>
      </w:r>
    </w:p>
    <w:p>
      <w:pPr>
        <w:spacing w:after="160" w:line="300"/>
        <w:jc w:val="both"/>
      </w:pPr>
      <w:r>
        <w:rPr>
          <w:rFonts w:ascii="Times New Roman" w:cs="Times New Roman" w:eastAsia="Times New Roman" w:hAnsi="Times New Roman"/>
          <w:sz w:val="24"/>
          <w:szCs w:val="24"/>
        </w:rPr>
        <w:t xml:space="preserve">Dado el bajo desempeño en la clase minoritaria, se comparan sobre validación, con la misma semilla, variantes acumulativas: (1) modelo base; (2) con pesos de clase; (3) con ajuste fino de las últimas 30 capas del modelo base; (4) con imágenes sintéticas de la GAN; y (4b) un control que, en lugar de la GAN, repite imágenes reales de la clase minoritaria. Los pesos de clase se calculan siempre con los datos reales para aislar el efecto de las sintéticas. Se elige la variante con mayor F1 macro en validación y solo esa se evalúa una vez en prueba.</w:t>
      </w:r>
    </w:p>
    <w:p>
      <w:pPr>
        <w:pStyle w:val="Heading1"/>
        <w:spacing w:after="140" w:before="280"/>
      </w:pPr>
      <w:r>
        <w:rPr>
          <w:rFonts w:ascii="Times New Roman" w:cs="Times New Roman" w:eastAsia="Times New Roman" w:hAnsi="Times New Roman"/>
          <w:b/>
          <w:bCs/>
          <w:sz w:val="28"/>
          <w:szCs w:val="28"/>
        </w:rPr>
        <w:t xml:space="preserve">4. Resultados</w:t>
      </w:r>
    </w:p>
    <w:p>
      <w:pPr>
        <w:pStyle w:val="Heading2"/>
        <w:spacing w:after="100" w:before="200"/>
      </w:pPr>
      <w:r>
        <w:rPr>
          <w:rFonts w:ascii="Times New Roman" w:cs="Times New Roman" w:eastAsia="Times New Roman" w:hAnsi="Times New Roman"/>
          <w:b/>
          <w:bCs/>
          <w:i/>
          <w:iCs/>
          <w:sz w:val="24"/>
          <w:szCs w:val="24"/>
        </w:rPr>
        <w:t xml:space="preserve">4.1 Hiperparámetros óptimos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Hiperparámetro</w:t>
            </w:r>
          </w:p>
        </w:tc>
        <w:tc>
          <w:tcPr>
            <w:tcW w:type="dxa" w:w="30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Valor</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Modelo base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MobileNetV2</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Dropout</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0,30</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Unidades de la capa densa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Tasa de aprendizaje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0,00786</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Optimizador</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Adam</w:t>
            </w:r>
          </w:p>
        </w:tc>
      </w:tr>
      <w:tr>
        <w:trPr>
          <w:tblHeader w:val="false"/>
        </w:trP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Tamaño de lote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w:t>
            </w:r>
          </w:p>
        </w:tc>
      </w:tr>
    </w:tbl>
    <w:p>
      <w:pPr>
        <w:spacing w:after="200" w:before="80"/>
        <w:jc w:val="center"/>
      </w:pPr>
      <w:r>
        <w:rPr>
          <w:rFonts w:ascii="Times New Roman" w:cs="Times New Roman" w:eastAsia="Times New Roman" w:hAnsi="Times New Roman"/>
          <w:i/>
          <w:iCs/>
          <w:sz w:val="20"/>
          <w:szCs w:val="20"/>
        </w:rPr>
        <w:t xml:space="preserve">Tabla 3. Mejor configuración encontrada por Hyperband (exactitud de validación de la búsqueda: 0,762).</w:t>
      </w:r>
    </w:p>
    <w:p>
      <w:pPr>
        <w:pStyle w:val="Heading2"/>
        <w:spacing w:after="100" w:before="200"/>
      </w:pPr>
      <w:r>
        <w:rPr>
          <w:rFonts w:ascii="Times New Roman" w:cs="Times New Roman" w:eastAsia="Times New Roman" w:hAnsi="Times New Roman"/>
          <w:b/>
          <w:bCs/>
          <w:i/>
          <w:iCs/>
          <w:sz w:val="24"/>
          <w:szCs w:val="24"/>
        </w:rPr>
        <w:t xml:space="preserve">4.2 Validación cruzada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230"/>
        <w:gridCol w:w="2230"/>
      </w:tblGrid>
      <w:tr>
        <w:trPr>
          <w:tblHeader/>
        </w:trPr>
        <w:tc>
          <w:tcPr>
            <w:tcW w:type="dxa" w:w="32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Esquema</w:t>
            </w:r>
          </w:p>
        </w:tc>
        <w:tc>
          <w:tcPr>
            <w:tcW w:type="dxa" w:w="14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Particiones</w:t>
            </w:r>
          </w:p>
        </w:tc>
        <w:tc>
          <w:tcPr>
            <w:tcW w:type="dxa" w:w="223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Exactitud</w:t>
            </w:r>
          </w:p>
        </w:tc>
        <w:tc>
          <w:tcPr>
            <w:tcW w:type="dxa" w:w="223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F1 macro</w:t>
            </w:r>
          </w:p>
        </w:tc>
      </w:tr>
      <w:tr>
        <w:trPr>
          <w:tblHeader w:val="false"/>
        </w:trPr>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K-fold</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0,722 ± 0,038</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0,580 ± 0,038</w:t>
            </w:r>
          </w:p>
        </w:tc>
      </w:tr>
      <w:tr>
        <w:trPr>
          <w:tblHeader w:val="false"/>
        </w:trPr>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K-fold estratificado</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0,735 ± 0,025</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0,594 ± 0,052</w:t>
            </w:r>
          </w:p>
        </w:tc>
      </w:tr>
      <w:tr>
        <w:trPr>
          <w:tblHeader w:val="false"/>
        </w:trPr>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K-fold estrat. agrupado</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0,725 ± 0,020</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0,593 ± 0,033</w:t>
            </w:r>
          </w:p>
        </w:tc>
      </w:tr>
      <w:tr>
        <w:trPr>
          <w:tblHeader w:val="false"/>
        </w:trPr>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Hold-out (80/20)</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0,754</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0,608</w:t>
            </w:r>
          </w:p>
        </w:tc>
      </w:tr>
      <w:tr>
        <w:trPr>
          <w:tblHeader w:val="false"/>
        </w:trPr>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Monte Carlo</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0,721 ± 0,015</w:t>
            </w:r>
          </w:p>
        </w:tc>
        <w:tc>
          <w:tcPr>
            <w:tcW w:type="dxa" w:w="223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0,612 ± 0,034</w:t>
            </w:r>
          </w:p>
        </w:tc>
      </w:tr>
    </w:tbl>
    <w:p>
      <w:pPr>
        <w:spacing w:after="200" w:before="80"/>
        <w:jc w:val="center"/>
      </w:pPr>
      <w:r>
        <w:rPr>
          <w:rFonts w:ascii="Times New Roman" w:cs="Times New Roman" w:eastAsia="Times New Roman" w:hAnsi="Times New Roman"/>
          <w:i/>
          <w:iCs/>
          <w:sz w:val="20"/>
          <w:szCs w:val="20"/>
        </w:rPr>
        <w:t xml:space="preserve">Tabla 4. Resultados de validación cruzada (media ± desviación estándar). El hold-out es una sola partición, por lo que no tiene desviación.</w:t>
      </w:r>
    </w:p>
    <w:p>
      <w:pPr>
        <w:spacing w:after="160" w:line="300"/>
        <w:jc w:val="both"/>
      </w:pPr>
      <w:r>
        <w:rPr>
          <w:rFonts w:ascii="Times New Roman" w:cs="Times New Roman" w:eastAsia="Times New Roman" w:hAnsi="Times New Roman"/>
          <w:sz w:val="24"/>
          <w:szCs w:val="24"/>
        </w:rPr>
        <w:t xml:space="preserve">La exactitud se mantiene entre 0,72 y 0,75 en todos los esquemas y las diferencias entre ellos son menores que su desviación estándar, por lo que no se puede afirmar que un esquema sea mejor que otro. El K-fold estratificado presenta una desviación algo menor que el K-fold simple (0,025 frente a 0,038), en línea con lo esperado con clases desbalanceadas, aunque con solo cinco particiones la diferencia es débil. La brecha entre la exactitud (≈0,73) y el F1 macro (≈0,59) indica un desempeño desigual entre clases.</w:t>
      </w:r>
    </w:p>
    <w:p>
      <w:pPr>
        <w:pStyle w:val="Heading2"/>
        <w:spacing w:after="100" w:before="200"/>
      </w:pPr>
      <w:r>
        <w:rPr>
          <w:rFonts w:ascii="Times New Roman" w:cs="Times New Roman" w:eastAsia="Times New Roman" w:hAnsi="Times New Roman"/>
          <w:b/>
          <w:bCs/>
          <w:i/>
          <w:iCs/>
          <w:sz w:val="24"/>
          <w:szCs w:val="24"/>
        </w:rPr>
        <w:t xml:space="preserve">4.3 Ejecución preliminar en prueba</w:t>
      </w:r>
    </w:p>
    <w:p>
      <w:pPr>
        <w:spacing w:after="160" w:line="300"/>
        <w:jc w:val="both"/>
      </w:pPr>
      <w:r>
        <w:rPr>
          <w:rFonts w:ascii="Times New Roman" w:cs="Times New Roman" w:eastAsia="Times New Roman" w:hAnsi="Times New Roman"/>
          <w:sz w:val="24"/>
          <w:szCs w:val="24"/>
        </w:rPr>
        <w:t xml:space="preserve">En una primera ejecución del notebook, el modelo final se entrenó solo 2 épocas (modo de prueba rápida), por lo que sus cifras no representan el desempeño real y se reportan únicamente como diagnóstico: exactitud de 0,65 y F1 macro de 0,46 en prueba. El modelo nunca predijo la clase araña roja (de 21 imágenes, 7 se clasificaron como sanas y 14 como roya), por lo que su precisión y recall fueron 0. Esto motivó las mejoras de la sección 3.5.</w:t>
      </w:r>
    </w:p>
    <w:p>
      <w:pPr>
        <w:pStyle w:val="Heading2"/>
        <w:spacing w:after="100" w:before="200"/>
      </w:pPr>
      <w:r>
        <w:rPr>
          <w:rFonts w:ascii="Times New Roman" w:cs="Times New Roman" w:eastAsia="Times New Roman" w:hAnsi="Times New Roman"/>
          <w:b/>
          <w:bCs/>
          <w:i/>
          <w:iCs/>
          <w:sz w:val="24"/>
          <w:szCs w:val="24"/>
        </w:rPr>
        <w:t xml:space="preserve">4.4 Comparación de mejoras y evaluación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450"/>
        <w:gridCol w:w="1450"/>
        <w:gridCol w:w="2060"/>
      </w:tblGrid>
      <w:tr>
        <w:trPr>
          <w:tblHeader/>
        </w:trPr>
        <w:tc>
          <w:tcPr>
            <w:tcW w:type="dxa" w:w="33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Variante (validación)</w:t>
            </w:r>
          </w:p>
        </w:tc>
        <w:tc>
          <w:tcPr>
            <w:tcW w:type="dxa" w:w="110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entren.</w:t>
            </w:r>
          </w:p>
        </w:tc>
        <w:tc>
          <w:tcPr>
            <w:tcW w:type="dxa" w:w="145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Exactitud</w:t>
            </w:r>
          </w:p>
        </w:tc>
        <w:tc>
          <w:tcPr>
            <w:tcW w:type="dxa" w:w="145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F1 macro</w:t>
            </w:r>
          </w:p>
        </w:tc>
        <w:tc>
          <w:tcPr>
            <w:tcW w:type="dxa" w:w="2060"/>
            <w:tcBorders>
              <w:top w:val="single" w:color="888888" w:sz="4"/>
              <w:left w:val="single" w:color="888888" w:sz="4"/>
              <w:bottom w:val="single" w:color="888888" w:sz="4"/>
              <w:right w:val="single" w:color="888888" w:sz="4"/>
            </w:tcBorders>
            <w:shd w:fill="E7EEF6"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F1 araña roja</w:t>
            </w:r>
          </w:p>
        </w:tc>
      </w:tr>
      <w:tr>
        <w:trPr>
          <w:tblHeader w:val="false"/>
        </w:trPr>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Base</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1092</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 pesos de clase</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1092</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 ajuste fino</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1092</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 + GAN</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4b. + sobremuestreo real</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4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Tabla 5. Comparación de variantes en validación (a completar con results/ablation_val.csv).</w:t>
      </w:r>
    </w:p>
    <w:p>
      <w:pPr>
        <w:spacing w:after="160"/>
      </w:pPr>
      <w:r>
        <w:rPr>
          <w:rFonts w:ascii="Times New Roman" w:cs="Times New Roman" w:eastAsia="Times New Roman" w:hAnsi="Times New Roman"/>
          <w:b/>
          <w:bCs/>
          <w:sz w:val="24"/>
          <w:szCs w:val="24"/>
          <w:highlight w:val="yellow"/>
          <w:highlightCs w:val="yellow"/>
        </w:rPr>
        <w:t xml:space="preserve">[PENDIENTE: completar la Tabla 5 y añadir aquí el reporte de clasificación y la matriz de confusión finales en prueba (results/test_report.txt) una vez ejecutada la sección de mejoras del notebook en Colab. No se incluyen cifras hasta tenerlas.]</w:t>
      </w:r>
    </w:p>
    <w:p>
      <w:pPr>
        <w:pStyle w:val="Heading1"/>
        <w:spacing w:after="140" w:before="280"/>
      </w:pPr>
      <w:r>
        <w:rPr>
          <w:rFonts w:ascii="Times New Roman" w:cs="Times New Roman" w:eastAsia="Times New Roman" w:hAnsi="Times New Roman"/>
          <w:b/>
          <w:bCs/>
          <w:sz w:val="28"/>
          <w:szCs w:val="28"/>
        </w:rPr>
        <w:t xml:space="preserve">5. Discusión</w:t>
      </w:r>
    </w:p>
    <w:p>
      <w:pPr>
        <w:spacing w:after="160" w:line="300"/>
        <w:jc w:val="both"/>
      </w:pPr>
      <w:r>
        <w:rPr>
          <w:rFonts w:ascii="Times New Roman" w:cs="Times New Roman" w:eastAsia="Times New Roman" w:hAnsi="Times New Roman"/>
          <w:sz w:val="24"/>
          <w:szCs w:val="24"/>
        </w:rPr>
        <w:t xml:space="preserve">La validación cruzada muestra un desempeño estable en exactitud (≈0,73), pero el F1 macro bajo apunta al desbalance de clases como principal limitación. La ejecución preliminar muestra el caso extremo: un modelo poco entrenado ignora por completo la clase minoritaria sin que la exactitud global lo delate, lo que justifica reportar métricas por clase y no solo la exactitud.</w:t>
      </w:r>
    </w:p>
    <w:p>
      <w:pPr>
        <w:spacing w:after="160"/>
      </w:pPr>
      <w:r>
        <w:rPr>
          <w:rFonts w:ascii="Times New Roman" w:cs="Times New Roman" w:eastAsia="Times New Roman" w:hAnsi="Times New Roman"/>
          <w:b/>
          <w:bCs/>
          <w:sz w:val="24"/>
          <w:szCs w:val="24"/>
          <w:highlight w:val="yellow"/>
          <w:highlightCs w:val="yellow"/>
        </w:rPr>
        <w:t xml:space="preserve">[PENDIENTE: discutir, con los resultados reales, si los pesos de clase, el ajuste fino y la GAN mejoran el F1 de araña roja, y si la GAN aporta algo más que el sobremuestreo con imágenes reales (variante 4b).]</w:t>
      </w:r>
    </w:p>
    <w:p>
      <w:pPr>
        <w:pStyle w:val="Heading2"/>
        <w:spacing w:after="100" w:before="200"/>
      </w:pPr>
      <w:r>
        <w:rPr>
          <w:rFonts w:ascii="Times New Roman" w:cs="Times New Roman" w:eastAsia="Times New Roman" w:hAnsi="Times New Roman"/>
          <w:b/>
          <w:bCs/>
          <w:i/>
          <w:iCs/>
          <w:sz w:val="24"/>
          <w:szCs w:val="24"/>
        </w:rPr>
        <w:t xml:space="preserve">Limitaciones</w:t>
      </w:r>
    </w:p>
    <w:p>
      <w:pPr>
        <w:pStyle w:val="ListParagraph"/>
        <w:numPr>
          <w:ilvl w:val="0"/>
          <w:numId w:val="2"/>
        </w:numPr>
        <w:spacing w:after="80"/>
        <w:jc w:val="both"/>
      </w:pPr>
      <w:r>
        <w:rPr>
          <w:rFonts w:ascii="Times New Roman" w:cs="Times New Roman" w:eastAsia="Times New Roman" w:hAnsi="Times New Roman"/>
          <w:sz w:val="24"/>
          <w:szCs w:val="24"/>
        </w:rPr>
        <w:t xml:space="preserve">El conjunto de prueba contiene solo 21 imágenes de araña roja, por lo que las métricas de esa clase son muy ruidosas.</w:t>
      </w:r>
    </w:p>
    <w:p>
      <w:pPr>
        <w:pStyle w:val="ListParagraph"/>
        <w:numPr>
          <w:ilvl w:val="0"/>
          <w:numId w:val="2"/>
        </w:numPr>
        <w:spacing w:after="80"/>
        <w:jc w:val="both"/>
      </w:pPr>
      <w:r>
        <w:rPr>
          <w:rFonts w:ascii="Times New Roman" w:cs="Times New Roman" w:eastAsia="Times New Roman" w:hAnsi="Times New Roman"/>
          <w:sz w:val="24"/>
          <w:szCs w:val="24"/>
        </w:rPr>
        <w:t xml:space="preserve">Cada variante de la sección 3.5 se entrenó una sola vez; diferencias pequeñas pueden deberse al azar.</w:t>
      </w:r>
    </w:p>
    <w:p>
      <w:pPr>
        <w:pStyle w:val="ListParagraph"/>
        <w:numPr>
          <w:ilvl w:val="0"/>
          <w:numId w:val="2"/>
        </w:numPr>
        <w:spacing w:after="80"/>
        <w:jc w:val="both"/>
      </w:pPr>
      <w:r>
        <w:rPr>
          <w:rFonts w:ascii="Times New Roman" w:cs="Times New Roman" w:eastAsia="Times New Roman" w:hAnsi="Times New Roman"/>
          <w:sz w:val="24"/>
          <w:szCs w:val="24"/>
        </w:rPr>
        <w:t xml:space="preserve">Las imágenes sintéticas son de 64×64 ampliadas a 224×224; el clasificador podría asociar la falta de nitidez con la clase minoritaria. El control 4b ayuda a detectarlo, pero no lo elimina.</w:t>
      </w:r>
    </w:p>
    <w:p>
      <w:pPr>
        <w:pStyle w:val="ListParagraph"/>
        <w:numPr>
          <w:ilvl w:val="0"/>
          <w:numId w:val="2"/>
        </w:numPr>
        <w:spacing w:after="80"/>
        <w:jc w:val="both"/>
      </w:pPr>
      <w:r>
        <w:rPr>
          <w:rFonts w:ascii="Times New Roman" w:cs="Times New Roman" w:eastAsia="Times New Roman" w:hAnsi="Times New Roman"/>
          <w:sz w:val="24"/>
          <w:szCs w:val="24"/>
        </w:rPr>
        <w:t xml:space="preserve">Todas las fotografías provienen de un mismo cultivo y dispositivo, por lo que no se puede asegurar la generalización a otras plantaciones. La partición agrupada garantiza que no hay plantas repetidas entre subconjuntos, pero no estratifica por clase.</w:t>
      </w:r>
    </w:p>
    <w:p>
      <w:pPr>
        <w:pStyle w:val="ListParagraph"/>
        <w:numPr>
          <w:ilvl w:val="0"/>
          <w:numId w:val="2"/>
        </w:numPr>
        <w:spacing w:after="80"/>
        <w:jc w:val="both"/>
      </w:pPr>
      <w:r>
        <w:rPr>
          <w:rFonts w:ascii="Times New Roman" w:cs="Times New Roman" w:eastAsia="Times New Roman" w:hAnsi="Times New Roman"/>
          <w:sz w:val="24"/>
          <w:szCs w:val="24"/>
        </w:rPr>
        <w:t xml:space="preserve">Los hiperparámetros se optimizaron sobre la exactitud de validación, no sobre el F1 macro.</w:t>
      </w:r>
    </w:p>
    <w:p>
      <w:pPr>
        <w:pStyle w:val="Heading1"/>
        <w:spacing w:after="140" w:before="280"/>
      </w:pPr>
      <w:r>
        <w:rPr>
          <w:rFonts w:ascii="Times New Roman" w:cs="Times New Roman" w:eastAsia="Times New Roman" w:hAnsi="Times New Roman"/>
          <w:b/>
          <w:bCs/>
          <w:sz w:val="28"/>
          <w:szCs w:val="28"/>
        </w:rPr>
        <w:t xml:space="preserve">6. Conclusiones</w:t>
      </w:r>
    </w:p>
    <w:p>
      <w:pPr>
        <w:pStyle w:val="ListParagraph"/>
        <w:numPr>
          <w:ilvl w:val="0"/>
          <w:numId w:val="2"/>
        </w:numPr>
        <w:spacing w:after="80"/>
        <w:jc w:val="both"/>
      </w:pPr>
      <w:r>
        <w:rPr>
          <w:rFonts w:ascii="Times New Roman" w:cs="Times New Roman" w:eastAsia="Times New Roman" w:hAnsi="Times New Roman"/>
          <w:sz w:val="24"/>
          <w:szCs w:val="24"/>
        </w:rPr>
        <w:t xml:space="preserve">Se construyó un flujo reproducible de punta a punta (partición agrupada sin fuga, generador por lotes, GAN, Hyperband y validación cruzada) sobre RoCoLe.</w:t>
      </w:r>
    </w:p>
    <w:p>
      <w:pPr>
        <w:pStyle w:val="ListParagraph"/>
        <w:numPr>
          <w:ilvl w:val="0"/>
          <w:numId w:val="2"/>
        </w:numPr>
        <w:spacing w:after="80"/>
        <w:jc w:val="both"/>
      </w:pPr>
      <w:r>
        <w:rPr>
          <w:rFonts w:ascii="Times New Roman" w:cs="Times New Roman" w:eastAsia="Times New Roman" w:hAnsi="Times New Roman"/>
          <w:sz w:val="24"/>
          <w:szCs w:val="24"/>
        </w:rPr>
        <w:t xml:space="preserve">El mejor modelo (MobileNetV2 con transferencia de aprendizaje) logra una exactitud de 0,72–0,75 en validación cruzada, con un F1 macro de 0,58–0,61.</w:t>
      </w:r>
    </w:p>
    <w:p>
      <w:pPr>
        <w:pStyle w:val="ListParagraph"/>
        <w:numPr>
          <w:ilvl w:val="0"/>
          <w:numId w:val="2"/>
        </w:numPr>
        <w:spacing w:after="80"/>
        <w:jc w:val="both"/>
      </w:pPr>
      <w:r>
        <w:rPr>
          <w:rFonts w:ascii="Times New Roman" w:cs="Times New Roman" w:eastAsia="Times New Roman" w:hAnsi="Times New Roman"/>
          <w:sz w:val="24"/>
          <w:szCs w:val="24"/>
        </w:rPr>
        <w:t xml:space="preserve">El principal problema es la clase minoritaria (araña roja); por eso se evalúan pesos de clase, ajuste fino y aumento con GAN.</w:t>
      </w:r>
    </w:p>
    <w:p>
      <w:pPr>
        <w:spacing w:after="160"/>
      </w:pPr>
      <w:r>
        <w:rPr>
          <w:rFonts w:ascii="Times New Roman" w:cs="Times New Roman" w:eastAsia="Times New Roman" w:hAnsi="Times New Roman"/>
          <w:b/>
          <w:bCs/>
          <w:sz w:val="24"/>
          <w:szCs w:val="24"/>
          <w:highlight w:val="yellow"/>
          <w:highlightCs w:val="yellow"/>
        </w:rPr>
        <w:t xml:space="preserve">[PENDIENTE: conclusión final sobre el efecto de las mejoras y el desempeño en prueba.]</w:t>
      </w:r>
    </w:p>
    <w:p>
      <w:pPr>
        <w:pStyle w:val="Heading1"/>
        <w:spacing w:after="140" w:before="280"/>
      </w:pPr>
      <w:r>
        <w:rPr>
          <w:rFonts w:ascii="Times New Roman" w:cs="Times New Roman" w:eastAsia="Times New Roman" w:hAnsi="Times New Roman"/>
          <w:b/>
          <w:bCs/>
          <w:sz w:val="28"/>
          <w:szCs w:val="28"/>
        </w:rPr>
        <w:t xml:space="preserve">Referencias</w:t>
      </w:r>
    </w:p>
    <w:p>
      <w:pPr>
        <w:spacing w:after="100"/>
        <w:ind w:left="540" w:hanging="540"/>
      </w:pPr>
      <w:r>
        <w:rPr>
          <w:rFonts w:ascii="Times New Roman" w:cs="Times New Roman" w:eastAsia="Times New Roman" w:hAnsi="Times New Roman"/>
          <w:sz w:val="24"/>
          <w:szCs w:val="24"/>
        </w:rPr>
        <w:t xml:space="preserve">Goodfellow, I., Pouget-Abadie, J., Mirza, M., Xu, B., Warde-Farley, D., Ozair, S., Courville, A. y Bengio, Y. (2014). Generative adversarial nets. Advances in Neural Information Processing Systems, 27.</w:t>
      </w:r>
    </w:p>
    <w:p>
      <w:pPr>
        <w:spacing w:after="100"/>
        <w:ind w:left="540" w:hanging="540"/>
      </w:pPr>
      <w:r>
        <w:rPr>
          <w:rFonts w:ascii="Times New Roman" w:cs="Times New Roman" w:eastAsia="Times New Roman" w:hAnsi="Times New Roman"/>
          <w:sz w:val="24"/>
          <w:szCs w:val="24"/>
        </w:rPr>
        <w:t xml:space="preserve">Kohavi, R. (1995). A study of cross-validation and bootstrap for accuracy estimation and model selection. Proceedings of the 14th International Joint Conference on Artificial Intelligence (IJCAI).</w:t>
      </w:r>
    </w:p>
    <w:p>
      <w:pPr>
        <w:spacing w:after="100"/>
        <w:ind w:left="540" w:hanging="540"/>
      </w:pPr>
      <w:r>
        <w:rPr>
          <w:rFonts w:ascii="Times New Roman" w:cs="Times New Roman" w:eastAsia="Times New Roman" w:hAnsi="Times New Roman"/>
          <w:sz w:val="24"/>
          <w:szCs w:val="24"/>
        </w:rPr>
        <w:t xml:space="preserve">Li, L., Jamieson, K., DeSalvo, G., Rostamizadeh, A. y Talwalkar, A. (2018). Hyperband: A novel bandit-based approach to hyperparameter optimization. Journal of Machine Learning Research, 18(185), 1–52.</w:t>
      </w:r>
    </w:p>
    <w:p>
      <w:pPr>
        <w:spacing w:after="100"/>
        <w:ind w:left="540" w:hanging="540"/>
      </w:pPr>
      <w:r>
        <w:rPr>
          <w:rFonts w:ascii="Times New Roman" w:cs="Times New Roman" w:eastAsia="Times New Roman" w:hAnsi="Times New Roman"/>
          <w:sz w:val="24"/>
          <w:szCs w:val="24"/>
        </w:rPr>
        <w:t xml:space="preserve">Parraga-Alava, J., Cusme, K., Loor, A. y Santander, E. (2019). RoCoLe: A robusta coffee leaf images dataset for evaluation of machine learning based methods in plant diseases recognition. Data in Brief. https://data.mendeley.com/datasets/c5yvn32dzg/2</w:t>
      </w:r>
    </w:p>
    <w:p>
      <w:pPr>
        <w:spacing w:after="100"/>
        <w:ind w:left="540" w:hanging="540"/>
      </w:pPr>
      <w:r>
        <w:rPr>
          <w:rFonts w:ascii="Times New Roman" w:cs="Times New Roman" w:eastAsia="Times New Roman" w:hAnsi="Times New Roman"/>
          <w:sz w:val="24"/>
          <w:szCs w:val="24"/>
        </w:rPr>
        <w:t xml:space="preserve">Radford, A., Metz, L. y Chintala, S. (2016). Unsupervised representation learning with deep convolutional generative adversarial networks. International Conference on Learning Representations (ICLR).</w:t>
      </w:r>
    </w:p>
    <w:p>
      <w:pPr>
        <w:spacing w:after="100"/>
        <w:ind w:left="540" w:hanging="540"/>
      </w:pPr>
      <w:r>
        <w:rPr>
          <w:rFonts w:ascii="Times New Roman" w:cs="Times New Roman" w:eastAsia="Times New Roman" w:hAnsi="Times New Roman"/>
          <w:sz w:val="24"/>
          <w:szCs w:val="24"/>
        </w:rPr>
        <w:t xml:space="preserve">Sandler, M., Howard, A., Zhu, M., Zhmoginov, A. y Chen, L.-C. (2018). MobileNetV2: Inverted residuals and linear bottlenecks. IEEE/CVF Conference on Computer Vision and Pattern Recognition (CVPR).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2026-10-29T11:31:24.905Z</dcterms:created>
  <dcterms:modified xsi:type="dcterms:W3CDTF">2026-10-29T11:31:24.906Z</dcterms:modified>
</cp:coreProperties>
</file>

<file path=docProps/custom.xml><?xml version="1.0" encoding="utf-8"?>
<Properties xmlns="http://schemas.openxmlformats.org/officeDocument/2006/custom-properties" xmlns:vt="http://schemas.openxmlformats.org/officeDocument/2006/docPropsVTypes"/>
</file>