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7CEF22" w14:textId="635CC6C3" w:rsidR="00ED39C4" w:rsidRPr="00ED39C4" w:rsidRDefault="00ED39C4" w:rsidP="00ED39C4">
      <w:pPr>
        <w:jc w:val="center"/>
      </w:pPr>
      <w:r w:rsidRPr="0C7FDF12">
        <w:rPr>
          <w:rFonts w:cs="Times New Roman"/>
          <w:b/>
          <w:bCs/>
          <w:color w:val="000000" w:themeColor="text1"/>
          <w:sz w:val="28"/>
          <w:szCs w:val="28"/>
          <w:lang w:val="es-ES"/>
        </w:rPr>
        <w:t>UNIVERSIDAD DEL VALLE DE GUATEMALA</w:t>
      </w:r>
    </w:p>
    <w:p w14:paraId="27EEDEAB" w14:textId="77777777" w:rsidR="00ED39C4" w:rsidRDefault="00ED39C4" w:rsidP="00ED39C4">
      <w:pPr>
        <w:jc w:val="center"/>
        <w:rPr>
          <w:rFonts w:cs="Times New Roman"/>
          <w:color w:val="000000" w:themeColor="text1"/>
          <w:sz w:val="28"/>
          <w:szCs w:val="28"/>
          <w:lang w:val="es-ES"/>
        </w:rPr>
      </w:pPr>
      <w:r w:rsidRPr="0C7FDF12">
        <w:rPr>
          <w:rFonts w:cs="Times New Roman"/>
          <w:color w:val="000000" w:themeColor="text1"/>
          <w:sz w:val="28"/>
          <w:szCs w:val="28"/>
          <w:lang w:val="es-ES"/>
        </w:rPr>
        <w:t xml:space="preserve">CC3041 - COMPUTACIÓN PARALELA Y DISTRIBUIDA </w:t>
      </w:r>
    </w:p>
    <w:p w14:paraId="11E10E81" w14:textId="77777777" w:rsidR="00ED39C4" w:rsidRDefault="00ED39C4" w:rsidP="00ED39C4">
      <w:pPr>
        <w:jc w:val="center"/>
        <w:rPr>
          <w:rFonts w:cs="Times New Roman"/>
          <w:color w:val="000000" w:themeColor="text1"/>
          <w:sz w:val="28"/>
          <w:szCs w:val="28"/>
          <w:lang w:val="es-ES"/>
        </w:rPr>
      </w:pPr>
      <w:r w:rsidRPr="0C7FDF12">
        <w:rPr>
          <w:rFonts w:cs="Times New Roman"/>
          <w:color w:val="000000" w:themeColor="text1"/>
          <w:sz w:val="28"/>
          <w:szCs w:val="28"/>
          <w:lang w:val="es-ES"/>
        </w:rPr>
        <w:t>- SECCIÓN - 10</w:t>
      </w:r>
    </w:p>
    <w:p w14:paraId="01F6302D" w14:textId="77777777" w:rsidR="00ED39C4" w:rsidRDefault="00ED39C4" w:rsidP="00ED39C4">
      <w:pPr>
        <w:jc w:val="center"/>
        <w:rPr>
          <w:rFonts w:cs="Times New Roman"/>
          <w:color w:val="000000" w:themeColor="text1"/>
          <w:sz w:val="28"/>
          <w:szCs w:val="28"/>
        </w:rPr>
      </w:pPr>
      <w:r w:rsidRPr="0C7FDF12">
        <w:rPr>
          <w:rFonts w:cs="Times New Roman"/>
          <w:color w:val="000000" w:themeColor="text1"/>
          <w:sz w:val="28"/>
          <w:szCs w:val="28"/>
          <w:lang w:val="es-ES"/>
        </w:rPr>
        <w:t>Ing. Kimberly Barrera</w:t>
      </w:r>
    </w:p>
    <w:p w14:paraId="5CA2E27F" w14:textId="77777777" w:rsidR="00ED39C4" w:rsidRDefault="00ED39C4" w:rsidP="00ED39C4">
      <w:pPr>
        <w:rPr>
          <w:rFonts w:cs="Times New Roman"/>
          <w:color w:val="000000" w:themeColor="text1"/>
        </w:rPr>
      </w:pPr>
    </w:p>
    <w:p w14:paraId="6FD80C29" w14:textId="77777777" w:rsidR="00ED39C4" w:rsidRDefault="00ED39C4" w:rsidP="00ED39C4">
      <w:pPr>
        <w:rPr>
          <w:rFonts w:cs="Times New Roman"/>
          <w:color w:val="000000" w:themeColor="text1"/>
        </w:rPr>
      </w:pPr>
    </w:p>
    <w:p w14:paraId="4E57728F" w14:textId="77777777" w:rsidR="00ED39C4" w:rsidRDefault="00ED39C4" w:rsidP="00ED39C4">
      <w:pPr>
        <w:jc w:val="center"/>
        <w:rPr>
          <w:rFonts w:cs="Times New Roman"/>
          <w:color w:val="000000" w:themeColor="text1"/>
        </w:rPr>
      </w:pPr>
      <w:r>
        <w:rPr>
          <w:noProof/>
        </w:rPr>
        <w:drawing>
          <wp:inline distT="0" distB="0" distL="0" distR="0" wp14:anchorId="0173ABB8" wp14:editId="4D8F6D1D">
            <wp:extent cx="1914525" cy="2847975"/>
            <wp:effectExtent l="0" t="0" r="0" b="0"/>
            <wp:docPr id="1454537806" name="drawing">
              <a:extLst xmlns:a="http://schemas.openxmlformats.org/drawingml/2006/main">
                <a:ext uri="{FF2B5EF4-FFF2-40B4-BE49-F238E27FC236}">
                  <a16:creationId xmlns:a16="http://schemas.microsoft.com/office/drawing/2014/main" id="{75F3B456-FC96-4F89-BDB7-D278483F19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37806" name="Picture 1454537806"/>
                    <pic:cNvPicPr/>
                  </pic:nvPicPr>
                  <pic:blipFill>
                    <a:blip r:embed="rId7">
                      <a:extLst>
                        <a:ext uri="{28A0092B-C50C-407E-A947-70E740481C1C}">
                          <a14:useLocalDpi xmlns:a14="http://schemas.microsoft.com/office/drawing/2010/main"/>
                        </a:ext>
                      </a:extLst>
                    </a:blip>
                    <a:stretch>
                      <a:fillRect/>
                    </a:stretch>
                  </pic:blipFill>
                  <pic:spPr>
                    <a:xfrm>
                      <a:off x="0" y="0"/>
                      <a:ext cx="1914525" cy="2847975"/>
                    </a:xfrm>
                    <a:prstGeom prst="rect">
                      <a:avLst/>
                    </a:prstGeom>
                  </pic:spPr>
                </pic:pic>
              </a:graphicData>
            </a:graphic>
          </wp:inline>
        </w:drawing>
      </w:r>
    </w:p>
    <w:p w14:paraId="0BD2C6EC" w14:textId="77777777" w:rsidR="00ED39C4" w:rsidRDefault="00ED39C4" w:rsidP="00ED39C4">
      <w:pPr>
        <w:rPr>
          <w:rFonts w:cs="Times New Roman"/>
          <w:color w:val="000000" w:themeColor="text1"/>
        </w:rPr>
      </w:pPr>
    </w:p>
    <w:p w14:paraId="3025FF96" w14:textId="77777777" w:rsidR="00ED39C4" w:rsidRDefault="00ED39C4" w:rsidP="00ED39C4">
      <w:pPr>
        <w:spacing w:after="60"/>
        <w:jc w:val="center"/>
        <w:rPr>
          <w:rFonts w:cs="Times New Roman"/>
          <w:color w:val="1B1B1B"/>
          <w:sz w:val="42"/>
          <w:szCs w:val="42"/>
        </w:rPr>
      </w:pPr>
      <w:r w:rsidRPr="62AA609C">
        <w:rPr>
          <w:rFonts w:cs="Times New Roman"/>
          <w:color w:val="1B1B1B"/>
          <w:sz w:val="42"/>
          <w:szCs w:val="42"/>
          <w:shd w:val="clear" w:color="auto" w:fill="FFFFFF"/>
        </w:rPr>
        <w:t>Practica 02</w:t>
      </w:r>
    </w:p>
    <w:p w14:paraId="3CCAEBA5" w14:textId="77777777" w:rsidR="00ED39C4" w:rsidRDefault="00ED39C4" w:rsidP="00ED39C4">
      <w:pPr>
        <w:rPr>
          <w:rFonts w:cs="Times New Roman"/>
          <w:color w:val="000000" w:themeColor="text1"/>
        </w:rPr>
      </w:pPr>
    </w:p>
    <w:p w14:paraId="4FBEDDBA" w14:textId="77777777" w:rsidR="00ED39C4" w:rsidRDefault="00ED39C4" w:rsidP="00ED39C4">
      <w:pPr>
        <w:rPr>
          <w:rFonts w:cs="Times New Roman"/>
          <w:color w:val="000000" w:themeColor="text1"/>
        </w:rPr>
      </w:pPr>
    </w:p>
    <w:p w14:paraId="684CF8AB" w14:textId="77777777" w:rsidR="00ED39C4" w:rsidRDefault="00ED39C4" w:rsidP="00ED39C4">
      <w:pPr>
        <w:jc w:val="center"/>
        <w:rPr>
          <w:rFonts w:cs="Times New Roman"/>
          <w:color w:val="000000" w:themeColor="text1"/>
          <w:sz w:val="28"/>
          <w:szCs w:val="28"/>
          <w:lang w:val="es-ES"/>
        </w:rPr>
      </w:pPr>
      <w:r w:rsidRPr="0C7FDF12">
        <w:rPr>
          <w:rFonts w:cs="Times New Roman"/>
          <w:color w:val="000000" w:themeColor="text1"/>
          <w:sz w:val="28"/>
          <w:szCs w:val="28"/>
          <w:lang w:val="es-ES"/>
        </w:rPr>
        <w:t>Javier André Benítez García 23405</w:t>
      </w:r>
    </w:p>
    <w:p w14:paraId="6BEC98A0" w14:textId="61CDD9CB" w:rsidR="00ED39C4" w:rsidRDefault="00ED39C4" w:rsidP="00ED39C4">
      <w:pPr>
        <w:jc w:val="center"/>
        <w:rPr>
          <w:rFonts w:cs="Times New Roman"/>
          <w:color w:val="000000" w:themeColor="text1"/>
          <w:sz w:val="28"/>
          <w:szCs w:val="28"/>
          <w:lang w:val="es-ES"/>
        </w:rPr>
      </w:pPr>
      <w:r>
        <w:rPr>
          <w:rFonts w:cs="Times New Roman"/>
          <w:color w:val="000000" w:themeColor="text1"/>
          <w:sz w:val="28"/>
          <w:szCs w:val="28"/>
          <w:lang w:val="es-ES"/>
        </w:rPr>
        <w:t>Javier Alejandro López del Cid</w:t>
      </w:r>
      <w:r w:rsidRPr="0C7FDF12">
        <w:rPr>
          <w:rFonts w:cs="Times New Roman"/>
          <w:color w:val="000000" w:themeColor="text1"/>
          <w:sz w:val="28"/>
          <w:szCs w:val="28"/>
          <w:lang w:val="es-ES"/>
        </w:rPr>
        <w:t xml:space="preserve"> 23</w:t>
      </w:r>
      <w:r>
        <w:rPr>
          <w:rFonts w:cs="Times New Roman"/>
          <w:color w:val="000000" w:themeColor="text1"/>
          <w:sz w:val="28"/>
          <w:szCs w:val="28"/>
          <w:lang w:val="es-ES"/>
        </w:rPr>
        <w:t>415</w:t>
      </w:r>
    </w:p>
    <w:p w14:paraId="142998EC" w14:textId="1DFD8593" w:rsidR="00ED39C4" w:rsidRDefault="00ED39C4" w:rsidP="00ED39C4">
      <w:pPr>
        <w:jc w:val="center"/>
        <w:rPr>
          <w:rFonts w:cs="Times New Roman"/>
          <w:color w:val="000000" w:themeColor="text1"/>
          <w:sz w:val="28"/>
          <w:szCs w:val="28"/>
          <w:lang w:val="es-ES"/>
        </w:rPr>
      </w:pPr>
      <w:r>
        <w:rPr>
          <w:rFonts w:cs="Times New Roman"/>
          <w:color w:val="000000" w:themeColor="text1"/>
          <w:sz w:val="28"/>
          <w:szCs w:val="28"/>
          <w:lang w:val="es-ES"/>
        </w:rPr>
        <w:t>Pedro Ruben Ávila Cofiño 23089</w:t>
      </w:r>
    </w:p>
    <w:p w14:paraId="6EA83087" w14:textId="77777777" w:rsidR="00ED39C4" w:rsidRDefault="00ED39C4" w:rsidP="00ED39C4">
      <w:pPr>
        <w:rPr>
          <w:rFonts w:cs="Times New Roman"/>
          <w:color w:val="000000" w:themeColor="text1"/>
        </w:rPr>
      </w:pPr>
    </w:p>
    <w:p w14:paraId="455A955E" w14:textId="77777777" w:rsidR="00ED39C4" w:rsidRDefault="00ED39C4" w:rsidP="00ED39C4">
      <w:pPr>
        <w:rPr>
          <w:rFonts w:cs="Times New Roman"/>
          <w:color w:val="000000" w:themeColor="text1"/>
        </w:rPr>
      </w:pPr>
    </w:p>
    <w:p w14:paraId="3F210766" w14:textId="77777777" w:rsidR="00ED39C4" w:rsidRDefault="00ED39C4" w:rsidP="00ED39C4">
      <w:pPr>
        <w:rPr>
          <w:rFonts w:cs="Times New Roman"/>
          <w:color w:val="000000" w:themeColor="text1"/>
        </w:rPr>
      </w:pPr>
    </w:p>
    <w:p w14:paraId="71259C22" w14:textId="77777777" w:rsidR="00ED39C4" w:rsidRDefault="00ED39C4" w:rsidP="00ED39C4">
      <w:pPr>
        <w:rPr>
          <w:rFonts w:cs="Times New Roman"/>
          <w:color w:val="000000" w:themeColor="text1"/>
        </w:rPr>
      </w:pPr>
    </w:p>
    <w:p w14:paraId="4AE3BA83" w14:textId="77777777" w:rsidR="00ED39C4" w:rsidRDefault="00ED39C4" w:rsidP="00ED39C4">
      <w:pPr>
        <w:rPr>
          <w:rFonts w:cs="Times New Roman"/>
          <w:color w:val="000000" w:themeColor="text1"/>
        </w:rPr>
      </w:pPr>
    </w:p>
    <w:p w14:paraId="1D771EAA" w14:textId="77777777" w:rsidR="00ED39C4" w:rsidRDefault="00ED39C4" w:rsidP="00ED39C4">
      <w:pPr>
        <w:rPr>
          <w:rFonts w:cs="Times New Roman"/>
          <w:color w:val="000000" w:themeColor="text1"/>
        </w:rPr>
      </w:pPr>
    </w:p>
    <w:p w14:paraId="7DE028E2" w14:textId="77777777" w:rsidR="00ED39C4" w:rsidRDefault="00ED39C4" w:rsidP="00ED39C4">
      <w:pPr>
        <w:rPr>
          <w:rFonts w:cs="Times New Roman"/>
          <w:color w:val="000000" w:themeColor="text1"/>
        </w:rPr>
      </w:pPr>
    </w:p>
    <w:p w14:paraId="1B8D7119" w14:textId="77777777" w:rsidR="00ED39C4" w:rsidRDefault="00ED39C4" w:rsidP="00ED39C4">
      <w:pPr>
        <w:rPr>
          <w:rFonts w:cs="Times New Roman"/>
          <w:color w:val="000000" w:themeColor="text1"/>
        </w:rPr>
      </w:pPr>
    </w:p>
    <w:p w14:paraId="1C387D76" w14:textId="77777777" w:rsidR="00ED39C4" w:rsidRDefault="00ED39C4" w:rsidP="00ED39C4">
      <w:pPr>
        <w:rPr>
          <w:rFonts w:cs="Times New Roman"/>
          <w:color w:val="000000" w:themeColor="text1"/>
        </w:rPr>
      </w:pPr>
    </w:p>
    <w:p w14:paraId="3E31E63E" w14:textId="77777777" w:rsidR="00ED39C4" w:rsidRDefault="00ED39C4" w:rsidP="00ED39C4">
      <w:pPr>
        <w:rPr>
          <w:rFonts w:cs="Times New Roman"/>
          <w:color w:val="000000" w:themeColor="text1"/>
        </w:rPr>
      </w:pPr>
    </w:p>
    <w:p w14:paraId="1B5AB237" w14:textId="4A56CDFD" w:rsidR="00ED39C4" w:rsidRDefault="00ED39C4" w:rsidP="00ED39C4">
      <w:pPr>
        <w:jc w:val="center"/>
        <w:rPr>
          <w:rFonts w:cs="Times New Roman"/>
          <w:color w:val="000000" w:themeColor="text1"/>
          <w:sz w:val="28"/>
          <w:szCs w:val="28"/>
        </w:rPr>
      </w:pPr>
      <w:r w:rsidRPr="0C7FDF12">
        <w:rPr>
          <w:rFonts w:cs="Times New Roman"/>
          <w:b/>
          <w:bCs/>
          <w:color w:val="000000" w:themeColor="text1"/>
          <w:sz w:val="28"/>
          <w:szCs w:val="28"/>
          <w:lang w:val="es-ES"/>
        </w:rPr>
        <w:t xml:space="preserve">GUATEMALA, </w:t>
      </w:r>
      <w:r>
        <w:rPr>
          <w:rFonts w:cs="Times New Roman"/>
          <w:b/>
          <w:bCs/>
          <w:color w:val="000000" w:themeColor="text1"/>
          <w:sz w:val="28"/>
          <w:szCs w:val="28"/>
          <w:lang w:val="es-ES"/>
        </w:rPr>
        <w:t>14</w:t>
      </w:r>
      <w:r w:rsidRPr="0C7FDF12">
        <w:rPr>
          <w:rFonts w:cs="Times New Roman"/>
          <w:b/>
          <w:bCs/>
          <w:color w:val="000000" w:themeColor="text1"/>
          <w:sz w:val="28"/>
          <w:szCs w:val="28"/>
          <w:lang w:val="es-ES"/>
        </w:rPr>
        <w:t xml:space="preserve"> de </w:t>
      </w:r>
      <w:r>
        <w:rPr>
          <w:rFonts w:cs="Times New Roman"/>
          <w:b/>
          <w:bCs/>
          <w:color w:val="000000" w:themeColor="text1"/>
          <w:sz w:val="28"/>
          <w:szCs w:val="28"/>
          <w:lang w:val="es-ES"/>
        </w:rPr>
        <w:t>octubre</w:t>
      </w:r>
      <w:r w:rsidRPr="0C7FDF12">
        <w:rPr>
          <w:rFonts w:cs="Times New Roman"/>
          <w:b/>
          <w:bCs/>
          <w:color w:val="000000" w:themeColor="text1"/>
          <w:sz w:val="28"/>
          <w:szCs w:val="28"/>
          <w:lang w:val="es-ES"/>
        </w:rPr>
        <w:t xml:space="preserve"> de 2026</w:t>
      </w:r>
    </w:p>
    <w:p w14:paraId="2ABE20B5" w14:textId="77777777" w:rsidR="00ED39C4" w:rsidRDefault="00ED39C4">
      <w:pPr>
        <w:pStyle w:val="Ttulo1"/>
        <w:rPr>
          <w:lang w:val="es-ES"/>
        </w:rPr>
      </w:pPr>
    </w:p>
    <w:p w14:paraId="34D3D8C9" w14:textId="77777777" w:rsidR="00ED39C4" w:rsidRDefault="00ED39C4">
      <w:pPr>
        <w:pStyle w:val="Ttulo1"/>
        <w:rPr>
          <w:lang w:val="es-ES"/>
        </w:rPr>
      </w:pPr>
    </w:p>
    <w:p w14:paraId="54840CFD" w14:textId="5AF99B9E" w:rsidR="00AE4726" w:rsidRDefault="00000000">
      <w:pPr>
        <w:pStyle w:val="Ttulo1"/>
      </w:pPr>
      <w:r>
        <w:lastRenderedPageBreak/>
        <w:t>1. Problema</w:t>
      </w:r>
    </w:p>
    <w:p w14:paraId="68F32E6F" w14:textId="77777777" w:rsidR="00AE4726" w:rsidRDefault="00000000">
      <w:pPr>
        <w:spacing w:after="140"/>
        <w:jc w:val="both"/>
      </w:pPr>
      <w:r>
        <w:rPr>
          <w:rFonts w:cs="Calibri"/>
        </w:rPr>
        <w:t>Se modelará la transmisión del dengue en Guatemala. La pregunta es: con un presupuesto fijo de control del mosquito, ¿cuánto se reducen los casos de una temporada si se optimiza en qué semanas intervenir, frente a no intervenir o intervenir de forma uniforme? La métrica principal son los casos acumulados por temporada (minimizar) y la secundaria es el pico semanal de casos. El alcance es nacional, una temporada, casos totales; quedan fuera dengue grave, serotipos, movilidad y vacunación. Se supone población homogénea y un subregistro constante. Fuentes: OpenDengue, boletines del MSPAS y reportes de la OPS.</w:t>
      </w:r>
    </w:p>
    <w:p w14:paraId="54494113" w14:textId="77777777" w:rsidR="00AE4726" w:rsidRDefault="00000000">
      <w:pPr>
        <w:pStyle w:val="Ttulo1"/>
      </w:pPr>
      <w:r>
        <w:t>2. Técnica adicional: algoritmo genético</w:t>
      </w:r>
    </w:p>
    <w:p w14:paraId="19524D32" w14:textId="77777777" w:rsidR="00AE4726" w:rsidRDefault="00000000">
      <w:pPr>
        <w:spacing w:after="140"/>
        <w:jc w:val="both"/>
      </w:pPr>
      <w:r>
        <w:rPr>
          <w:rFonts w:cs="Calibri"/>
        </w:rPr>
        <w:t>Un individuo es un calendario semanal de intensidad de control. Se evalúa con la simulación (fitness = casos acumulados) y se mejora con selección por torneo, cruce, mutación y elitismo hasta cumplir un máximo de generaciones o hasta que el mejor resultado se estanque. Los parámetros a justificar son tamaño de población, generaciones, probabilidades de cruce y mutación y réplicas por evaluación. Se elige un GA porque la función objetivo es una simulación estocástica sin gradiente y con restricciones. Limitaciones: costo computacional, fitness ruidoso por la estocasticidad y posible sobreajuste a la temporada de calibración. Se programará el GA propio; si se usa DEAP, se indicará qué hace la biblioteca y qué hace el equipo.</w:t>
      </w:r>
    </w:p>
    <w:p w14:paraId="05684219" w14:textId="77777777" w:rsidR="00AE4726" w:rsidRDefault="00000000">
      <w:pPr>
        <w:pStyle w:val="Ttulo1"/>
      </w:pPr>
      <w:r>
        <w:t>3. Modelo y simulación</w:t>
      </w:r>
    </w:p>
    <w:p w14:paraId="0BBC5EC6" w14:textId="77777777" w:rsidR="00AE4726" w:rsidRDefault="00000000">
      <w:pPr>
        <w:spacing w:after="140"/>
        <w:jc w:val="both"/>
      </w:pPr>
      <w:r>
        <w:rPr>
          <w:rFonts w:cs="Calibri"/>
        </w:rPr>
        <w:t>Modelo SEIR en humanos (S, E, I, R) y SEI en mosquitos, con transmisión estacional ligada a la lluvia y transiciones semanales estocásticas (binomiales). La infección humana depende de la picadura, la probabilidad de transmisión y la fracción de mosquitos infecciosos; la del mosquito, de la fracción de humanos infecciosos. La intervención aumenta la mortalidad del mosquito en la semana en que se aplica. Los casos reportados son un factor de reporte por las infecciones sintomáticas. Los parámetros (picadura, transmisión, incubación, recuperación, mortalidad del mosquito, factor de reporte) se tomarán de literatura citada o se calibrarán con 2022, indicando valor, unidad y procedencia. Código en Python separado en modelo, simulación, GA y visualización, con README y requirements.txt.</w:t>
      </w:r>
    </w:p>
    <w:p w14:paraId="548C936B" w14:textId="77777777" w:rsidR="00AE4726" w:rsidRDefault="00000000">
      <w:pPr>
        <w:pStyle w:val="Ttulo1"/>
      </w:pPr>
      <w:r>
        <w:t>4. Mejora</w:t>
      </w:r>
    </w:p>
    <w:p w14:paraId="30004045" w14:textId="77777777" w:rsidR="00AE4726" w:rsidRDefault="00000000">
      <w:pPr>
        <w:spacing w:after="140"/>
        <w:jc w:val="both"/>
      </w:pPr>
      <w:r>
        <w:rPr>
          <w:rFonts w:cs="Calibri"/>
        </w:rPr>
        <w:t>Variable de decisión: la intensidad de control u(t) en cada semana. Objetivo: minimizar los casos acumulados esperados (promedio de varias réplicas). Restricciones: suma de u(t) menor o igual al presupuesto y 0 ≤ u(t) ≤ tope semanal. El GA propone el calendario, la simulación lo evalúa y se repite. Una función verifica por código que la solución cumple las restricciones. Se conservan como base los escenarios sin control y con control uniforme.</w:t>
      </w:r>
    </w:p>
    <w:p w14:paraId="14AE6D16" w14:textId="77777777" w:rsidR="00AE4726" w:rsidRDefault="00000000">
      <w:pPr>
        <w:pStyle w:val="Ttulo1"/>
      </w:pPr>
      <w:r>
        <w:t>5. Experimentación y validación</w:t>
      </w:r>
    </w:p>
    <w:p w14:paraId="029BAC8E" w14:textId="77777777" w:rsidR="00AE4726" w:rsidRDefault="00000000">
      <w:pPr>
        <w:spacing w:after="140"/>
        <w:jc w:val="both"/>
      </w:pPr>
      <w:r>
        <w:rPr>
          <w:rFonts w:cs="Calibri"/>
        </w:rPr>
        <w:t>Tres condiciones: base (sin control y uniforme), mejorada (GA) y sensibilidad (R₀ mayor o presupuesto menor). Cada una con 30 o más réplicas independientes con semilla registrada, reportando media y desviación y guardando entradas, parámetros y resultados en CSV. Pruebas internas: la población humana se conserva y con R₀ &lt; 1 no hay brote. Error contra datos de referencia: MAE entre casos simulados y reales. Sensibilidad: variar un parámetro a la vez. Se discutirán la incertidumbre, el subregistro y el riesgo de extrapolar.</w:t>
      </w:r>
    </w:p>
    <w:p w14:paraId="2937629C" w14:textId="77777777" w:rsidR="00AE4726" w:rsidRDefault="00000000">
      <w:pPr>
        <w:pStyle w:val="Ttulo1"/>
      </w:pPr>
      <w:r>
        <w:t>6. Comparación con la realidad</w:t>
      </w:r>
    </w:p>
    <w:p w14:paraId="4CCEB5CB" w14:textId="77777777" w:rsidR="00AE4726" w:rsidRDefault="00000000">
      <w:pPr>
        <w:spacing w:after="140"/>
        <w:jc w:val="both"/>
      </w:pPr>
      <w:r>
        <w:rPr>
          <w:rFonts w:cs="Calibri"/>
        </w:rPr>
        <w:lastRenderedPageBreak/>
        <w:t>Datos de OpenDengue V1.3 (CC BY-SA) para Guatemala. Hay serie anual de 1978 a 2024 y serie semanal solo de 2017 (4,308 casos), 2022 (8,553) y 2023 (73,975). Son datos nacionales de casos totales, provenientes de reportes de la OPS, y se citan como datos públicos de referencia. Se calibra con 2022 y se valida con 2023, un brote cerca de 9 veces mayor, lo que permite discutir los límites de extrapolar. Se presentará una tabla con referencia real, modelo base y modelo mejorado para casos acumulados, pico y semana del pico, con cambio absoluto y porcentual. La reducción será una mejora simulada, no observada.</w:t>
      </w:r>
    </w:p>
    <w:p w14:paraId="3121034A" w14:textId="77777777" w:rsidR="00AE4726" w:rsidRDefault="00000000">
      <w:pPr>
        <w:pStyle w:val="Ttulo1"/>
      </w:pPr>
      <w:r>
        <w:t>7. Resultados y conclusiones</w:t>
      </w:r>
    </w:p>
    <w:p w14:paraId="5A87FFDA" w14:textId="77777777" w:rsidR="00AE4726" w:rsidRDefault="00000000">
      <w:pPr>
        <w:spacing w:after="140"/>
        <w:jc w:val="both"/>
      </w:pPr>
      <w:r>
        <w:rPr>
          <w:rFonts w:cs="Calibri"/>
        </w:rPr>
        <w:t>Tres gráficas mínimas: casos semanales reales vs. simulados; comparación de escenarios con bandas de variabilidad; y sensibilidad o convergencia del GA. Además, tablas numéricas. La discusión responderá qué mejoró, cuánto, bajo qué condiciones, qué tan confiable es la comparación y qué limitaciones quedan, y terminará con una recomendación sobre en qué semanas concentrar el control.</w:t>
      </w:r>
    </w:p>
    <w:p w14:paraId="2E6F4376" w14:textId="77777777" w:rsidR="00AE4726" w:rsidRDefault="00000000">
      <w:pPr>
        <w:pStyle w:val="Ttulo1"/>
      </w:pPr>
      <w:r>
        <w:t>Pendientes</w:t>
      </w:r>
    </w:p>
    <w:p w14:paraId="7D7BC39B" w14:textId="30F26433" w:rsidR="00AE4726" w:rsidRDefault="00000000">
      <w:pPr>
        <w:spacing w:after="140"/>
        <w:jc w:val="both"/>
      </w:pPr>
      <w:r>
        <w:rPr>
          <w:rFonts w:cs="Calibri"/>
        </w:rPr>
        <w:t>Aprobación del tema; fuentes para los valores de los parámetros; definir el reparto del trabajo entre los 3 integrantes (modelo, optimización, datos y validación)</w:t>
      </w:r>
    </w:p>
    <w:p w14:paraId="100C04ED" w14:textId="77777777" w:rsidR="00AE4726" w:rsidRPr="00ED39C4" w:rsidRDefault="00000000">
      <w:pPr>
        <w:pStyle w:val="Ttulo1"/>
        <w:rPr>
          <w:lang w:val="en-US"/>
        </w:rPr>
      </w:pPr>
      <w:proofErr w:type="spellStart"/>
      <w:r w:rsidRPr="00ED39C4">
        <w:rPr>
          <w:lang w:val="en-US"/>
        </w:rPr>
        <w:t>Referencias</w:t>
      </w:r>
      <w:proofErr w:type="spellEnd"/>
    </w:p>
    <w:p w14:paraId="3825B610" w14:textId="77777777" w:rsidR="00AE4726" w:rsidRPr="00ED39C4" w:rsidRDefault="00AE4726">
      <w:pPr>
        <w:spacing w:after="80"/>
        <w:rPr>
          <w:lang w:val="en-US"/>
        </w:rPr>
      </w:pPr>
      <w:hyperlink r:id="rId8" w:history="1">
        <w:proofErr w:type="spellStart"/>
        <w:r w:rsidRPr="00ED39C4">
          <w:rPr>
            <w:rFonts w:cs="Calibri"/>
            <w:color w:val="0563C1"/>
            <w:u w:val="single"/>
            <w:lang w:val="en-US"/>
          </w:rPr>
          <w:t>OpenDengue</w:t>
        </w:r>
        <w:proofErr w:type="spellEnd"/>
        <w:r w:rsidRPr="00ED39C4">
          <w:rPr>
            <w:rFonts w:cs="Calibri"/>
            <w:color w:val="0563C1"/>
            <w:u w:val="single"/>
            <w:lang w:val="en-US"/>
          </w:rPr>
          <w:t>, datos (V1.3)</w:t>
        </w:r>
      </w:hyperlink>
    </w:p>
    <w:p w14:paraId="19C665F9" w14:textId="77777777" w:rsidR="00AE4726" w:rsidRPr="00ED39C4" w:rsidRDefault="00AE4726">
      <w:pPr>
        <w:spacing w:after="80"/>
        <w:rPr>
          <w:lang w:val="en-US"/>
        </w:rPr>
      </w:pPr>
      <w:hyperlink r:id="rId9" w:history="1">
        <w:r w:rsidRPr="00ED39C4">
          <w:rPr>
            <w:rFonts w:cs="Calibri"/>
            <w:color w:val="0563C1"/>
            <w:u w:val="single"/>
            <w:lang w:val="en-US"/>
          </w:rPr>
          <w:t>A global dataset of publicly available dengue case count data. Scientific Data (2024)</w:t>
        </w:r>
      </w:hyperlink>
    </w:p>
    <w:p w14:paraId="6B42B2FB" w14:textId="77777777" w:rsidR="00AE4726" w:rsidRPr="00ED39C4" w:rsidRDefault="00AE4726">
      <w:pPr>
        <w:spacing w:after="80"/>
        <w:rPr>
          <w:lang w:val="en-US"/>
        </w:rPr>
      </w:pPr>
      <w:hyperlink r:id="rId10" w:history="1">
        <w:r w:rsidRPr="00ED39C4">
          <w:rPr>
            <w:rFonts w:cs="Calibri"/>
            <w:color w:val="0563C1"/>
            <w:u w:val="single"/>
            <w:lang w:val="en-US"/>
          </w:rPr>
          <w:t>Mathematical Modeling of Dengue Epidemic: Control Methods and Vaccination Strategies (arXiv)</w:t>
        </w:r>
      </w:hyperlink>
    </w:p>
    <w:p w14:paraId="78D949DB" w14:textId="77777777" w:rsidR="00AE4726" w:rsidRPr="00ED39C4" w:rsidRDefault="00AE4726">
      <w:pPr>
        <w:spacing w:after="80"/>
        <w:rPr>
          <w:lang w:val="en-US"/>
        </w:rPr>
      </w:pPr>
      <w:hyperlink r:id="rId11" w:history="1">
        <w:r w:rsidRPr="00ED39C4">
          <w:rPr>
            <w:rFonts w:cs="Calibri"/>
            <w:color w:val="0563C1"/>
            <w:u w:val="single"/>
            <w:lang w:val="en-US"/>
          </w:rPr>
          <w:t>Sensitivity Analysis of SEIR-SEI Model of Dengue Disease (arXiv)</w:t>
        </w:r>
      </w:hyperlink>
    </w:p>
    <w:p w14:paraId="42F34E5E" w14:textId="77777777" w:rsidR="00AE4726" w:rsidRPr="00ED39C4" w:rsidRDefault="00AE4726">
      <w:pPr>
        <w:spacing w:after="80"/>
        <w:rPr>
          <w:lang w:val="en-US"/>
        </w:rPr>
      </w:pPr>
      <w:hyperlink r:id="rId12" w:history="1">
        <w:r w:rsidRPr="00ED39C4">
          <w:rPr>
            <w:rFonts w:cs="Calibri"/>
            <w:color w:val="0563C1"/>
            <w:u w:val="single"/>
            <w:lang w:val="en-US"/>
          </w:rPr>
          <w:t>Optimal-control techniques for managing dengue outbreaks (Western Sydney University)</w:t>
        </w:r>
      </w:hyperlink>
    </w:p>
    <w:p w14:paraId="0B125713" w14:textId="77777777" w:rsidR="00AE4726" w:rsidRDefault="00AE4726">
      <w:pPr>
        <w:spacing w:after="80"/>
      </w:pPr>
      <w:hyperlink r:id="rId13" w:history="1">
        <w:r>
          <w:rPr>
            <w:rFonts w:cs="Calibri"/>
            <w:color w:val="0563C1"/>
            <w:u w:val="single"/>
          </w:rPr>
          <w:t>MSPAS Guatemala, boletín de arbovirosis (ejemplo, semana 43 de 2017)</w:t>
        </w:r>
      </w:hyperlink>
    </w:p>
    <w:sectPr w:rsidR="00AE4726">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368414" w14:textId="77777777" w:rsidR="000048C8" w:rsidRDefault="000048C8">
      <w:r>
        <w:separator/>
      </w:r>
    </w:p>
  </w:endnote>
  <w:endnote w:type="continuationSeparator" w:id="0">
    <w:p w14:paraId="7D0DCDC2" w14:textId="77777777" w:rsidR="000048C8" w:rsidRDefault="00004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846C02" w14:textId="5E823FCC" w:rsidR="00AE4726" w:rsidRDefault="00AE472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530C2F" w14:textId="77777777" w:rsidR="000048C8" w:rsidRDefault="000048C8">
      <w:r>
        <w:separator/>
      </w:r>
    </w:p>
  </w:footnote>
  <w:footnote w:type="continuationSeparator" w:id="0">
    <w:p w14:paraId="2A320193" w14:textId="77777777" w:rsidR="000048C8" w:rsidRDefault="000048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7D2554"/>
    <w:multiLevelType w:val="hybridMultilevel"/>
    <w:tmpl w:val="65AA9628"/>
    <w:lvl w:ilvl="0" w:tplc="25464E40">
      <w:start w:val="1"/>
      <w:numFmt w:val="bullet"/>
      <w:lvlText w:val="●"/>
      <w:lvlJc w:val="left"/>
      <w:pPr>
        <w:ind w:left="720" w:hanging="360"/>
      </w:pPr>
    </w:lvl>
    <w:lvl w:ilvl="1" w:tplc="86A0098C">
      <w:start w:val="1"/>
      <w:numFmt w:val="bullet"/>
      <w:lvlText w:val="○"/>
      <w:lvlJc w:val="left"/>
      <w:pPr>
        <w:ind w:left="1440" w:hanging="360"/>
      </w:pPr>
    </w:lvl>
    <w:lvl w:ilvl="2" w:tplc="7918F58C">
      <w:start w:val="1"/>
      <w:numFmt w:val="bullet"/>
      <w:lvlText w:val="■"/>
      <w:lvlJc w:val="left"/>
      <w:pPr>
        <w:ind w:left="2160" w:hanging="360"/>
      </w:pPr>
    </w:lvl>
    <w:lvl w:ilvl="3" w:tplc="B7D4CDAA">
      <w:start w:val="1"/>
      <w:numFmt w:val="bullet"/>
      <w:lvlText w:val="●"/>
      <w:lvlJc w:val="left"/>
      <w:pPr>
        <w:ind w:left="2880" w:hanging="360"/>
      </w:pPr>
    </w:lvl>
    <w:lvl w:ilvl="4" w:tplc="69321F3C">
      <w:start w:val="1"/>
      <w:numFmt w:val="bullet"/>
      <w:lvlText w:val="○"/>
      <w:lvlJc w:val="left"/>
      <w:pPr>
        <w:ind w:left="3600" w:hanging="360"/>
      </w:pPr>
    </w:lvl>
    <w:lvl w:ilvl="5" w:tplc="912A7BAE">
      <w:start w:val="1"/>
      <w:numFmt w:val="bullet"/>
      <w:lvlText w:val="■"/>
      <w:lvlJc w:val="left"/>
      <w:pPr>
        <w:ind w:left="4320" w:hanging="360"/>
      </w:pPr>
    </w:lvl>
    <w:lvl w:ilvl="6" w:tplc="2E2E1BA4">
      <w:start w:val="1"/>
      <w:numFmt w:val="bullet"/>
      <w:lvlText w:val="●"/>
      <w:lvlJc w:val="left"/>
      <w:pPr>
        <w:ind w:left="5040" w:hanging="360"/>
      </w:pPr>
    </w:lvl>
    <w:lvl w:ilvl="7" w:tplc="C428DFAA">
      <w:start w:val="1"/>
      <w:numFmt w:val="bullet"/>
      <w:lvlText w:val="●"/>
      <w:lvlJc w:val="left"/>
      <w:pPr>
        <w:ind w:left="5760" w:hanging="360"/>
      </w:pPr>
    </w:lvl>
    <w:lvl w:ilvl="8" w:tplc="F79CA272">
      <w:start w:val="1"/>
      <w:numFmt w:val="bullet"/>
      <w:lvlText w:val="●"/>
      <w:lvlJc w:val="left"/>
      <w:pPr>
        <w:ind w:left="6480" w:hanging="360"/>
      </w:pPr>
    </w:lvl>
  </w:abstractNum>
  <w:num w:numId="1" w16cid:durableId="3469523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726"/>
    <w:rsid w:val="000048C8"/>
    <w:rsid w:val="00AD4B1E"/>
    <w:rsid w:val="00AE4726"/>
    <w:rsid w:val="00B13E52"/>
    <w:rsid w:val="00B63682"/>
    <w:rsid w:val="00C257D8"/>
    <w:rsid w:val="00ED39C4"/>
  </w:rsids>
  <m:mathPr>
    <m:mathFont m:val="Cambria Math"/>
    <m:brkBin m:val="before"/>
    <m:brkBinSub m:val="--"/>
    <m:smallFrac m:val="0"/>
    <m:dispDef/>
    <m:lMargin m:val="0"/>
    <m:rMargin m:val="0"/>
    <m:defJc m:val="centerGroup"/>
    <m:wrapIndent m:val="1440"/>
    <m:intLim m:val="subSup"/>
    <m:naryLim m:val="undOvr"/>
  </m:mathPr>
  <w:themeFontLang w:val="es-GT" w:bidi="hi-IN"/>
  <w:clrSchemeMapping w:bg1="light1" w:t1="dark1" w:bg2="light2" w:t2="dark2" w:accent1="accent1" w:accent2="accent2" w:accent3="accent3" w:accent4="accent4" w:accent5="accent5" w:accent6="accent6" w:hyperlink="hyperlink" w:followedHyperlink="followedHyperlink"/>
  <w:decimalSymbol w:val="."/>
  <w:listSeparator w:val=";"/>
  <w14:docId w14:val="1A181651"/>
  <w15:docId w15:val="{B1D74B81-0534-3E42-BA14-86434FD3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GT" w:eastAsia="es-ES_tradnl"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Ttulo1">
    <w:name w:val="heading 1"/>
    <w:uiPriority w:val="9"/>
    <w:qFormat/>
    <w:pPr>
      <w:spacing w:before="220" w:after="100"/>
      <w:outlineLvl w:val="0"/>
    </w:pPr>
    <w:rPr>
      <w:b/>
      <w:bCs/>
      <w:sz w:val="26"/>
      <w:szCs w:val="2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D39C4"/>
    <w:pPr>
      <w:tabs>
        <w:tab w:val="center" w:pos="4252"/>
        <w:tab w:val="right" w:pos="8504"/>
      </w:tabs>
    </w:pPr>
    <w:rPr>
      <w:szCs w:val="20"/>
    </w:rPr>
  </w:style>
  <w:style w:type="character" w:customStyle="1" w:styleId="EncabezadoCar">
    <w:name w:val="Encabezado Car"/>
    <w:basedOn w:val="Fuentedeprrafopredeter"/>
    <w:link w:val="Encabezado"/>
    <w:uiPriority w:val="99"/>
    <w:rsid w:val="00ED39C4"/>
    <w:rPr>
      <w:rFonts w:cs="Mangal"/>
      <w:szCs w:val="20"/>
    </w:rPr>
  </w:style>
  <w:style w:type="paragraph" w:styleId="Piedepgina">
    <w:name w:val="footer"/>
    <w:basedOn w:val="Normal"/>
    <w:link w:val="PiedepginaCar"/>
    <w:uiPriority w:val="99"/>
    <w:unhideWhenUsed/>
    <w:rsid w:val="00ED39C4"/>
    <w:pPr>
      <w:tabs>
        <w:tab w:val="center" w:pos="4252"/>
        <w:tab w:val="right" w:pos="8504"/>
      </w:tabs>
    </w:pPr>
    <w:rPr>
      <w:szCs w:val="20"/>
    </w:rPr>
  </w:style>
  <w:style w:type="character" w:customStyle="1" w:styleId="PiedepginaCar">
    <w:name w:val="Pie de página Car"/>
    <w:basedOn w:val="Fuentedeprrafopredeter"/>
    <w:link w:val="Piedepgina"/>
    <w:uiPriority w:val="99"/>
    <w:rsid w:val="00ED39C4"/>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dengue.org/data.html" TargetMode="External"/><Relationship Id="rId13" Type="http://schemas.openxmlformats.org/officeDocument/2006/relationships/hyperlink" Target="https://epidemiologia.mspas.gob.gt/phocadownload/userupload/arbovirosis/arb-sem-43-2017.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esearchers.westernsydney.edu.au/en/publications/optimal-control-techniques-for-managing-dengue-outbreaks-an-adva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pdf/2501.17196"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arxiv.org/pdf/1508.00961" TargetMode="External"/><Relationship Id="rId4" Type="http://schemas.openxmlformats.org/officeDocument/2006/relationships/webSettings" Target="webSettings.xml"/><Relationship Id="rId9" Type="http://schemas.openxmlformats.org/officeDocument/2006/relationships/hyperlink" Target="https://www.nature.com/articles/s41597-024-03120-7"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868</Words>
  <Characters>4774</Characters>
  <Application>Microsoft Office Word</Application>
  <DocSecurity>0</DocSecurity>
  <Lines>39</Lines>
  <Paragraphs>11</Paragraphs>
  <ScaleCrop>false</ScaleCrop>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Benitez Garcia, Javier Andre</cp:lastModifiedBy>
  <cp:revision>3</cp:revision>
  <dcterms:created xsi:type="dcterms:W3CDTF">2026-10-15T02:31:00Z</dcterms:created>
  <dcterms:modified xsi:type="dcterms:W3CDTF">2026-10-17T00:19:00Z</dcterms:modified>
</cp:coreProperties>
</file>