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64281" w14:textId="1BE0D33F" w:rsidR="00A574CB" w:rsidRPr="00A574CB" w:rsidRDefault="00A574CB">
      <w:pPr>
        <w:rPr>
          <w:b/>
          <w:bCs/>
          <w:sz w:val="28"/>
          <w:szCs w:val="28"/>
          <w:lang w:val="en-GB"/>
        </w:rPr>
      </w:pPr>
      <w:r w:rsidRPr="00A574CB">
        <w:rPr>
          <w:b/>
          <w:bCs/>
          <w:sz w:val="28"/>
          <w:szCs w:val="28"/>
          <w:lang w:val="en-GB"/>
        </w:rPr>
        <w:t>CWD respiration in Carpathians Virgin forest</w:t>
      </w:r>
    </w:p>
    <w:p w14:paraId="0811E90D" w14:textId="09E2EB1E" w:rsidR="00593CFD" w:rsidRDefault="005A209C">
      <w:pPr>
        <w:rPr>
          <w:lang w:val="en-GB"/>
        </w:rPr>
      </w:pPr>
      <w:r>
        <w:rPr>
          <w:lang w:val="en-GB"/>
        </w:rPr>
        <w:t xml:space="preserve">Pure and mixed European beech forests are the most widespread forest type in Central </w:t>
      </w:r>
      <w:r w:rsidR="00AD63A3">
        <w:rPr>
          <w:lang w:val="en-GB"/>
        </w:rPr>
        <w:t>Europe;</w:t>
      </w:r>
      <w:r>
        <w:rPr>
          <w:lang w:val="en-GB"/>
        </w:rPr>
        <w:t xml:space="preserve"> </w:t>
      </w:r>
      <w:r w:rsidR="00410CEF">
        <w:rPr>
          <w:lang w:val="en-GB"/>
        </w:rPr>
        <w:t>however,</w:t>
      </w:r>
      <w:r>
        <w:rPr>
          <w:lang w:val="en-GB"/>
        </w:rPr>
        <w:t xml:space="preserve"> this structure has been compromised by intensive forest management over the centuries. Those forests which have never been subject to exploitation, also known as “Old-growth forests”</w:t>
      </w:r>
      <w:r w:rsidR="006A57FB">
        <w:rPr>
          <w:lang w:val="en-GB"/>
        </w:rPr>
        <w:t>,</w:t>
      </w:r>
      <w:r>
        <w:rPr>
          <w:lang w:val="en-GB"/>
        </w:rPr>
        <w:t xml:space="preserve"> are rare and confined to the Carpathian and Balkan regions </w:t>
      </w:r>
      <w:r>
        <w:rPr>
          <w:lang w:val="en-GB"/>
        </w:rPr>
        <w:fldChar w:fldCharType="begin" w:fldLock="1"/>
      </w:r>
      <w:r w:rsidR="00AD63A3">
        <w:rPr>
          <w:lang w:val="en-GB"/>
        </w:rPr>
        <w:instrText xml:space="preserve">ADDIN CSL_CITATION {"citationItems":[{"id":"ITEM-1","itemData":{"DOI":"10.1016/j.foreco.2015.07.015","ISSN":"03781127","abstract":"The structural patterns and dynamics of a primeval silver fir (Abies alba) – European beech (Fagus sylvatica) forest in the Southern Carpathians (Romania) were assessed to gain deeper insight into species interactions and mechanisms of coexistence, and to study the influence of species composition on forest structure. At 21 sample plots, each covering 0.123 ha within an area of 240 ha, all living and dead trees </w:instrText>
      </w:r>
      <w:r w:rsidR="00AD63A3">
        <w:rPr>
          <w:rFonts w:ascii="Cambria Math" w:hAnsi="Cambria Math" w:cs="Cambria Math"/>
          <w:lang w:val="en-GB"/>
        </w:rPr>
        <w:instrText>⩾</w:instrText>
      </w:r>
      <w:r w:rsidR="00AD63A3">
        <w:rPr>
          <w:lang w:val="en-GB"/>
        </w:rPr>
        <w:instrText>6 cm dbh (diameter at breast height) were mapped and measured. Regeneration was assessed on four sub-plots per plot. Additionally, a 1-ha permanent plot established in 2003 was re-measured in 2013 to obtain information on stand dynamics. Point pattern analyses were conducted to study the spatial patterns and tree-to-tree interactions. The overall dbh distributions of beech and fir tended to indicate sustainable population structures. The share of beech varying from 24.8% to 95% (average 58%) in stand basal area did not influence stand parameters such as basal area or volume, nor the distribution of growing stock to different canopy layers. We found fir to dominate the lowest dbh classes in plots that were strongly dominated by beech in the top layer and vice versa, locally indicating species alternation. The regeneration density of fir was lower than of beech, although browsing by ungulates was negligible. In contrast to its share among living trees, fir contributed two-thirds to the deadwood volume. The 10-year changes in forest structure and mortality rate on the 1-ha plot were very small, suggesting the absence of recent intermediate or severe disturbances. The spatial patterns of the dead trees and of the living beech and fir in different canopy layers agreed with a disturbance regime dominated by stochastic small-scale events. Although the spatial patterns of beech and fir were similar, the tree-to-tree interactions indicated a higher intraspecific competition of beech than of fir and a higher shade tolerance of fir particularly in later stages of development. Both could be important factors for the coexistence of the two species. We conclude that the primeval fir–beech forest Sinca shows under the present small scale disturbance regime a high stability and structural resilience. Temporal changes in species composition only lead to small fluctuations in stand parameters and do not threaten the long-term coexistence of beech and fir. Forest managers may vary the species composition of fir–beech forests without substantially influencing the o…","author":[{"dropping-particle":"","family":"Petritan","given":"Ion Catalin","non-dropping-particle":"","parse-names":false,"suffix":""},{"dropping-particle":"","family":"Commarmot","given":"Brigitte","non-dropping-particle":"","parse-names":false,"suffix":""},{"dropping-particle":"","family":"Hobi","given":"Martina Lena","non-dropping-particle":"","parse-names":false,"suffix":""},{"dropping-particle":"","family":"Petritan","given":"Any Mary","non-dropping-particle":"","parse-names":false,"suffix":""},{"dropping-particle":"","family":"Bigler","given":"Christof","non-dropping-particle":"","parse-names":false,"suffix":""},{"dropping-particle":"","family":"Abrudan","given":"Ioan Vasile","non-dropping-particle":"","parse-names":false,"suffix":""},{"dropping-particle":"","family":"Rigling","given":"Andreas","non-dropping-particle":"","parse-names":false,"suffix":""}],"container-title":"Forest Ecology and Management","id":"ITEM-1","issue":"July 2015","issued":{"date-parts":[["2015"]]},"page":"184-195","publisher":"Elsevier B.V.","title":"Structural patterns of beech and silver fir suggest stability and resilience of the virgin forest Sinca in the Southern Carpathians, Romania","type":"article-journal","volume":"356"},"uris":["http://www.mendeley.com/documents/?uuid=854d23c6-026e-4444-84f1-f338f67a1091"]}],"mendeley":{"formattedCitation":"(Petritan et al., 2015)","plainTextFormattedCitation":"(Petritan et al., 2015)","previouslyFormattedCitation":"(Petritan et al., 2015)"},"properties":{"noteIndex":0},"schema":"https://github.com/citation-style-language/schema/raw/master/csl-citation.json"}</w:instrText>
      </w:r>
      <w:r>
        <w:rPr>
          <w:lang w:val="en-GB"/>
        </w:rPr>
        <w:fldChar w:fldCharType="separate"/>
      </w:r>
      <w:r w:rsidRPr="005A209C">
        <w:rPr>
          <w:noProof/>
          <w:lang w:val="en-GB"/>
        </w:rPr>
        <w:t>(Petritan et al., 2015)</w:t>
      </w:r>
      <w:r>
        <w:rPr>
          <w:lang w:val="en-GB"/>
        </w:rPr>
        <w:fldChar w:fldCharType="end"/>
      </w:r>
      <w:r>
        <w:rPr>
          <w:lang w:val="en-GB"/>
        </w:rPr>
        <w:t xml:space="preserve">. </w:t>
      </w:r>
      <w:r w:rsidR="003B1AE9">
        <w:rPr>
          <w:lang w:val="en-GB"/>
        </w:rPr>
        <w:t xml:space="preserve">The wood harvesting on managed forests </w:t>
      </w:r>
      <w:r w:rsidR="00BE589F">
        <w:rPr>
          <w:lang w:val="en-GB"/>
        </w:rPr>
        <w:t xml:space="preserve">limits, or even completely eliminates </w:t>
      </w:r>
      <w:r w:rsidR="00A66753">
        <w:rPr>
          <w:lang w:val="en-GB"/>
        </w:rPr>
        <w:t>the deadwood from the ecosystem, making this downed woody debris (DWD) o</w:t>
      </w:r>
      <w:r>
        <w:rPr>
          <w:lang w:val="en-GB"/>
        </w:rPr>
        <w:t xml:space="preserve">ne of the main differences that can be found between </w:t>
      </w:r>
      <w:r w:rsidR="00410CEF">
        <w:rPr>
          <w:lang w:val="en-GB"/>
        </w:rPr>
        <w:t xml:space="preserve">managed and old-growth </w:t>
      </w:r>
      <w:r>
        <w:rPr>
          <w:lang w:val="en-GB"/>
        </w:rPr>
        <w:t>forests</w:t>
      </w:r>
      <w:r w:rsidR="00231AA4">
        <w:rPr>
          <w:lang w:val="en-GB"/>
        </w:rPr>
        <w:t xml:space="preserve"> </w:t>
      </w:r>
      <w:r w:rsidR="00231AA4">
        <w:rPr>
          <w:lang w:val="en-GB"/>
        </w:rPr>
        <w:fldChar w:fldCharType="begin" w:fldLock="1"/>
      </w:r>
      <w:r w:rsidR="00D92F02">
        <w:rPr>
          <w:lang w:val="en-GB"/>
        </w:rPr>
        <w:instrText>ADDIN CSL_CITATION {"citationItems":[{"id":"ITEM-1","itemData":{"DOI":"10.1016/J.FORECO.2005.02.032","ISSN":"0378-1127","abstract":"Data were analysed on the volume of dead wood in 86 beech forest reserves, covering most of the range of European beech forests. The mean volume was 130 m3/ha and the variation among reserves was high, ranging from almost nil to 550 m3/ha. The volume depended significantly on forest type, age since reserve establishment and volume of living wood. More dead wood was found in montane (rather than lowland/submontane) reserves, longer-established reserves (time since designation) and reserves with higher volumes of living wood. On average, fallen dead wood contributed more to the total dead wood volume than standing dead wood. The percentage of dead wood that was standing was almost twice as high in montane than in lowland/submontane forest reserves (45% versus 25%). The volume of dead wood at selected sites changed considerably over time. The fluctuations were significantly higher in lowland/submontane than montane reserves, possibly connected with differences in the disturbance regimes and especially damage caused by windstorms. In NW Europe, the blow down of formerly managed, even-aged stands led to extraordinary high volumes of dead wood shortly after reserve establishment. The implications for forest management and biodiversity conservation are discussed. An increase in dead wood volumes must be carried out in accordance with the local/regional forest type and disturbance regime. Thus, in order to fulfil the requirements of as many wood-depending organisms as possible, it is important to preserve not only larger amounts of dead wood, but also dead wood of different types and dimensions as well as securing a long-term continuity of dead wood. © 2005 Elsevier B.V. All rights reserved.","author":[{"dropping-particle":"","family":"Christensen","given":"Morten","non-dropping-particle":"","parse-names":false,"suffix":""},{"dropping-particle":"","family":"Hahn","given":"Katrine","non-dropping-particle":"","parse-names":false,"suffix":""},{"dropping-particle":"","family":"Mountford","given":"Edward P.","non-dropping-particle":"","parse-names":false,"suffix":""},{"dropping-particle":"","family":"Ódor","given":"Péter","non-dropping-particle":"","parse-names":false,"suffix":""},{"dropping-particle":"","family":"Standovár","given":"Tibor","non-dropping-particle":"","parse-names":false,"suffix":""},{"dropping-particle":"","family":"Rozenbergar","given":"Dusan","non-dropping-particle":"","parse-names":false,"suffix":""},{"dropping-particle":"","family":"Diaci","given":"Jurij","non-dropping-particle":"","parse-names":false,"suffix":""},{"dropping-particle":"","family":"Wijdeven","given":"Sander","non-dropping-particle":"","parse-names":false,"suffix":""},{"dropping-particle":"","family":"Meyer","given":"Peter","non-dropping-particle":"","parse-names":false,"suffix":""},{"dropping-particle":"","family":"Winter","given":"Susanne","non-dropping-particle":"","parse-names":false,"suffix":""},{"dropping-particle":"","family":"Vrska","given":"Tomas","non-dropping-particle":"","parse-names":false,"suffix":""}],"container-title":"Forest Ecology and Management","id":"ITEM-1","issue":"1-3","issued":{"date-parts":[["2005","5","16"]]},"page":"267-282","publisher":"Elsevier","title":"Dead wood in European beech (Fagus sylvatica) forest reserves","type":"article-journal","volume":"210"},"uris":["http://www.mendeley.com/documents/?uuid=308d0158-d8d5-330f-8b09-133a9318daf3"]},{"id":"ITEM-2","itemData":{"DOI":"10.1016/j.foreco.2010.08.037","ISSN":"03781127","abstract":"Currently, there is much debate about what strategy is most suitable for increasing old-growth attributes in forests that have been managed intensively for wood production in the past. Passive restoration, i.e. cessation of forestry interventions, should be considered when the old-growth attributes desired can be restored within a feasible period of time. Our study focuses on standing and lying coarse dead wood (≥20cm diameter) in beech-dominated forests in northwestern Germany. We analyzed monitoring data of 545 sample plots (sized 500-1000m2) from 12 strict forest reserves (SFRs). The SFRs had been without forestry intervention for up to 28 years.Both, number of dead objects and volume of dead wood (m3ha-1) increased significantly with ongoing time since abandonment from forestry interventions. The mean amount doubled from 9 to 18m3ha-1 within 10 years. The proportion of standing dead wood was about 40% of the total dead wood pool ≥20cm diameter. With mixed linear modeling we showed that dead wood increased by a mean net rate of about 1m3ha-1a-1. Therefore, after three decades critical values for restoring the dead wood pool could be reached. We hypothesized that the rate of dead wood input is mainly determined by disturbance driven tree mortality such as oak decline, bark beetle infestations and storms.A comparison with primeval forests or reserves abandoned more than 100 years ago showed that the SFRs studied are at the beginning of a long process of dead wood accumulation. Based on our results, the abandonment of forest activities in harvestable pure and mixed beech stands is an effective strategy for restoring the dead wood pool. © 2010.","author":[{"dropping-particle":"","family":"Meyer","given":"P.","non-dropping-particle":"","parse-names":false,"suffix":""},{"dropping-particle":"","family":"Schmidt","given":"M.","non-dropping-particle":"","parse-names":false,"suffix":""}],"container-title":"Forest Ecology and Management","id":"ITEM-2","issue":"3","issued":{"date-parts":[["2011"]]},"page":"342-352","publisher":"Elsevier B.V.","title":"Accumulation of dead wood in abandoned beech (Fagus sylvatica L.) forests in northwestern Germany","type":"article-journal","volume":"261"},"uris":["http://www.mendeley.com/documents/?uuid=fdeeccd1-ce3b-43b9-9ce0-13a217eef1a8"]}],"mendeley":{"formattedCitation":"(Christensen et al., 2005; Meyer &amp; Schmidt, 2011)","plainTextFormattedCitation":"(Christensen et al., 2005; Meyer &amp; Schmidt, 2011)","previouslyFormattedCitation":"(Christensen et al., 2005; Meyer &amp; Schmidt, 2011)"},"properties":{"noteIndex":0},"schema":"https://github.com/citation-style-language/schema/raw/master/csl-citation.json"}</w:instrText>
      </w:r>
      <w:r w:rsidR="00231AA4">
        <w:rPr>
          <w:lang w:val="en-GB"/>
        </w:rPr>
        <w:fldChar w:fldCharType="separate"/>
      </w:r>
      <w:r w:rsidR="00231AA4" w:rsidRPr="00231AA4">
        <w:rPr>
          <w:noProof/>
          <w:lang w:val="en-GB"/>
        </w:rPr>
        <w:t>(Christensen et al., 2005; Meyer &amp; Schmidt, 2011)</w:t>
      </w:r>
      <w:r w:rsidR="00231AA4">
        <w:rPr>
          <w:lang w:val="en-GB"/>
        </w:rPr>
        <w:fldChar w:fldCharType="end"/>
      </w:r>
      <w:r>
        <w:rPr>
          <w:lang w:val="en-GB"/>
        </w:rPr>
        <w:t xml:space="preserve">. </w:t>
      </w:r>
      <w:r w:rsidR="00581A6C">
        <w:rPr>
          <w:lang w:val="en-GB"/>
        </w:rPr>
        <w:t xml:space="preserve">According to the nationwide forest inventory of 2002, unmanaged beech forest reserves of dead wood can reach values </w:t>
      </w:r>
      <w:r w:rsidR="00C3019A">
        <w:rPr>
          <w:lang w:val="en-GB"/>
        </w:rPr>
        <w:t>up to</w:t>
      </w:r>
      <w:r w:rsidR="00581A6C">
        <w:rPr>
          <w:lang w:val="en-GB"/>
        </w:rPr>
        <w:t xml:space="preserve"> 57 m</w:t>
      </w:r>
      <w:r w:rsidR="00581A6C" w:rsidRPr="00D540B4">
        <w:rPr>
          <w:vertAlign w:val="superscript"/>
          <w:lang w:val="en-GB"/>
        </w:rPr>
        <w:t>3</w:t>
      </w:r>
      <w:r w:rsidR="00581A6C">
        <w:rPr>
          <w:lang w:val="en-GB"/>
        </w:rPr>
        <w:t xml:space="preserve"> ha</w:t>
      </w:r>
      <w:r w:rsidR="00581A6C" w:rsidRPr="00D540B4">
        <w:rPr>
          <w:vertAlign w:val="superscript"/>
          <w:lang w:val="en-GB"/>
        </w:rPr>
        <w:t>-1</w:t>
      </w:r>
      <w:r w:rsidR="00581A6C">
        <w:rPr>
          <w:lang w:val="en-GB"/>
        </w:rPr>
        <w:t xml:space="preserve">, making it the 30%  or even 40% of the total timber volume of the forest, while managed forests are down to about 11 </w:t>
      </w:r>
      <w:r w:rsidR="00D540B4">
        <w:rPr>
          <w:lang w:val="en-GB"/>
        </w:rPr>
        <w:t>m</w:t>
      </w:r>
      <w:r w:rsidR="00D540B4" w:rsidRPr="00D540B4">
        <w:rPr>
          <w:vertAlign w:val="superscript"/>
          <w:lang w:val="en-GB"/>
        </w:rPr>
        <w:t>3</w:t>
      </w:r>
      <w:r w:rsidR="00D540B4">
        <w:rPr>
          <w:lang w:val="en-GB"/>
        </w:rPr>
        <w:t xml:space="preserve"> ha</w:t>
      </w:r>
      <w:r w:rsidR="00D540B4" w:rsidRPr="00D540B4">
        <w:rPr>
          <w:vertAlign w:val="superscript"/>
          <w:lang w:val="en-GB"/>
        </w:rPr>
        <w:t>-1</w:t>
      </w:r>
      <w:r w:rsidR="00581A6C">
        <w:rPr>
          <w:lang w:val="en-GB"/>
        </w:rPr>
        <w:t xml:space="preserve">, less than the 5% of the timber volume. </w:t>
      </w:r>
      <w:r w:rsidR="00581A6C">
        <w:rPr>
          <w:lang w:val="en-GB"/>
        </w:rPr>
        <w:fldChar w:fldCharType="begin" w:fldLock="1"/>
      </w:r>
      <w:r w:rsidR="00581A6C">
        <w:rPr>
          <w:lang w:val="en-GB"/>
        </w:rPr>
        <w:instrText>ADDIN CSL_CITATION {"citationItems":[{"id":"ITEM-1","itemData":{"DOI":"10.2980/19-4-3501","ISSN":"11956860","abstract":"The flux of dissolved organic carbon (DOC) from aboveground litter into the soil is generally considered an important pathway for carbon transport. However, the extent to which dead wood, a highly concentrated source of carbon (C), may contribute not only to this flux but also to the accumulation of soil organic carbon (SOC) is still unknown. Here, concentrations and fluxes of DOC in solution beneath 5 logs of Fagus sylvatica were quantified using tension lysimeters. Soil samples beneath and adjacent to an additional 18 logs were analyzed for SOC. Concentrations of stable C isotopes were determined in wood of logs, DOC, and SOC to follow the fate of C from logs to the soil. Mean DOC concentrations in soil solution beneath logs were highly variable and ranged between 11.6 ± 5.8 mg L-1 (± SD) and 696 ± 654 mg L-1, while beneath litter without logs the DOC concentrations had an average value of 10 ± 3 mg L-1. Peak DOC concentrations beneath logs reached 4317 mg L-1. At 0-20 cm soil depth, SOC concentrations and SOC pools beneath logs were not higher than for control soils. The difference in the composition of stable C isotopes between wood (-25.5 ± 1.0‰) and litter (-28.4 ± 0.2‰) was maintained in DOC and SOC beneath respective substrates. A calculated amount of 20.5 ± 13.6% of the original SOC within 0-20 cm mineral soil was exchanged over a period of 17 ± 8 y by C from logs. However, despite the increased DOC fluxes, SOC pools beneath logs did not increase.","author":[{"dropping-particle":"","family":"Kahl","given":"Tiemo","non-dropping-particle":"","parse-names":false,"suffix":""},{"dropping-particle":"","family":"Mund","given":"Martina","non-dropping-particle":"","parse-names":false,"suffix":""},{"dropping-particle":"","family":"Bauhus","given":"Jürgen","non-dropping-particle":"","parse-names":false,"suffix":""},{"dropping-particle":"","family":"Schulze","given":"Ernst Detlef","non-dropping-particle":"","parse-names":false,"suffix":""}],"container-title":"Ecoscience","id":"ITEM-1","issue":"4","issued":{"date-parts":[["2012"]]},"page":"364-373","title":"Dissolved organic carbon from European beech logs: Patterns of input to and retention by surface soil","type":"article-journal","volume":"19"},"uris":["http://www.mendeley.com/documents/?uuid=cdee477b-71bb-45d9-87c7-90cefec3b0e6"]},{"id":"ITEM-2","itemData":{"DOI":"10.1080/00049158.2014.949400","ISBN":"9783905621532","ISSN":"0004-9158","abstract":"International conventions and resolutions on biological diversity, sustainable forest management and climate change have led in recent decades to an increasing interest in having reference values from forests undisturbed by man. An outstanding example of such an undisturbed forest is the primeval forest of Uholka-Shyrokyi Luh within the Carpathian Biosphere Reserve (Ukraine). It is approximately 9000 ha (90 km2) in area and is thought to be the largest primeval forest of almost pure European beech (Fagus sylvatica L.). In 2010, the Swiss Federal Institute for Forest, Snow and Landscape Research WSL, the Ukrainian National Forestry University UNFU and the Carpathian Biosphere Reserve CBR carried out a sampling inventory of the Uholka-Shyrokyi Luh forest (survey perimeter 10 282 ha) to obtain representative data for the main forest parameters. Given the remoteness of the area, long walking distances and difficult terrain, careful planning and organisation were required, as well as the logistic support of the local forest service. The field work was carried out by six mixed teams of Swiss and Ukrainian students and scientists, guided by three survey leaders from Switzerland and Ukraine. Two teams together shared a leader and a cook, and lived in decentralized camps, which were moved every week to minimize the walking needed to reach the sample plots. The collaboration between the Ukrainians and Swiss worked very well and was enriching for both sides. During the two-month sampling period, the teams assessed 314 sample plots laid out on a systematic grid. All living and standing dead trees ≥ 6 cm DBH (diameter at 1.3 m above ground) within the 500 m2 circle plots were measured and assessed for features relevant for biodiversity. Lying deadwood was assessed with line-intersect sampling (3 lines each 15 m long per plot), and small trees (≥ 10 cm height and &lt; 6 cm DBH) were surveyed on subplots consisting of three concentric circles 5, 10 and 20 m2 in area. The stand structure and any traces of anthropogenic use were assessed on a circular interpretation area of 2500 m2 around the sample plot centre. The primeval forest of Uholka-Shyrokyi Luh shows all the typical features of an old-growth forest shaped by small-scale disturbances. The structure was mainly three-layered, and most of the gaps encountered were not larger than the crown of a canopy tree. The growing stock per ha was 582 (± 14) m3 (mean ± standard error) and the deadwood volume 163 (± 8) m3. The ra…","author":[{"dropping-particle":"","family":"Commarmot","given":"Brigitte","non-dropping-particle":"","parse-names":false,"suffix":""},{"dropping-particle":"","family":"Brändli","given":"Urs-Beat","non-dropping-particle":"","parse-names":false,"suffix":""},{"dropping-particle":"","family":"Hamor","given":"Fedir","non-dropping-particle":"","parse-names":false,"suffix":""},{"dropping-particle":"","family":"Lavnyy","given":"Vasyl","non-dropping-particle":"","parse-names":false,"suffix":""}],"container-title":"Australian Forestry","id":"ITEM-2","issue":"3-4","issued":{"date-parts":[["2014"]]},"note":"Citation: Commarmot, B.; Brändli, U.-B.; Hamor, F.; lavnyy v . (eds) 2013: Inventory of the Largest Primeval Beech Forest in Europe. A Swiss-Ukrainian Scientific Adventure. Birmensdorf, Swiss Federal Research Institute WSL; L’viv, Ukrainian National Forestry University; Rakhiv, Carpathian Biosphere Reserve. 69 pp.","number-of-pages":"212-213","title":"Inventory of the largest primeval beech forest in Europe: a Swiss-Ukrainian scientific adventure","type":"book","volume":"77"},"uris":["http://www.mendeley.com/documents/?uuid=2177be09-b770-4979-94ba-e444927d4f77"]}],"mendeley":{"formattedCitation":"(Commarmot et al., 2014; Kahl et al., 2012)","plainTextFormattedCitation":"(Commarmot et al., 2014; Kahl et al., 2012)","previouslyFormattedCitation":"(Commarmot et al., 2014; Kahl et al., 2012)"},"properties":{"noteIndex":0},"schema":"https://github.com/citation-style-language/schema/raw/master/csl-citation.json"}</w:instrText>
      </w:r>
      <w:r w:rsidR="00581A6C">
        <w:rPr>
          <w:lang w:val="en-GB"/>
        </w:rPr>
        <w:fldChar w:fldCharType="separate"/>
      </w:r>
      <w:r w:rsidR="00581A6C" w:rsidRPr="00AD63A3">
        <w:rPr>
          <w:noProof/>
          <w:lang w:val="en-GB"/>
        </w:rPr>
        <w:t>(Commarmot et al., 2014; Kahl et al., 2012)</w:t>
      </w:r>
      <w:r w:rsidR="00581A6C">
        <w:rPr>
          <w:lang w:val="en-GB"/>
        </w:rPr>
        <w:fldChar w:fldCharType="end"/>
      </w:r>
      <w:r w:rsidR="00581A6C">
        <w:rPr>
          <w:lang w:val="en-GB"/>
        </w:rPr>
        <w:t xml:space="preserve">.  </w:t>
      </w:r>
    </w:p>
    <w:p w14:paraId="7D25C63B" w14:textId="5E2F9B37" w:rsidR="006465D5" w:rsidRDefault="006465D5">
      <w:pPr>
        <w:rPr>
          <w:lang w:val="en-GB"/>
        </w:rPr>
      </w:pPr>
      <w:r>
        <w:rPr>
          <w:lang w:val="en-GB"/>
        </w:rPr>
        <w:t xml:space="preserve">Deadwood occurrence is </w:t>
      </w:r>
      <w:r w:rsidR="00CF1727">
        <w:rPr>
          <w:lang w:val="en-GB"/>
        </w:rPr>
        <w:t>strongly</w:t>
      </w:r>
      <w:r>
        <w:rPr>
          <w:lang w:val="en-GB"/>
        </w:rPr>
        <w:t xml:space="preserve"> related to local conditions, as it depends on natural tree mortalit</w:t>
      </w:r>
      <w:r w:rsidR="00CF1727">
        <w:rPr>
          <w:lang w:val="en-GB"/>
        </w:rPr>
        <w:t>y due to senescence, disease and outbreaks, as well as catastrophic disturbance events, such as fires, storms and floods</w:t>
      </w:r>
      <w:r w:rsidR="00E44C53">
        <w:rPr>
          <w:lang w:val="en-GB"/>
        </w:rPr>
        <w:t xml:space="preserve"> (reviewed in </w:t>
      </w:r>
      <w:r w:rsidR="00437729">
        <w:rPr>
          <w:lang w:val="en-GB"/>
        </w:rPr>
        <w:fldChar w:fldCharType="begin" w:fldLock="1"/>
      </w:r>
      <w:r w:rsidR="00814DA5">
        <w:rPr>
          <w:lang w:val="en-GB"/>
        </w:rPr>
        <w:instrText>ADDIN CSL_CITATION {"citationItems":[{"id":"ITEM-1","itemData":{"DOI":"10.3832/ifor2670-011","ISSN":"19717458","abstract":"Deadwood is a substantial component of forests playing a central role in many ecosystem processes. It provides habitats for a multitude of wood-dependent organisms, maintaining the ecosystem health and reducing the effect of natural disturbances. Deadwood is recognized as an indicator of local species diversity and contributes to the global carbon pools and nutrient cycles. Despite its importance, how saproxylic communities respond to deadwood dynamics across multiple spatial and temporal scales is still not clear. With the present review, we aim to summarize the effects of deadwood characteristics on the diversity and composition of saproxylic insects and fungi, with focus on European forests. We also discuss the influence of other biotic and abiotic components that indirectly affect these communities by altering wood continuity and variety. Niche differentiation is the main ecological driver of saproxylic organisms, as the presence of multiple microhabitats supports differently specialized taxa. The assemblage and richness of these saproxylic communities within forest ecosystems can be considered as indicators of climate-smart forestry trajectories. This aspect deserves to be regarded as a major target in sustainable forest management plans, especially in mountain areas, where the conservation of threatened species and the promotion of biodiverse forests are considered a priority.","author":[{"dropping-particle":"","family":"Parisi","given":"Francesco","non-dropping-particle":"","parse-names":false,"suffix":""},{"dropping-particle":"","family":"Pioli","given":"Silvia","non-dropping-particle":"","parse-names":false,"suffix":""},{"dropping-particle":"","family":"Lombardi","given":"Fabio","non-dropping-particle":"","parse-names":false,"suffix":""},{"dropping-particle":"","family":"Fravolini","given":"Giulia","non-dropping-particle":"","parse-names":false,"suffix":""},{"dropping-particle":"","family":"Marchetti","given":"Marco","non-dropping-particle":"","parse-names":false,"suffix":""},{"dropping-particle":"","family":"Tognetti","given":"Roberto","non-dropping-particle":"","parse-names":false,"suffix":""}],"container-title":"IForest","id":"ITEM-1","issue":"3","issued":{"date-parts":[["2018"]]},"page":"423-436","title":"Linking deadwood traits with saproxylic invertebrates and fungi in European forests – A review","type":"article-journal","volume":"11"},"uris":["http://www.mendeley.com/documents/?uuid=5b3b6e06-0e3e-4436-b53c-b946d7e24461"]}],"mendeley":{"formattedCitation":"(Parisi et al., 2018)","manualFormatting":"Parisi et al., 2018)","plainTextFormattedCitation":"(Parisi et al., 2018)","previouslyFormattedCitation":"(Parisi et al., 2018)"},"properties":{"noteIndex":0},"schema":"https://github.com/citation-style-language/schema/raw/master/csl-citation.json"}</w:instrText>
      </w:r>
      <w:r w:rsidR="00437729">
        <w:rPr>
          <w:lang w:val="en-GB"/>
        </w:rPr>
        <w:fldChar w:fldCharType="separate"/>
      </w:r>
      <w:r w:rsidR="00437729" w:rsidRPr="00437729">
        <w:rPr>
          <w:noProof/>
          <w:lang w:val="en-GB"/>
        </w:rPr>
        <w:t>Parisi et al., 2018)</w:t>
      </w:r>
      <w:r w:rsidR="00437729">
        <w:rPr>
          <w:lang w:val="en-GB"/>
        </w:rPr>
        <w:fldChar w:fldCharType="end"/>
      </w:r>
      <w:r w:rsidR="00CF1727">
        <w:rPr>
          <w:lang w:val="en-GB"/>
        </w:rPr>
        <w:t>.</w:t>
      </w:r>
    </w:p>
    <w:p w14:paraId="7B2A645C" w14:textId="6E3A2A4C" w:rsidR="00593CFD" w:rsidRDefault="00C169A1" w:rsidP="00581A6C">
      <w:pPr>
        <w:rPr>
          <w:lang w:val="en-GB"/>
        </w:rPr>
      </w:pPr>
      <w:r>
        <w:rPr>
          <w:lang w:val="en-GB"/>
        </w:rPr>
        <w:t>Downed woody debris</w:t>
      </w:r>
      <w:r w:rsidR="00D83965">
        <w:rPr>
          <w:lang w:val="en-GB"/>
        </w:rPr>
        <w:t xml:space="preserve"> </w:t>
      </w:r>
      <w:r w:rsidR="00581A6C">
        <w:rPr>
          <w:lang w:val="en-GB"/>
        </w:rPr>
        <w:t xml:space="preserve">play </w:t>
      </w:r>
      <w:r w:rsidR="00027B74">
        <w:rPr>
          <w:lang w:val="en-GB"/>
        </w:rPr>
        <w:t xml:space="preserve">such </w:t>
      </w:r>
      <w:r w:rsidR="00581A6C">
        <w:rPr>
          <w:lang w:val="en-GB"/>
        </w:rPr>
        <w:t>important roles in</w:t>
      </w:r>
      <w:r w:rsidR="002C6F85">
        <w:rPr>
          <w:lang w:val="en-GB"/>
        </w:rPr>
        <w:t xml:space="preserve"> </w:t>
      </w:r>
      <w:r w:rsidR="00581A6C">
        <w:rPr>
          <w:lang w:val="en-GB"/>
        </w:rPr>
        <w:t>forest ecosystem</w:t>
      </w:r>
      <w:r w:rsidR="002C6F85">
        <w:rPr>
          <w:lang w:val="en-GB"/>
        </w:rPr>
        <w:t>s</w:t>
      </w:r>
      <w:r w:rsidR="00027B74">
        <w:rPr>
          <w:lang w:val="en-GB"/>
        </w:rPr>
        <w:t xml:space="preserve"> that forest managers are increasingly being urged to leave it at the time of harvest, which will, in the near future, help maintain the productive capacity of the soil by increasing soil moisture, </w:t>
      </w:r>
      <w:commentRangeStart w:id="0"/>
      <w:r w:rsidR="00027B74">
        <w:rPr>
          <w:lang w:val="en-GB"/>
        </w:rPr>
        <w:t>moderating soil surface temperatures</w:t>
      </w:r>
      <w:commentRangeEnd w:id="0"/>
      <w:r w:rsidR="005E3BFF">
        <w:rPr>
          <w:rStyle w:val="CommentReference"/>
        </w:rPr>
        <w:commentReference w:id="0"/>
      </w:r>
      <w:r w:rsidR="00027B74">
        <w:rPr>
          <w:lang w:val="en-GB"/>
        </w:rPr>
        <w:t xml:space="preserve">, inhibiting surface erosion </w:t>
      </w:r>
      <w:r w:rsidR="00027B74">
        <w:rPr>
          <w:lang w:val="en-GB"/>
        </w:rPr>
        <w:fldChar w:fldCharType="begin" w:fldLock="1"/>
      </w:r>
      <w:r w:rsidR="00B41A4B">
        <w:rPr>
          <w:lang w:val="en-GB"/>
        </w:rPr>
        <w:instrText>ADDIN CSL_CITATION {"citationItems":[{"id":"ITEM-1","itemData":{"DOI":"10.1139/x94-234","ISSN":"00455067","abstract":"Carbon dioxide evolution rates for downed logs (coarse woody debris) and the forest floor were measured in a temperate, old-growth rain forest in Olympic National Park, Washington, using the soda l...","author":[{"dropping-particle":"","family":"Marra","given":"J. L.","non-dropping-particle":"","parse-names":false,"suffix":""},{"dropping-particle":"","family":"Edmonds","given":"R. L.","non-dropping-particle":"","parse-names":false,"suffix":""}],"container-title":"Canadian Journal of Forest Research","id":"ITEM-1","issue":"9","issued":{"date-parts":[["1994"]]},"page":"1811-1817","publisher":"NRC Research Press Ottawa, Canada","title":"Coarse woody debris and forest floor respiration in an old-growth coniferous forest on the Olympic Peninsula, Washington, USA","type":"article-journal","volume":"24"},"uris":["http://www.mendeley.com/documents/?uuid=bfa565a9-e3e3-3e07-9ff4-c786880346ca"]}],"mendeley":{"formattedCitation":"(Marra &amp; Edmonds, 1994)","plainTextFormattedCitation":"(Marra &amp; Edmonds, 1994)","previouslyFormattedCitation":"(Marra &amp; Edmonds, 1994)"},"properties":{"noteIndex":0},"schema":"https://github.com/citation-style-language/schema/raw/master/csl-citation.json"}</w:instrText>
      </w:r>
      <w:r w:rsidR="00027B74">
        <w:rPr>
          <w:lang w:val="en-GB"/>
        </w:rPr>
        <w:fldChar w:fldCharType="separate"/>
      </w:r>
      <w:r w:rsidR="0071767D" w:rsidRPr="0071767D">
        <w:rPr>
          <w:noProof/>
          <w:lang w:val="en-GB"/>
        </w:rPr>
        <w:t>(Marra &amp; Edmonds, 1994)</w:t>
      </w:r>
      <w:r w:rsidR="00027B74">
        <w:rPr>
          <w:lang w:val="en-GB"/>
        </w:rPr>
        <w:fldChar w:fldCharType="end"/>
      </w:r>
      <w:r w:rsidR="00027B74">
        <w:rPr>
          <w:lang w:val="en-GB"/>
        </w:rPr>
        <w:t xml:space="preserve"> and</w:t>
      </w:r>
      <w:r w:rsidR="00581A6C">
        <w:rPr>
          <w:lang w:val="en-GB"/>
        </w:rPr>
        <w:t xml:space="preserve"> provid</w:t>
      </w:r>
      <w:r w:rsidR="00027B74">
        <w:rPr>
          <w:lang w:val="en-GB"/>
        </w:rPr>
        <w:t>ing</w:t>
      </w:r>
      <w:r w:rsidR="00581A6C">
        <w:rPr>
          <w:lang w:val="en-GB"/>
        </w:rPr>
        <w:t xml:space="preserve"> habitat for a wide diversity of specialized organisms </w:t>
      </w:r>
      <w:r w:rsidR="00581A6C">
        <w:rPr>
          <w:lang w:val="en-GB"/>
        </w:rPr>
        <w:fldChar w:fldCharType="begin" w:fldLock="1"/>
      </w:r>
      <w:r w:rsidR="00581A6C">
        <w:rPr>
          <w:lang w:val="en-GB"/>
        </w:rPr>
        <w:instrText xml:space="preserve">ADDIN CSL_CITATION {"citationItems":[{"id":"ITEM-1","itemData":{"DOI":"10.1016/j.foreco.2012.11.043","ISSN":"03781127","abstract":"Coarse woody debris (CWD; defined here as fallen and standing dead trees and tree ferns) is a critical structural and functional component of forest ecosystems that typically comprises a large proportion of total aboveground carbon (C) storage. However, CWD estimates for the tropics are uncommon, and little is known about how C storage in CWD will respond to climate change. Given the predominant role that tropical forests play in global C cycling, this information gap compromises efforts to forecast climate change impacts on terrestrial C balance. The primary objectives of this study were to: (i) quantify CWD C storage in a tropical montane wet forest; and (ii) determine if CWD C storage varies with mean annual temperature (MAT). Coarse woody debris C was quantified with line-intercept sampling techniques in nine permanent plots located across a highly constrained 5.2°C MAT gradient spanning 800m elevation on the eastern slope of Mauna Kea Volcano, Island of Hawaii. Forests across this tropical montane MAT gradient contained large quantities of CWD C (44.3±11.2Mgha-1; Mean±1 SE), which accounted for an estimated 17% of total aboveground C storage. Across the entire gradient, CWD C was found primarily as: moderately decayed CWD (Decay Class 2); tree CWD; fallen CWD; and small diameter CWD (2-10cm). Tree ferns accounted for an average of </w:instrText>
      </w:r>
      <w:r w:rsidR="00581A6C">
        <w:rPr>
          <w:rFonts w:ascii="Cambria Math" w:hAnsi="Cambria Math" w:cs="Cambria Math"/>
          <w:lang w:val="en-GB"/>
        </w:rPr>
        <w:instrText>∼</w:instrText>
      </w:r>
      <w:r w:rsidR="00581A6C">
        <w:rPr>
          <w:lang w:val="en-GB"/>
        </w:rPr>
        <w:instrText>20% of total CWD C, but are rarely included in tropical CWD estimates. Overall, total CWD C ranged from 12.2 to 104.6Mgha-1 across the MAT gradient, and decreased with increasing MAT. The negative relationship between CWD and MAT was driven by large accumulations of standing tree CWD at cooler MATs, as fallen CWD did not vary with MAT. The results presented here are in line with limited evidence from tropical studies showing that CWD can make up a large fraction of total aboveground C storage. In addition, these data suggest that CWD could become a net C source to the atmosphere in tropical forests with future warming. A decrease in tropical montane CWD C storage would have important implications for global C dynamics and atmospheric CO2 levels. © 2012 Elsevier B.V.","author":[{"dropping-particle":"","family":"Iwashita","given":"Darcey K.","non-dropping-particle":"","parse-names":false,"suffix":""},{"dropping-particle":"","family":"Litton","given":"Creighton M.","non-dropping-particle":"","parse-names":false,"suffix":""},{"dropping-particle":"","family":"Giardina","given":"Christian P.","non-dropping-particle":"","parse-names":false,"suffix":""}],"container-title":"Forest Ecology and Management","id":"ITEM-1","issued":{"date-parts":[["2013"]]},"page":"336-343","title":"Coarse woody debris carbon storage across a mean annual temperature gradient in tropical montane wet forest","type":"article-journal","volume":"291"},"uris":["http://www.mendeley.com/documents/?uuid=b245549e-777c-4433-be03-12a892b58866"]}],"mendeley":{"formattedCitation":"(Iwashita et al., 2013)","plainTextFormattedCitation":"(Iwashita et al., 2013)","previouslyFormattedCitation":"(Iwashita et al., 2013)"},"properties":{"noteIndex":0},"schema":"https://github.com/citation-style-language/schema/raw/master/csl-citation.json"}</w:instrText>
      </w:r>
      <w:r w:rsidR="00581A6C">
        <w:rPr>
          <w:lang w:val="en-GB"/>
        </w:rPr>
        <w:fldChar w:fldCharType="separate"/>
      </w:r>
      <w:r w:rsidR="00581A6C" w:rsidRPr="00581A6C">
        <w:rPr>
          <w:noProof/>
          <w:lang w:val="en-GB"/>
        </w:rPr>
        <w:t>(Iwashita et al., 2013)</w:t>
      </w:r>
      <w:r w:rsidR="00581A6C">
        <w:rPr>
          <w:lang w:val="en-GB"/>
        </w:rPr>
        <w:fldChar w:fldCharType="end"/>
      </w:r>
      <w:r w:rsidR="006A69B7">
        <w:rPr>
          <w:lang w:val="en-GB"/>
        </w:rPr>
        <w:t xml:space="preserve">. </w:t>
      </w:r>
      <w:r w:rsidR="00581A6C">
        <w:rPr>
          <w:lang w:val="en-GB"/>
        </w:rPr>
        <w:t xml:space="preserve"> </w:t>
      </w:r>
      <w:r w:rsidR="006A69B7">
        <w:rPr>
          <w:lang w:val="en-GB"/>
        </w:rPr>
        <w:t>Moreover</w:t>
      </w:r>
      <w:r w:rsidR="00581A6C">
        <w:rPr>
          <w:lang w:val="en-GB"/>
        </w:rPr>
        <w:t xml:space="preserve">, European lists of endangered species are often dominated by species dependent of </w:t>
      </w:r>
      <w:r w:rsidR="003412F4">
        <w:rPr>
          <w:lang w:val="en-GB"/>
        </w:rPr>
        <w:t>D</w:t>
      </w:r>
      <w:r w:rsidR="002D7675">
        <w:rPr>
          <w:lang w:val="en-GB"/>
        </w:rPr>
        <w:t>WD</w:t>
      </w:r>
      <w:r w:rsidR="00581A6C">
        <w:rPr>
          <w:lang w:val="en-GB"/>
        </w:rPr>
        <w:t xml:space="preserve"> (Reviewed in </w:t>
      </w:r>
      <w:r w:rsidR="00581A6C">
        <w:rPr>
          <w:lang w:val="en-GB"/>
        </w:rPr>
        <w:fldChar w:fldCharType="begin" w:fldLock="1"/>
      </w:r>
      <w:r w:rsidR="00581A6C">
        <w:rPr>
          <w:lang w:val="en-GB"/>
        </w:rPr>
        <w:instrText>ADDIN CSL_CITATION {"citationItems":[{"id":"ITEM-1","itemData":{"DOI":"10.1080/00049158.2003.10674920","ISSN":"00049158","abstract":"This paper reviews the biodiversity conservation issues relating to management of coarse woody debris (CWD) in the wet eucalypt production forests of Tasmania, with particular emphasis on clearfell, burn and sow (CBS) silviculture and on fuelwood harvesting. CBS is the standard silvicultural system in these forests, while fuelwood harvesting, as currently proposed, would involve the recovery of a higher proportion of felled biomass than standard CBS, as well as some pre-existing CWD.Studies and practices from around the world are considered that have relevance to the temperate Australian forestry situation in general, and the Tasmanian situation in particular. The paper considers the ecological roles of CWD in natural forest ecosystems, emphasising its value as a key structural component and as habitat for biodiversity (especially invertebrates). Temporal continuity and spatial connectivity in supply of CWD, and presence of larger-diameter CWD, emerge as key factors determining community richness and composition. Whilst levels of CWD naturally fluctuate spatially and temporally in wet eucalypt forests, studies from northern temperate and boreal forests with similar dynamics demonstrate that, historically, management of native forests has tended to result in a gradual diminution of the CWD resource. Larger-diameter material is readily diminished through management, with potential consequences for dependent biodiversity.Suggested mitigation measures (landscape-level and coupe-level), to accommodate biodiversity concerns and avoid a long-term conservation management problem for forest managers in Tasmania, centre on two main concerns. One is the likelihood that current standard rotation lengths used in CBS are probably too short to allow for the recruitment of sufficient CWD to replace that which is lost through harvesting, regeneration burning and natural decomposition. The other concern is that fuelwood harvesting may significantly increase the impacts of CBS on biodiversity in general and on threatened species in particular. © 2003 Taylor &amp; Francis Group, LLC.","author":[{"dropping-particle":"","family":"Grove","given":"Simon","non-dropping-particle":"","parse-names":false,"suffix":""},{"dropping-particle":"","family":"Meggs","given":"Jeff","non-dropping-particle":"","parse-names":false,"suffix":""}],"container-title":"Australian Forestry","id":"ITEM-1","issue":"4","issued":{"date-parts":[["2003"]]},"page":"258-272","title":"Coarse woody debris, biodiversity and management: A review with particular reference to Tasmanian wet eucalypt forests","type":"article-journal","volume":"66"},"uris":["http://www.mendeley.com/documents/?uuid=4e828920-338b-4c05-8ba5-5fbe602d5de1"]}],"mendeley":{"formattedCitation":"(Grove &amp; Meggs, 2003)","plainTextFormattedCitation":"(Grove &amp; Meggs, 2003)","previouslyFormattedCitation":"(Grove &amp; Meggs, 2003)"},"properties":{"noteIndex":0},"schema":"https://github.com/citation-style-language/schema/raw/master/csl-citation.json"}</w:instrText>
      </w:r>
      <w:r w:rsidR="00581A6C">
        <w:rPr>
          <w:lang w:val="en-GB"/>
        </w:rPr>
        <w:fldChar w:fldCharType="separate"/>
      </w:r>
      <w:r w:rsidR="00581A6C" w:rsidRPr="00AD63A3">
        <w:rPr>
          <w:noProof/>
          <w:lang w:val="en-GB"/>
        </w:rPr>
        <w:t>(Grove &amp; Meggs, 2003)</w:t>
      </w:r>
      <w:r w:rsidR="00581A6C">
        <w:rPr>
          <w:lang w:val="en-GB"/>
        </w:rPr>
        <w:fldChar w:fldCharType="end"/>
      </w:r>
      <w:r w:rsidR="00C03F4C">
        <w:rPr>
          <w:lang w:val="en-GB"/>
        </w:rPr>
        <w:t xml:space="preserve"> and </w:t>
      </w:r>
      <w:r w:rsidR="00FE34F1">
        <w:rPr>
          <w:lang w:val="en-GB"/>
        </w:rPr>
        <w:t xml:space="preserve">a minimum </w:t>
      </w:r>
      <w:r w:rsidR="000A7B4D">
        <w:rPr>
          <w:lang w:val="en-GB"/>
        </w:rPr>
        <w:t>thresholds of DWD volume necessary for the survival of endangered saproxylic species have been determined recently</w:t>
      </w:r>
      <w:r w:rsidR="00FE34F1">
        <w:rPr>
          <w:lang w:val="en-GB"/>
        </w:rPr>
        <w:t xml:space="preserve"> (around 20-30 m</w:t>
      </w:r>
      <w:r w:rsidR="00FE34F1" w:rsidRPr="00FE34F1">
        <w:rPr>
          <w:vertAlign w:val="superscript"/>
          <w:lang w:val="en-GB"/>
        </w:rPr>
        <w:t>3</w:t>
      </w:r>
      <w:r w:rsidR="00FE34F1">
        <w:rPr>
          <w:lang w:val="en-GB"/>
        </w:rPr>
        <w:t xml:space="preserve"> ha</w:t>
      </w:r>
      <w:r w:rsidR="00FE34F1" w:rsidRPr="00FE34F1">
        <w:rPr>
          <w:vertAlign w:val="superscript"/>
          <w:lang w:val="en-GB"/>
        </w:rPr>
        <w:t>-1</w:t>
      </w:r>
      <w:r w:rsidR="00FE34F1">
        <w:rPr>
          <w:lang w:val="en-GB"/>
        </w:rPr>
        <w:t>)</w:t>
      </w:r>
      <w:r w:rsidR="00D92F02">
        <w:rPr>
          <w:lang w:val="en-GB"/>
        </w:rPr>
        <w:t xml:space="preserve"> </w:t>
      </w:r>
      <w:r w:rsidR="00D92F02">
        <w:rPr>
          <w:lang w:val="en-GB"/>
        </w:rPr>
        <w:fldChar w:fldCharType="begin" w:fldLock="1"/>
      </w:r>
      <w:r w:rsidR="00740BB9">
        <w:rPr>
          <w:lang w:val="en-GB"/>
        </w:rPr>
        <w:instrText>ADDIN CSL_CITATION {"citationItems":[{"id":"ITEM-1","itemData":{"DOI":"10.1016/j.foreco.2010.08.037","ISSN":"03781127","abstract":"Currently, there is much debate about what strategy is most suitable for increasing old-growth attributes in forests that have been managed intensively for wood production in the past. Passive restoration, i.e. cessation of forestry interventions, should be considered when the old-growth attributes desired can be restored within a feasible period of time. Our study focuses on standing and lying coarse dead wood (≥20cm diameter) in beech-dominated forests in northwestern Germany. We analyzed monitoring data of 545 sample plots (sized 500-1000m2) from 12 strict forest reserves (SFRs). The SFRs had been without forestry intervention for up to 28 years.Both, number of dead objects and volume of dead wood (m3ha-1) increased significantly with ongoing time since abandonment from forestry interventions. The mean amount doubled from 9 to 18m3ha-1 within 10 years. The proportion of standing dead wood was about 40% of the total dead wood pool ≥20cm diameter. With mixed linear modeling we showed that dead wood increased by a mean net rate of about 1m3ha-1a-1. Therefore, after three decades critical values for restoring the dead wood pool could be reached. We hypothesized that the rate of dead wood input is mainly determined by disturbance driven tree mortality such as oak decline, bark beetle infestations and storms.A comparison with primeval forests or reserves abandoned more than 100 years ago showed that the SFRs studied are at the beginning of a long process of dead wood accumulation. Based on our results, the abandonment of forest activities in harvestable pure and mixed beech stands is an effective strategy for restoring the dead wood pool. © 2010.","author":[{"dropping-particle":"","family":"Meyer","given":"P.","non-dropping-particle":"","parse-names":false,"suffix":""},{"dropping-particle":"","family":"Schmidt","given":"M.","non-dropping-particle":"","parse-names":false,"suffix":""}],"container-title":"Forest Ecology and Management","id":"ITEM-1","issue":"3","issued":{"date-parts":[["2011"]]},"page":"342-352","publisher":"Elsevier B.V.","title":"Accumulation of dead wood in abandoned beech (Fagus sylvatica L.) forests in northwestern Germany","type":"article-journal","volume":"261"},"uris":["http://www.mendeley.com/documents/?uuid=fdeeccd1-ce3b-43b9-9ce0-13a217eef1a8"]}],"mendeley":{"formattedCitation":"(Meyer &amp; Schmidt, 2011)","plainTextFormattedCitation":"(Meyer &amp; Schmidt, 2011)","previouslyFormattedCitation":"(Meyer &amp; Schmidt, 2011)"},"properties":{"noteIndex":0},"schema":"https://github.com/citation-style-language/schema/raw/master/csl-citation.json"}</w:instrText>
      </w:r>
      <w:r w:rsidR="00D92F02">
        <w:rPr>
          <w:lang w:val="en-GB"/>
        </w:rPr>
        <w:fldChar w:fldCharType="separate"/>
      </w:r>
      <w:r w:rsidR="00D92F02" w:rsidRPr="00D92F02">
        <w:rPr>
          <w:noProof/>
          <w:lang w:val="en-GB"/>
        </w:rPr>
        <w:t>(Meyer &amp; Schmidt, 2011)</w:t>
      </w:r>
      <w:r w:rsidR="00D92F02">
        <w:rPr>
          <w:lang w:val="en-GB"/>
        </w:rPr>
        <w:fldChar w:fldCharType="end"/>
      </w:r>
      <w:r w:rsidR="00581A6C">
        <w:rPr>
          <w:lang w:val="en-GB"/>
        </w:rPr>
        <w:t xml:space="preserve">. </w:t>
      </w:r>
      <w:r w:rsidR="006A69B7">
        <w:rPr>
          <w:lang w:val="en-GB"/>
        </w:rPr>
        <w:t>In fact, in Europe, the volume of either standing or fallen dead wood is one of the nine pan-European indicators for sustainable forest management (criterion 4: maintenance, conservation and appropriate enhancement of biological diversity in forest ecosystems)</w:t>
      </w:r>
      <w:r w:rsidR="008243EA">
        <w:rPr>
          <w:lang w:val="en-GB"/>
        </w:rPr>
        <w:t xml:space="preserve"> (</w:t>
      </w:r>
      <w:commentRangeStart w:id="1"/>
      <w:r w:rsidR="008243EA">
        <w:rPr>
          <w:lang w:val="en-GB"/>
        </w:rPr>
        <w:t>MCPFE, 2003)</w:t>
      </w:r>
      <w:commentRangeEnd w:id="1"/>
      <w:r w:rsidR="008243EA">
        <w:rPr>
          <w:rStyle w:val="CommentReference"/>
        </w:rPr>
        <w:commentReference w:id="1"/>
      </w:r>
    </w:p>
    <w:p w14:paraId="33EBB751" w14:textId="5D4173F6" w:rsidR="0005019A" w:rsidRDefault="003412F4" w:rsidP="00581A6C">
      <w:pPr>
        <w:rPr>
          <w:lang w:val="en-GB"/>
        </w:rPr>
      </w:pPr>
      <w:r>
        <w:rPr>
          <w:lang w:val="en-GB"/>
        </w:rPr>
        <w:t>Downed woody debris</w:t>
      </w:r>
      <w:r w:rsidR="00027B74">
        <w:rPr>
          <w:lang w:val="en-GB"/>
        </w:rPr>
        <w:t xml:space="preserve"> </w:t>
      </w:r>
      <w:r w:rsidR="00581A6C">
        <w:rPr>
          <w:lang w:val="en-GB"/>
        </w:rPr>
        <w:t>plays a major role as a regulator of nutrient cycling</w:t>
      </w:r>
      <w:r w:rsidR="004E5AFE">
        <w:rPr>
          <w:lang w:val="en-GB"/>
        </w:rPr>
        <w:t xml:space="preserve"> in forests</w:t>
      </w:r>
      <w:r w:rsidR="00581A6C">
        <w:rPr>
          <w:lang w:val="en-GB"/>
        </w:rPr>
        <w:t xml:space="preserve"> </w:t>
      </w:r>
      <w:r w:rsidR="00581A6C">
        <w:rPr>
          <w:lang w:val="en-GB"/>
        </w:rPr>
        <w:fldChar w:fldCharType="begin" w:fldLock="1"/>
      </w:r>
      <w:r w:rsidR="00410CEF">
        <w:rPr>
          <w:lang w:val="en-GB"/>
        </w:rPr>
        <w:instrText xml:space="preserve">ADDIN CSL_CITATION {"citationItems":[{"id":"ITEM-1","itemData":{"DOI":"10.1016/j.foreco.2012.11.043","ISSN":"03781127","abstract":"Coarse woody debris (CWD; defined here as fallen and standing dead trees and tree ferns) is a critical structural and functional component of forest ecosystems that typically comprises a large proportion of total aboveground carbon (C) storage. However, CWD estimates for the tropics are uncommon, and little is known about how C storage in CWD will respond to climate change. Given the predominant role that tropical forests play in global C cycling, this information gap compromises efforts to forecast climate change impacts on terrestrial C balance. The primary objectives of this study were to: (i) quantify CWD C storage in a tropical montane wet forest; and (ii) determine if CWD C storage varies with mean annual temperature (MAT). Coarse woody debris C was quantified with line-intercept sampling techniques in nine permanent plots located across a highly constrained 5.2°C MAT gradient spanning 800m elevation on the eastern slope of Mauna Kea Volcano, Island of Hawaii. Forests across this tropical montane MAT gradient contained large quantities of CWD C (44.3±11.2Mgha-1; Mean±1 SE), which accounted for an estimated 17% of total aboveground C storage. Across the entire gradient, CWD C was found primarily as: moderately decayed CWD (Decay Class 2); tree CWD; fallen CWD; and small diameter CWD (2-10cm). Tree ferns accounted for an average of </w:instrText>
      </w:r>
      <w:r w:rsidR="00410CEF">
        <w:rPr>
          <w:rFonts w:ascii="Cambria Math" w:hAnsi="Cambria Math" w:cs="Cambria Math"/>
          <w:lang w:val="en-GB"/>
        </w:rPr>
        <w:instrText>∼</w:instrText>
      </w:r>
      <w:r w:rsidR="00410CEF">
        <w:rPr>
          <w:lang w:val="en-GB"/>
        </w:rPr>
        <w:instrText>20% of total CWD C, but are rarely included in tropical CWD estimates. Overall, total CWD C ranged from 12.2 to 104.6Mgha-1 across the MAT gradient, and decreased with increasing MAT. The negative relationship between CWD and MAT was driven by large accumulations of standing tree CWD at cooler MATs, as fallen CWD did not vary with MAT. The results presented here are in line with limited evidence from tropical studies showing that CWD can make up a large fraction of total aboveground C storage. In addition, these data suggest that CWD could become a net C source to the atmosphere in tropical forests with future warming. A decrease in tropical montane CWD C storage would have important implications for global C dynamics and atmospheric CO2 levels. © 2012 Elsevier B.V.","author":[{"dropping-particle":"","family":"Iwashita","given":"Darcey K.","non-dropping-particle":"","parse-names":false,"suffix":""},{"dropping-particle":"","family":"Litton","given":"Creighton M.","non-dropping-particle":"","parse-names":false,"suffix":""},{"dropping-particle":"","family":"Giardina","given":"Christian P.","non-dropping-particle":"","parse-names":false,"suffix":""}],"container-title":"Forest Ecology and Management","id":"ITEM-1","issued":{"date-parts":[["2013"]]},"page":"336-343","title":"Coarse woody debris carbon storage across a mean annual temperature gradient in tropical montane wet forest","type":"article-journal","volume":"291"},"uris":["http://www.mendeley.com/documents/?uuid=b245549e-777c-4433-be03-12a892b58866"]}],"mendeley":{"formattedCitation":"(Iwashita et al., 2013)","plainTextFormattedCitation":"(Iwashita et al., 2013)","previouslyFormattedCitation":"(Iwashita et al., 2013)"},"properties":{"noteIndex":0},"schema":"https://github.com/citation-style-language/schema/raw/master/csl-citation.json"}</w:instrText>
      </w:r>
      <w:r w:rsidR="00581A6C">
        <w:rPr>
          <w:lang w:val="en-GB"/>
        </w:rPr>
        <w:fldChar w:fldCharType="separate"/>
      </w:r>
      <w:r w:rsidR="00581A6C" w:rsidRPr="00581A6C">
        <w:rPr>
          <w:noProof/>
          <w:lang w:val="en-GB"/>
        </w:rPr>
        <w:t>(Iwashita et al., 2013)</w:t>
      </w:r>
      <w:r w:rsidR="00581A6C">
        <w:rPr>
          <w:lang w:val="en-GB"/>
        </w:rPr>
        <w:fldChar w:fldCharType="end"/>
      </w:r>
      <w:r w:rsidR="00581A6C">
        <w:rPr>
          <w:lang w:val="en-GB"/>
        </w:rPr>
        <w:t>.</w:t>
      </w:r>
      <w:r w:rsidR="00C3019A">
        <w:rPr>
          <w:lang w:val="en-GB"/>
        </w:rPr>
        <w:t xml:space="preserve"> </w:t>
      </w:r>
      <w:r w:rsidR="00243A9D">
        <w:rPr>
          <w:lang w:val="en-GB"/>
        </w:rPr>
        <w:t xml:space="preserve">In this topic, </w:t>
      </w:r>
      <w:r>
        <w:rPr>
          <w:lang w:val="en-GB"/>
        </w:rPr>
        <w:t>D</w:t>
      </w:r>
      <w:r w:rsidR="00243A9D">
        <w:rPr>
          <w:lang w:val="en-GB"/>
        </w:rPr>
        <w:t xml:space="preserve">WD </w:t>
      </w:r>
      <w:r w:rsidR="00C3019A">
        <w:rPr>
          <w:lang w:val="en-GB"/>
        </w:rPr>
        <w:t xml:space="preserve">is calculated to comprise 8% of the total </w:t>
      </w:r>
      <w:r w:rsidR="00C213BA">
        <w:rPr>
          <w:lang w:val="en-GB"/>
        </w:rPr>
        <w:t>C</w:t>
      </w:r>
      <w:r w:rsidR="00C3019A">
        <w:rPr>
          <w:lang w:val="en-GB"/>
        </w:rPr>
        <w:t xml:space="preserve"> </w:t>
      </w:r>
      <w:r w:rsidR="00ED2230">
        <w:rPr>
          <w:lang w:val="en-GB"/>
        </w:rPr>
        <w:t>stock</w:t>
      </w:r>
      <w:r w:rsidR="00C3019A">
        <w:rPr>
          <w:lang w:val="en-GB"/>
        </w:rPr>
        <w:t xml:space="preserve"> in forests globally</w:t>
      </w:r>
      <w:r w:rsidR="00820F2D">
        <w:rPr>
          <w:lang w:val="en-GB"/>
        </w:rPr>
        <w:t xml:space="preserve"> </w:t>
      </w:r>
      <w:r w:rsidR="00F6122E">
        <w:rPr>
          <w:lang w:val="en-GB"/>
        </w:rPr>
        <w:fldChar w:fldCharType="begin" w:fldLock="1"/>
      </w:r>
      <w:r w:rsidR="005C5E3D">
        <w:rPr>
          <w:lang w:val="en-GB"/>
        </w:rPr>
        <w:instrText xml:space="preserve">ADDIN CSL_CITATION {"citationItems":[{"id":"ITEM-1","itemData":{"DOI":"10.1016/j.foreco.2012.11.043","ISSN":"03781127","abstract":"Coarse woody debris (CWD; defined here as fallen and standing dead trees and tree ferns) is a critical structural and functional component of forest ecosystems that typically comprises a large proportion of total aboveground carbon (C) storage. However, CWD estimates for the tropics are uncommon, and little is known about how C storage in CWD will respond to climate change. Given the predominant role that tropical forests play in global C cycling, this information gap compromises efforts to forecast climate change impacts on terrestrial C balance. The primary objectives of this study were to: (i) quantify CWD C storage in a tropical montane wet forest; and (ii) determine if CWD C storage varies with mean annual temperature (MAT). Coarse woody debris C was quantified with line-intercept sampling techniques in nine permanent plots located across a highly constrained 5.2°C MAT gradient spanning 800m elevation on the eastern slope of Mauna Kea Volcano, Island of Hawaii. Forests across this tropical montane MAT gradient contained large quantities of CWD C (44.3±11.2Mgha-1; Mean±1 SE), which accounted for an estimated 17% of total aboveground C storage. Across the entire gradient, CWD C was found primarily as: moderately decayed CWD (Decay Class 2); tree CWD; fallen CWD; and small diameter CWD (2-10cm). Tree ferns accounted for an average of </w:instrText>
      </w:r>
      <w:r w:rsidR="005C5E3D">
        <w:rPr>
          <w:rFonts w:ascii="Cambria Math" w:hAnsi="Cambria Math" w:cs="Cambria Math"/>
          <w:lang w:val="en-GB"/>
        </w:rPr>
        <w:instrText>∼</w:instrText>
      </w:r>
      <w:r w:rsidR="005C5E3D">
        <w:rPr>
          <w:lang w:val="en-GB"/>
        </w:rPr>
        <w:instrText>20% of total CWD C, but are rarely included in tropical CWD estimates. Overall, total CWD C ranged from 12.2 to 104.6Mgha-1 across the MAT gradient, and decreased with increasing MAT. The negative relationship between CWD and MAT was driven by large accumulations of standing tree CWD at cooler MATs, as fallen CWD did not vary with MAT. The results presented here are in line with limited evidence from tropical studies showing that CWD can make up a large fraction of total aboveground C storage. In addition, these data suggest that CWD could become a net C source to the atmosphere in tropical forests with future warming. A decrease in tropical montane CWD C storage would have important implications for global C dynamics and atmospheric CO2 levels. © 2012 Elsevier B.V.","author":[{"dropping-particle":"","family":"Iwashita","given":"Darcey K.","non-dropping-particle":"","parse-names":false,"suffix":""},{"dropping-particle":"","family":"Litton","given":"Creighton M.","non-dropping-particle":"","parse-names":false,"suffix":""},{"dropping-particle":"","family":"Giardina","given":"Christian P.","non-dropping-particle":"","parse-names":false,"suffix":""}],"container-title":"Forest Ecology and Management","id":"ITEM-1","issued":{"date-parts":[["2013"]]},"page":"336-343","title":"Coarse woody debris carbon storage across a mean annual temperature gradient in tropical montane wet forest","type":"article-journal","volume":"291"},"uris":["http://www.mendeley.com/documents/?uuid=b245549e-777c-4433-be03-12a892b58866"]}],"mendeley":{"formattedCitation":"(Iwashita et al., 2013)","plainTextFormattedCitation":"(Iwashita et al., 2013)","previouslyFormattedCitation":"(Iwashita et al., 2013)"},"properties":{"noteIndex":0},"schema":"https://github.com/citation-style-language/schema/raw/master/csl-citation.json"}</w:instrText>
      </w:r>
      <w:r w:rsidR="00F6122E">
        <w:rPr>
          <w:lang w:val="en-GB"/>
        </w:rPr>
        <w:fldChar w:fldCharType="separate"/>
      </w:r>
      <w:r w:rsidR="00F6122E" w:rsidRPr="00F6122E">
        <w:rPr>
          <w:noProof/>
          <w:lang w:val="en-GB"/>
        </w:rPr>
        <w:t>(Iwashita et al., 2013)</w:t>
      </w:r>
      <w:r w:rsidR="00F6122E">
        <w:rPr>
          <w:lang w:val="en-GB"/>
        </w:rPr>
        <w:fldChar w:fldCharType="end"/>
      </w:r>
      <w:r w:rsidR="00F6122E">
        <w:rPr>
          <w:lang w:val="en-GB"/>
        </w:rPr>
        <w:t xml:space="preserve"> </w:t>
      </w:r>
      <w:r w:rsidR="00820F2D">
        <w:rPr>
          <w:lang w:val="en-GB"/>
        </w:rPr>
        <w:t xml:space="preserve">and 20% </w:t>
      </w:r>
      <w:r w:rsidR="00496F50">
        <w:rPr>
          <w:lang w:val="en-GB"/>
        </w:rPr>
        <w:t>in</w:t>
      </w:r>
      <w:r w:rsidR="00C213BA">
        <w:rPr>
          <w:lang w:val="en-GB"/>
        </w:rPr>
        <w:t xml:space="preserve"> old-growth forest</w:t>
      </w:r>
      <w:r w:rsidR="00120AA8">
        <w:rPr>
          <w:lang w:val="en-GB"/>
        </w:rPr>
        <w:t xml:space="preserve"> particularly</w:t>
      </w:r>
      <w:r w:rsidR="00C54C82">
        <w:rPr>
          <w:lang w:val="en-GB"/>
        </w:rPr>
        <w:t xml:space="preserve"> </w:t>
      </w:r>
      <w:r w:rsidR="00F75142">
        <w:rPr>
          <w:lang w:val="en-GB"/>
        </w:rPr>
        <w:fldChar w:fldCharType="begin" w:fldLock="1"/>
      </w:r>
      <w:r w:rsidR="00F6122E">
        <w:rPr>
          <w:lang w:val="en-GB"/>
        </w:rPr>
        <w:instrText>ADDIN CSL_CITATION {"citationItems":[{"id":"ITEM-1","itemData":{"DOI":"10.1007/s10021-014-9757-5","ISSN":"14350629","abstract":"A key component in describing forest carbon (C) dynamics is the change in downed dead wood biomass through time. Specifically, there is a dearth of information regarding the residence time of downed woody debris (DWD), which may be reflected in the diversity of wood (for example, species, size, and stage of decay) and site attributes (for example, climate) across the study region of eastern US forests. The empirical assessment of DWD rate of decay and residence time is complicated by the decay process itself, as decomposing logs undergo not only a reduction in wood density over time but also reductions in biomass, shape, and size. Using DWD repeated measurements coupled with models to estimate durations in various stages of decay, estimates of DWD half-life (T HALF), residence time (T RES), and decay rate (k constants) were developed for 36 tree species common to eastern US forests. Results indicate that estimates for T HALF averaged 18 and 10 years for conifers and hardwoods, respectively. Species that exhibited shorter T HALF tended to display a shorter T RES and larger k constants. Averages of T RES ranged from 57 to 124 years for conifers and from 46 to 71 years for hardwoods, depending on the species and methodology for estimating DWD decomposition considered. Decay rate constants (k) increased with increasing temperature of climate zones and ranged from 0.024 to 0.040 for conifers and from 0.043 to 0.064 for hardwoods. These estimates could be incorporated into dynamic global vegetation models to elucidate the role of DWD in forest C dynamics. © 2014 Springer Science+Business Media New York.","author":[{"dropping-particle":"","family":"Russell","given":"Matthew B.","non-dropping-particle":"","parse-names":false,"suffix":""},{"dropping-particle":"","family":"Woodall","given":"Christopher W.","non-dropping-particle":"","parse-names":false,"suffix":""},{"dropping-particle":"","family":"Fraver","given":"Shawn","non-dropping-particle":"","parse-names":false,"suffix":""},{"dropping-particle":"","family":"D'Amato","given":"Anthony W.","non-dropping-particle":"","parse-names":false,"suffix":""},{"dropping-particle":"","family":"Domke","given":"Grant M.","non-dropping-particle":"","parse-names":false,"suffix":""},{"dropping-particle":"","family":"Skog","given":"Kenneth E.","non-dropping-particle":"","parse-names":false,"suffix":""}],"container-title":"Ecosystems","id":"ITEM-1","issue":"5","issued":{"date-parts":[["2014"]]},"page":"765-777","title":"Residence Times and Decay Rates of Downed Woody Debris Biomass/Carbon in Eastern US Forests","type":"article-journal","volume":"17"},"uris":["http://www.mendeley.com/documents/?uuid=4036901f-c4dc-4e93-a73c-a1530083e58b"]}],"mendeley":{"formattedCitation":"(Russell et al., 2014)","plainTextFormattedCitation":"(Russell et al., 2014)","previouslyFormattedCitation":"(Russell et al., 2014)"},"properties":{"noteIndex":0},"schema":"https://github.com/citation-style-language/schema/raw/master/csl-citation.json"}</w:instrText>
      </w:r>
      <w:r w:rsidR="00F75142">
        <w:rPr>
          <w:lang w:val="en-GB"/>
        </w:rPr>
        <w:fldChar w:fldCharType="separate"/>
      </w:r>
      <w:r w:rsidR="00F75142" w:rsidRPr="00F75142">
        <w:rPr>
          <w:noProof/>
          <w:lang w:val="en-GB"/>
        </w:rPr>
        <w:t>(Russell et al., 2014)</w:t>
      </w:r>
      <w:r w:rsidR="00F75142">
        <w:rPr>
          <w:lang w:val="en-GB"/>
        </w:rPr>
        <w:fldChar w:fldCharType="end"/>
      </w:r>
      <w:r w:rsidR="002804DB">
        <w:rPr>
          <w:lang w:val="en-GB"/>
        </w:rPr>
        <w:t xml:space="preserve"> acting as a huge fuel </w:t>
      </w:r>
      <w:r w:rsidR="001D76FC">
        <w:rPr>
          <w:lang w:val="en-GB"/>
        </w:rPr>
        <w:t>reservoir in for</w:t>
      </w:r>
      <w:r w:rsidR="00263F41">
        <w:rPr>
          <w:lang w:val="en-GB"/>
        </w:rPr>
        <w:t>est ecosystems</w:t>
      </w:r>
      <w:r w:rsidR="00C3019A">
        <w:rPr>
          <w:lang w:val="en-GB"/>
        </w:rPr>
        <w:t>.</w:t>
      </w:r>
      <w:r w:rsidR="00410CEF">
        <w:rPr>
          <w:lang w:val="en-GB"/>
        </w:rPr>
        <w:t xml:space="preserve"> </w:t>
      </w:r>
      <w:r w:rsidR="00687D2D">
        <w:rPr>
          <w:lang w:val="en-GB"/>
        </w:rPr>
        <w:t xml:space="preserve">During its lifetime, a </w:t>
      </w:r>
      <w:r w:rsidR="00F255ED">
        <w:rPr>
          <w:lang w:val="en-GB"/>
        </w:rPr>
        <w:t xml:space="preserve">recently fallen DWD will </w:t>
      </w:r>
      <w:r w:rsidR="00C14953">
        <w:rPr>
          <w:lang w:val="en-GB"/>
        </w:rPr>
        <w:t>under</w:t>
      </w:r>
      <w:r w:rsidR="00C92338">
        <w:rPr>
          <w:lang w:val="en-GB"/>
        </w:rPr>
        <w:t xml:space="preserve">go through multiple stages, also called decay class (DC), where its physical and chemical traits will vary, while the </w:t>
      </w:r>
      <w:r w:rsidR="00FA69C2">
        <w:rPr>
          <w:lang w:val="en-GB"/>
        </w:rPr>
        <w:t>fungi</w:t>
      </w:r>
      <w:r w:rsidR="00C92338">
        <w:rPr>
          <w:lang w:val="en-GB"/>
        </w:rPr>
        <w:t xml:space="preserve"> and insects consume the </w:t>
      </w:r>
      <w:r w:rsidR="00FA69C2">
        <w:rPr>
          <w:lang w:val="en-GB"/>
        </w:rPr>
        <w:t>wood</w:t>
      </w:r>
      <w:r w:rsidR="00F92066">
        <w:rPr>
          <w:lang w:val="en-GB"/>
        </w:rPr>
        <w:t>. During this process the DWD will lose mass and</w:t>
      </w:r>
      <w:r w:rsidR="00B8330B">
        <w:rPr>
          <w:lang w:val="en-GB"/>
        </w:rPr>
        <w:t xml:space="preserve"> density, while the C</w:t>
      </w:r>
      <w:commentRangeStart w:id="2"/>
      <w:r w:rsidR="00B8330B">
        <w:rPr>
          <w:lang w:val="en-GB"/>
        </w:rPr>
        <w:t xml:space="preserve">/N rate gets higher </w:t>
      </w:r>
      <w:commentRangeEnd w:id="2"/>
      <w:r w:rsidR="006C4864">
        <w:rPr>
          <w:rStyle w:val="CommentReference"/>
        </w:rPr>
        <w:commentReference w:id="2"/>
      </w:r>
      <w:r w:rsidR="006C4864" w:rsidRPr="006C4864">
        <w:rPr>
          <w:b/>
          <w:bCs/>
          <w:lang w:val="en-GB"/>
        </w:rPr>
        <w:t>(CITA)</w:t>
      </w:r>
      <w:r w:rsidR="006C4864">
        <w:rPr>
          <w:lang w:val="en-GB"/>
        </w:rPr>
        <w:t xml:space="preserve"> </w:t>
      </w:r>
      <w:r w:rsidR="00B8330B">
        <w:rPr>
          <w:lang w:val="en-GB"/>
        </w:rPr>
        <w:t xml:space="preserve">until </w:t>
      </w:r>
      <w:r w:rsidR="00BF0CB4">
        <w:rPr>
          <w:lang w:val="en-GB"/>
        </w:rPr>
        <w:t xml:space="preserve">it </w:t>
      </w:r>
      <w:r w:rsidR="00B8330B">
        <w:rPr>
          <w:lang w:val="en-GB"/>
        </w:rPr>
        <w:t xml:space="preserve">finally </w:t>
      </w:r>
      <w:r w:rsidR="00BF0CB4">
        <w:rPr>
          <w:lang w:val="en-GB"/>
        </w:rPr>
        <w:t>gets</w:t>
      </w:r>
      <w:r w:rsidR="00DE5021">
        <w:rPr>
          <w:lang w:val="en-GB"/>
        </w:rPr>
        <w:t xml:space="preserve"> </w:t>
      </w:r>
      <w:commentRangeStart w:id="3"/>
      <w:r w:rsidR="00DE5021">
        <w:rPr>
          <w:lang w:val="en-GB"/>
        </w:rPr>
        <w:t>disintegrated</w:t>
      </w:r>
      <w:commentRangeEnd w:id="3"/>
      <w:r w:rsidR="00DE5021">
        <w:rPr>
          <w:rStyle w:val="CommentReference"/>
        </w:rPr>
        <w:commentReference w:id="3"/>
      </w:r>
      <w:r w:rsidR="00DE5021">
        <w:rPr>
          <w:lang w:val="en-GB"/>
        </w:rPr>
        <w:t xml:space="preserve"> and included as part of the soil. </w:t>
      </w:r>
      <w:r w:rsidR="002E59A0">
        <w:rPr>
          <w:lang w:val="en-GB"/>
        </w:rPr>
        <w:t>In the</w:t>
      </w:r>
      <w:r w:rsidR="00C26BB6">
        <w:rPr>
          <w:lang w:val="en-GB"/>
        </w:rPr>
        <w:t xml:space="preserve"> course of</w:t>
      </w:r>
      <w:r w:rsidR="00D3168D">
        <w:rPr>
          <w:lang w:val="en-GB"/>
        </w:rPr>
        <w:t xml:space="preserve"> </w:t>
      </w:r>
      <w:r w:rsidR="00E25034">
        <w:rPr>
          <w:lang w:val="en-GB"/>
        </w:rPr>
        <w:t>this succession</w:t>
      </w:r>
      <w:r w:rsidR="00D3168D">
        <w:rPr>
          <w:lang w:val="en-GB"/>
        </w:rPr>
        <w:t xml:space="preserve"> of events, </w:t>
      </w:r>
      <w:r w:rsidR="00C26BB6">
        <w:rPr>
          <w:lang w:val="en-GB"/>
        </w:rPr>
        <w:t xml:space="preserve">the nutrients </w:t>
      </w:r>
      <w:r w:rsidR="00CB0C15">
        <w:rPr>
          <w:lang w:val="en-GB"/>
        </w:rPr>
        <w:t xml:space="preserve">are </w:t>
      </w:r>
      <w:r w:rsidR="004B3E83">
        <w:rPr>
          <w:lang w:val="en-GB"/>
        </w:rPr>
        <w:t>introduced again in the biological cycle, while the C stored in the dead wood is returned to the atmosphere via microbial respiration</w:t>
      </w:r>
      <w:r w:rsidR="0054681E">
        <w:rPr>
          <w:lang w:val="en-GB"/>
        </w:rPr>
        <w:t xml:space="preserve"> and insect consum</w:t>
      </w:r>
      <w:r w:rsidR="0001743A">
        <w:rPr>
          <w:lang w:val="en-GB"/>
        </w:rPr>
        <w:t>p</w:t>
      </w:r>
      <w:r w:rsidR="0054681E">
        <w:rPr>
          <w:lang w:val="en-GB"/>
        </w:rPr>
        <w:t>tion</w:t>
      </w:r>
      <w:r w:rsidR="0090182E">
        <w:rPr>
          <w:lang w:val="en-GB"/>
        </w:rPr>
        <w:t xml:space="preserve"> </w:t>
      </w:r>
      <w:r w:rsidR="00815329">
        <w:rPr>
          <w:lang w:val="en-GB"/>
        </w:rPr>
        <w:fldChar w:fldCharType="begin" w:fldLock="1"/>
      </w:r>
      <w:r w:rsidR="005A3A1A">
        <w:rPr>
          <w:lang w:val="en-GB"/>
        </w:rPr>
        <w:instrText>ADDIN CSL_CITATION {"citationItems":[{"id":"ITEM-1","itemData":{"DOI":"10.1111/gcb.14357","ISSN":"13652486","PMID":"29901246","abstract":"Wood decomposition is a major component of the global carbon cycle. Decomposition rates vary across climate gradients, which is thought to reflect the effects of temperature and moisture on the metabolic kinetics of decomposers. However, decomposition rates also vary with wood traits, which may reflect the influence of stoichiometry on decomposer metabolism as well as geometry relating the surface areas that decomposers colonize with the volumes they consume. In this paper, we combined metabolic and geometric scaling theories to formalize hypotheses regarding the drivers of wood decomposition rates, and assessed these hypotheses using a global compilation of data on climate, wood traits, and wood decomposition rates. Our results are consistent with predictions from both metabolic and geometric scaling theories. Approximately half of the global variation in decomposition rates was explained by wood traits (nitrogen content and diameter), whereas only a fifth was explained by climate variables (air temperature, precipitation, and relative humidity). These results indicate that global variation in wood decomposition rates is best explained by stoichiometric and geometric wood traits. Our findings suggest that inclusion of wood traits in global carbon cycle models can improve predictions of carbon fluxes from wood decomposition.","author":[{"dropping-particle":"","family":"Hu","given":"Zhenhong","non-dropping-particle":"","parse-names":false,"suffix":""},{"dropping-particle":"","family":"Michaletz","given":"Sean T.","non-dropping-particle":"","parse-names":false,"suffix":""},{"dropping-particle":"","family":"Johnson","given":"Daniel J.","non-dropping-particle":"","parse-names":false,"suffix":""},{"dropping-particle":"","family":"McDowell","given":"Nate G.","non-dropping-particle":"","parse-names":false,"suffix":""},{"dropping-particle":"","family":"Huang","given":"Zhiqun","non-dropping-particle":"","parse-names":false,"suffix":""},{"dropping-particle":"","family":"Zhou","given":"Xuhui","non-dropping-particle":"","parse-names":false,"suffix":""},{"dropping-particle":"","family":"Xu","given":"Chonggang","non-dropping-particle":"","parse-names":false,"suffix":""}],"container-title":"Global Change Biology","id":"ITEM-1","issue":"11","issued":{"date-parts":[["2018"]]},"page":"5259-5269","title":"Traits drive global wood decomposition rates more than climate","type":"article-journal","volume":"24"},"uris":["http://www.mendeley.com/documents/?uuid=e36fd4a3-ef77-4da8-9bb6-c29ec81dd4fe"]},{"id":"ITEM-2","itemData":{"DOI":"10.1038/s41586-021-03740-8","ISSN":"14764687","PMID":"34471275","abstract":"The amount of carbon stored in deadwood is equivalent to about 8 per cent of the global forest carbon stocks1. The decomposition of deadwood is largely governed by climate2–5 with decomposer groups—such as microorganisms and insects—contributing to variations in the decomposition rates2,6,7. At the global scale, the contribution of insects to the decomposition of deadwood and carbon release remains poorly understood7. Here we present a field experiment of wood decomposition across 55 forest sites and 6 continents. We find that the deadwood decomposition rates increase with temperature, and the strongest temperature effect is found at high precipitation levels. Precipitation affects the decomposition rates negatively at low temperatures and positively at high temperatures. As a net effect—including the direct consumption by insects and indirect effects through interactions with microorganisms—insects accelerate the decomposition in tropical forests (3.9% median mass loss per year). In temperate and boreal forests, we find weak positive and negative effects with a median mass loss of 0.9 per cent and −0.1 per cent per year, respectively. Furthermore, we apply the experimentally derived decomposition function to a global map of deadwood carbon synthesized from empirical and remote-sensing data, obtaining an estimate of 10.9 ± 3.2 petagram of carbon per year released from deadwood globally, with 93 per cent originating from tropical forests. Globally, the net effect of insects may account for 29 per cent of the carbon flux from deadwood, which suggests a functional importance of insects in the decomposition of deadwood and the carbon cycle.","author":[{"dropping-particle":"","family":"Seibold","given":"Sebastian","non-dropping-particle":"","parse-names":false,"suffix":""},{"dropping-particle":"","family":"Rammer","given":"Werner","non-dropping-particle":"","parse-names":false,"suffix":""},{"dropping-particle":"","family":"Hothorn","given":"Torsten","non-dropping-particle":"","parse-names":false,"suffix":""},{"dropping-particle":"","family":"Seidl","given":"Rupert","non-dropping-particle":"","parse-names":false,"suffix":""},{"dropping-particle":"","family":"Ulyshen","given":"Michael D.","non-dropping-particle":"","parse-names":false,"suffix":""},{"dropping-particle":"","family":"Lorz","given":"Janina","non-dropping-particle":"","parse-names":false,"suffix":""},{"dropping-particle":"","family":"Cadotte","given":"Marc W.","non-dropping-particle":"","parse-names":false,"suffix":""},{"dropping-particle":"","family":"Lindenmayer","given":"David B.","non-dropping-particle":"","parse-names":false,"suffix":""},{"dropping-particle":"","family":"Adhikari","given":"Yagya P.","non-dropping-particle":"","parse-names":false,"suffix":""},{"dropping-particle":"","family":"Aragón","given":"Roxana","non-dropping-particle":"","parse-names":false,"suffix":""},{"dropping-particle":"","family":"Bae","given":"Soyeon","non-dropping-particle":"","parse-names":false,"suffix":""},{"dropping-particle":"","family":"Baldrian","given":"Petr","non-dropping-particle":"","parse-names":false,"suffix":""},{"dropping-particle":"","family":"Barimani Varandi","given":"Hassan","non-dropping-particle":"","parse-names":false,"suffix":""},{"dropping-particle":"","family":"Barlow","given":"Jos","non-dropping-particle":"","parse-names":false,"suffix":""},{"dropping-particle":"","family":"Bässler","given":"Claus","non-dropping-particle":"","parse-names":false,"suffix":""},{"dropping-particle":"","family":"Beauchêne","given":"Jacques","non-dropping-particle":"","parse-names":false,"suffix":""},{"dropping-particle":"","family":"Berenguer","given":"Erika","non-dropping-particle":"","parse-names":false,"suffix":""},{"dropping-particle":"","family":"Bergamin","given":"Rodrigo S.","non-dropping-particle":"","parse-names":false,"suffix":""},{"dropping-particle":"","family":"Birkemoe","given":"Tone","non-dropping-particle":"","parse-names":false,"suffix":""},{"dropping-particle":"","family":"Boros","given":"Gergely","non-dropping-particle":"","parse-names":false,"suffix":""},{"dropping-particle":"","family":"Brandl","given":"Roland","non-dropping-particle":"","parse-names":false,"suffix":""},{"dropping-particle":"","family":"Brustel","given":"Hervé","non-dropping-particle":"","parse-names":false,"suffix":""},{"dropping-particle":"","family":"Burton","given":"Philip J.","non-dropping-particle":"","parse-names":false,"suffix":""},{"dropping-particle":"","family":"Cakpo-Tossou","given":"Yvonne T.","non-dropping-particle":"","parse-names":false,"suffix":""},{"dropping-particle":"","family":"Castro","given":"Jorge","non-dropping-particle":"","parse-names":false,"suffix":""},{"dropping-particle":"","family":"Cateau","given":"Eugénie","non-dropping-particle":"","parse-names":false,"suffix":""},{"dropping-particle":"","family":"Cobb","given":"Tyler P.","non-dropping-particle":"","parse-names":false,"suffix":""},{"dropping-particle":"","family":"Farwig","given":"Nina","non-dropping-particle":"","parse-names":false,"suffix":""},{"dropping-particle":"","family":"Fernández","given":"Romina D.","non-dropping-particle":"","parse-names":false,"suffix":""},{"dropping-particle":"","family":"Firn","given":"Jennifer","non-dropping-particle":"","parse-names":false,"suffix":""},{"dropping-particle":"","family":"Gan","given":"Kee Seng","non-dropping-particle":"","parse-names":false,"suffix":""},{"dropping-particle":"","family":"González","given":"Grizelle","non-dropping-particle":"","parse-names":false,"suffix":""},{"dropping-particle":"","family":"Gossner","given":"Martin M.","non-dropping-particle":"","parse-names":false,"suffix":""},{"dropping-particle":"","family":"Habel","given":"Jan C.","non-dropping-particle":"","parse-names":false,"suffix":""},{"dropping-particle":"","family":"Hébert","given":"Christian","non-dropping-particle":"","parse-names":false,"suffix":""},{"dropping-particle":"","family":"Heibl","given":"Christoph","non-dropping-particle":"","parse-names":false,"suffix":""},{"dropping-particle":"","family":"Heikkala","given":"Osmo","non-dropping-particle":"","parse-names":false,"suffix":""},{"dropping-particle":"","family":"Hemp","given":"Andreas","non-dropping-particle":"","parse-names":false,"suffix":""},{"dropping-particle":"","family":"Hemp","given":"Claudia","non-dropping-particle":"","parse-names":false,"suffix":""},{"dropping-particle":"","family":"Hjältén","given":"Joakim","non-dropping-particle":"","parse-names":false,"suffix":""},{"dropping-particle":"","family":"Hotes","given":"Stefan","non-dropping-particle":"","parse-names":false,"suffix":""},{"dropping-particle":"","family":"Kouki","given":"Jari","non-dropping-particle":"","parse-names":false,"suffix":""},{"dropping-particle":"","family":"Lachat","given":"Thibault","non-dropping-particle":"","parse-names":false,"suffix":""},{"dropping-particle":"","family":"Liu","given":"Jie","non-dropping-particle":"","parse-names":false,"suffix":""},{"dropping-particle":"","family":"Liu","given":"Yu","non-dropping-particle":"","parse-names":false,"suffix":""},{"dropping-particle":"","family":"Luo","given":"Ya Huang","non-dropping-particle":"","parse-names":false,"suffix":""},{"dropping-particle":"","family":"Macandog","given":"Damasa M.","non-dropping-particle":"","parse-names":false,"suffix":""},{"dropping-particle":"","family":"Martina","given":"Pablo E.","non-dropping-particle":"","parse-names":false,"suffix":""},{"dropping-particle":"","family":"Mukul","given":"Sharif A.","non-dropping-particle":"","parse-names":false,"suffix":""},{"dropping-particle":"","family":"Nachin","given":"Baatarbileg","non-dropping-particle":"","parse-names":false,"suffix":""},{"dropping-particle":"","family":"Nisbet","given":"Kurtis","non-dropping-particle":"","parse-names":false,"suffix":""},{"dropping-particle":"","family":"O’Halloran","given":"John","non-dropping-particle":"","parse-names":false,"suffix":""},{"dropping-particle":"","family":"Oxbrough","given":"Anne","non-dropping-particle":"","parse-names":false,"suffix":""},{"dropping-particle":"","family":"Pandey","given":"Jeev Nath","non-dropping-particle":"","parse-names":false,"suffix":""},{"dropping-particle":"","family":"Pavlíček","given":"Tomáš","non-dropping-particle":"","parse-names":false,"suffix":""},{"dropping-particle":"","family":"Pawson","given":"Stephen M.","non-dropping-particle":"","parse-names":false,"suffix":""},{"dropping-particle":"","family":"Rakotondranary","given":"Jacques S.","non-dropping-particle":"","parse-names":false,"suffix":""},{"dropping-particle":"","family":"Ramanamanjato","given":"Jean Baptiste","non-dropping-particle":"","parse-names":false,"suffix":""},{"dropping-particle":"","family":"Rossi","given":"Liana","non-dropping-particle":"","parse-names":false,"suffix":""},{"dropping-particle":"","family":"Schmidl","given":"Jürgen","non-dropping-particle":"","parse-names":false,"suffix":""},{"dropping-particle":"","family":"Schulze","given":"Mark","non-dropping-particle":"","parse-names":false,"suffix":""},{"dropping-particle":"","family":"Seaton","given":"Stephen","non-dropping-particle":"","parse-names":false,"suffix":""},{"dropping-particle":"","family":"Stone","given":"Marisa J.","non-dropping-particle":"","parse-names":false,"suffix":""},{"dropping-particle":"","family":"Stork","given":"Nigel E.","non-dropping-particle":"","parse-names":false,"suffix":""},{"dropping-particle":"","family":"Suran","given":"Byambagerel","non-dropping-particle":"","parse-names":false,"suffix":""},{"dropping-particle":"","family":"Sverdrup-Thygeson","given":"Anne","non-dropping-particle":"","parse-names":false,"suffix":""},{"dropping-particle":"","family":"Thorn","given":"Simon","non-dropping-particle":"","parse-names":false,"suffix":""},{"dropping-particle":"","family":"Thyagarajan","given":"Ganesh","non-dropping-particle":"","parse-names":false,"suffix":""},{"dropping-particle":"","family":"Wardlaw","given":"Timothy J.","non-dropping-particle":"","parse-names":false,"suffix":""},{"dropping-particle":"","family":"Weisser","given":"Wolfgang W.","non-dropping-particle":"","parse-names":false,"suffix":""},{"dropping-particle":"","family":"Yoon","given":"Sungsoo","non-dropping-particle":"","parse-names":false,"suffix":""},{"dropping-particle":"","family":"Zhang","given":"Naili","non-dropping-particle":"","parse-names":false,"suffix":""},{"dropping-particle":"","family":"Müller","given":"Jörg","non-dropping-particle":"","parse-names":false,"suffix":""}],"container-title":"Nature","id":"ITEM-2","issue":"7874","issued":{"date-parts":[["2021"]]},"page":"77-81","title":"The contribution of insects to global forest deadwood decomposition","type":"article-journal","volume":"597"},"uris":["http://www.mendeley.com/documents/?uuid=a8806a8a-14a0-3e29-bf49-439b0919bf15"]}],"mendeley":{"formattedCitation":"(Hu et al., 2018; Seibold et al., 2021)","plainTextFormattedCitation":"(Hu et al., 2018; Seibold et al., 2021)","previouslyFormattedCitation":"(Hu et al., 2018; Seibold et al., 2021)"},"properties":{"noteIndex":0},"schema":"https://github.com/citation-style-language/schema/raw/master/csl-citation.json"}</w:instrText>
      </w:r>
      <w:r w:rsidR="00815329">
        <w:rPr>
          <w:lang w:val="en-GB"/>
        </w:rPr>
        <w:fldChar w:fldCharType="separate"/>
      </w:r>
      <w:r w:rsidR="0054681E" w:rsidRPr="0054681E">
        <w:rPr>
          <w:noProof/>
          <w:lang w:val="en-GB"/>
        </w:rPr>
        <w:t>(Hu et al., 2018; Seibold et al., 2021)</w:t>
      </w:r>
      <w:r w:rsidR="00815329">
        <w:rPr>
          <w:lang w:val="en-GB"/>
        </w:rPr>
        <w:fldChar w:fldCharType="end"/>
      </w:r>
      <w:r w:rsidR="00815329">
        <w:rPr>
          <w:lang w:val="en-GB"/>
        </w:rPr>
        <w:t>.</w:t>
      </w:r>
      <w:r w:rsidR="00CE6C68">
        <w:rPr>
          <w:lang w:val="en-GB"/>
        </w:rPr>
        <w:t xml:space="preserve"> </w:t>
      </w:r>
      <w:r w:rsidR="0054681E">
        <w:rPr>
          <w:lang w:val="en-GB"/>
        </w:rPr>
        <w:t>I</w:t>
      </w:r>
      <w:r w:rsidR="00780949">
        <w:rPr>
          <w:lang w:val="en-GB"/>
        </w:rPr>
        <w:t xml:space="preserve">t is estimated that </w:t>
      </w:r>
      <w:r w:rsidR="006801FA">
        <w:rPr>
          <w:lang w:val="en-GB"/>
        </w:rPr>
        <w:t>th</w:t>
      </w:r>
      <w:r w:rsidR="00D4153C">
        <w:rPr>
          <w:lang w:val="en-GB"/>
        </w:rPr>
        <w:t>is</w:t>
      </w:r>
      <w:r w:rsidR="006801FA">
        <w:rPr>
          <w:lang w:val="en-GB"/>
        </w:rPr>
        <w:t xml:space="preserve"> C released from the DWD to t</w:t>
      </w:r>
      <w:r w:rsidR="00780949">
        <w:rPr>
          <w:lang w:val="en-GB"/>
        </w:rPr>
        <w:t xml:space="preserve">he atmosphere is 10.9 </w:t>
      </w:r>
      <w:r w:rsidR="00D4153C">
        <w:rPr>
          <w:rFonts w:cstheme="minorHAnsi"/>
          <w:lang w:val="en-GB"/>
        </w:rPr>
        <w:t>±</w:t>
      </w:r>
      <w:r w:rsidR="00780949">
        <w:rPr>
          <w:lang w:val="en-GB"/>
        </w:rPr>
        <w:t xml:space="preserve"> 3.2 Pg</w:t>
      </w:r>
      <w:r w:rsidR="00C14953">
        <w:rPr>
          <w:lang w:val="en-GB"/>
        </w:rPr>
        <w:t xml:space="preserve"> per year globally, corresponding to 15-25% of the annual release of </w:t>
      </w:r>
      <w:r w:rsidR="00376768">
        <w:rPr>
          <w:lang w:val="en-GB"/>
        </w:rPr>
        <w:t>C</w:t>
      </w:r>
      <w:r w:rsidR="00C14953">
        <w:rPr>
          <w:lang w:val="en-GB"/>
        </w:rPr>
        <w:t xml:space="preserve"> from soils</w:t>
      </w:r>
      <w:r w:rsidR="003272D6">
        <w:rPr>
          <w:lang w:val="en-GB"/>
        </w:rPr>
        <w:t xml:space="preserve"> </w:t>
      </w:r>
      <w:r w:rsidR="00B41A4B">
        <w:rPr>
          <w:lang w:val="en-GB"/>
        </w:rPr>
        <w:t>(50-75 Pg C yr</w:t>
      </w:r>
      <w:r w:rsidR="00B41A4B" w:rsidRPr="00D4153C">
        <w:rPr>
          <w:vertAlign w:val="superscript"/>
          <w:lang w:val="en-GB"/>
        </w:rPr>
        <w:t>-1</w:t>
      </w:r>
      <w:r w:rsidR="00B41A4B">
        <w:rPr>
          <w:lang w:val="en-GB"/>
        </w:rPr>
        <w:t xml:space="preserve">) </w:t>
      </w:r>
      <w:r w:rsidR="003272D6">
        <w:rPr>
          <w:lang w:val="en-GB"/>
        </w:rPr>
        <w:t>and 115% of the current anthropogenic carbon emissions from fossil fuels (9.5 Pg C yr</w:t>
      </w:r>
      <w:r w:rsidR="003272D6" w:rsidRPr="00D4153C">
        <w:rPr>
          <w:vertAlign w:val="superscript"/>
          <w:lang w:val="en-GB"/>
        </w:rPr>
        <w:t>-1</w:t>
      </w:r>
      <w:r w:rsidR="003272D6">
        <w:rPr>
          <w:lang w:val="en-GB"/>
        </w:rPr>
        <w:t>)</w:t>
      </w:r>
      <w:r w:rsidR="00B41A4B">
        <w:rPr>
          <w:lang w:val="en-GB"/>
        </w:rPr>
        <w:t xml:space="preserve"> </w:t>
      </w:r>
      <w:r w:rsidR="00B41A4B">
        <w:rPr>
          <w:lang w:val="en-GB"/>
        </w:rPr>
        <w:fldChar w:fldCharType="begin" w:fldLock="1"/>
      </w:r>
      <w:r w:rsidR="0054681E">
        <w:rPr>
          <w:lang w:val="en-GB"/>
        </w:rPr>
        <w:instrText>ADDIN CSL_CITATION {"citationItems":[{"id":"ITEM-1","itemData":{"DOI":"10.1038/s41586-021-03740-8","ISSN":"14764687","PMID":"34471275","abstract":"The amount of carbon stored in deadwood is equivalent to about 8 per cent of the global forest carbon stocks1. The decomposition of deadwood is largely governed by climate2–5 with decomposer groups—such as microorganisms and insects—contributing to variations in the decomposition rates2,6,7. At the global scale, the contribution of insects to the decomposition of deadwood and carbon release remains poorly understood7. Here we present a field experiment of wood decomposition across 55 forest sites and 6 continents. We find that the deadwood decomposition rates increase with temperature, and the strongest temperature effect is found at high precipitation levels. Precipitation affects the decomposition rates negatively at low temperatures and positively at high temperatures. As a net effect—including the direct consumption by insects and indirect effects through interactions with microorganisms—insects accelerate the decomposition in tropical forests (3.9% median mass loss per year). In temperate and boreal forests, we find weak positive and negative effects with a median mass loss of 0.9 per cent and −0.1 per cent per year, respectively. Furthermore, we apply the experimentally derived decomposition function to a global map of deadwood carbon synthesized from empirical and remote-sensing data, obtaining an estimate of 10.9 ± 3.2 petagram of carbon per year released from deadwood globally, with 93 per cent originating from tropical forests. Globally, the net effect of insects may account for 29 per cent of the carbon flux from deadwood, which suggests a functional importance of insects in the decomposition of deadwood and the carbon cycle.","author":[{"dropping-particle":"","family":"Seibold","given":"Sebastian","non-dropping-particle":"","parse-names":false,"suffix":""},{"dropping-particle":"","family":"Rammer","given":"Werner","non-dropping-particle":"","parse-names":false,"suffix":""},{"dropping-particle":"","family":"Hothorn","given":"Torsten","non-dropping-particle":"","parse-names":false,"suffix":""},{"dropping-particle":"","family":"Seidl","given":"Rupert","non-dropping-particle":"","parse-names":false,"suffix":""},{"dropping-particle":"","family":"Ulyshen","given":"Michael D.","non-dropping-particle":"","parse-names":false,"suffix":""},{"dropping-particle":"","family":"Lorz","given":"Janina","non-dropping-particle":"","parse-names":false,"suffix":""},{"dropping-particle":"","family":"Cadotte","given":"Marc W.","non-dropping-particle":"","parse-names":false,"suffix":""},{"dropping-particle":"","family":"Lindenmayer","given":"David B.","non-dropping-particle":"","parse-names":false,"suffix":""},{"dropping-particle":"","family":"Adhikari","given":"Yagya P.","non-dropping-particle":"","parse-names":false,"suffix":""},{"dropping-particle":"","family":"Aragón","given":"Roxana","non-dropping-particle":"","parse-names":false,"suffix":""},{"dropping-particle":"","family":"Bae","given":"Soyeon","non-dropping-particle":"","parse-names":false,"suffix":""},{"dropping-particle":"","family":"Baldrian","given":"Petr","non-dropping-particle":"","parse-names":false,"suffix":""},{"dropping-particle":"","family":"Barimani Varandi","given":"Hassan","non-dropping-particle":"","parse-names":false,"suffix":""},{"dropping-particle":"","family":"Barlow","given":"Jos","non-dropping-particle":"","parse-names":false,"suffix":""},{"dropping-particle":"","family":"Bässler","given":"Claus","non-dropping-particle":"","parse-names":false,"suffix":""},{"dropping-particle":"","family":"Beauchêne","given":"Jacques","non-dropping-particle":"","parse-names":false,"suffix":""},{"dropping-particle":"","family":"Berenguer","given":"Erika","non-dropping-particle":"","parse-names":false,"suffix":""},{"dropping-particle":"","family":"Bergamin","given":"Rodrigo S.","non-dropping-particle":"","parse-names":false,"suffix":""},{"dropping-particle":"","family":"Birkemoe","given":"Tone","non-dropping-particle":"","parse-names":false,"suffix":""},{"dropping-particle":"","family":"Boros","given":"Gergely","non-dropping-particle":"","parse-names":false,"suffix":""},{"dropping-particle":"","family":"Brandl","given":"Roland","non-dropping-particle":"","parse-names":false,"suffix":""},{"dropping-particle":"","family":"Brustel","given":"Hervé","non-dropping-particle":"","parse-names":false,"suffix":""},{"dropping-particle":"","family":"Burton","given":"Philip J.","non-dropping-particle":"","parse-names":false,"suffix":""},{"dropping-particle":"","family":"Cakpo-Tossou","given":"Yvonne T.","non-dropping-particle":"","parse-names":false,"suffix":""},{"dropping-particle":"","family":"Castro","given":"Jorge","non-dropping-particle":"","parse-names":false,"suffix":""},{"dropping-particle":"","family":"Cateau","given":"Eugénie","non-dropping-particle":"","parse-names":false,"suffix":""},{"dropping-particle":"","family":"Cobb","given":"Tyler P.","non-dropping-particle":"","parse-names":false,"suffix":""},{"dropping-particle":"","family":"Farwig","given":"Nina","non-dropping-particle":"","parse-names":false,"suffix":""},{"dropping-particle":"","family":"Fernández","given":"Romina D.","non-dropping-particle":"","parse-names":false,"suffix":""},{"dropping-particle":"","family":"Firn","given":"Jennifer","non-dropping-particle":"","parse-names":false,"suffix":""},{"dropping-particle":"","family":"Gan","given":"Kee Seng","non-dropping-particle":"","parse-names":false,"suffix":""},{"dropping-particle":"","family":"González","given":"Grizelle","non-dropping-particle":"","parse-names":false,"suffix":""},{"dropping-particle":"","family":"Gossner","given":"Martin M.","non-dropping-particle":"","parse-names":false,"suffix":""},{"dropping-particle":"","family":"Habel","given":"Jan C.","non-dropping-particle":"","parse-names":false,"suffix":""},{"dropping-particle":"","family":"Hébert","given":"Christian","non-dropping-particle":"","parse-names":false,"suffix":""},{"dropping-particle":"","family":"Heibl","given":"Christoph","non-dropping-particle":"","parse-names":false,"suffix":""},{"dropping-particle":"","family":"Heikkala","given":"Osmo","non-dropping-particle":"","parse-names":false,"suffix":""},{"dropping-particle":"","family":"Hemp","given":"Andreas","non-dropping-particle":"","parse-names":false,"suffix":""},{"dropping-particle":"","family":"Hemp","given":"Claudia","non-dropping-particle":"","parse-names":false,"suffix":""},{"dropping-particle":"","family":"Hjältén","given":"Joakim","non-dropping-particle":"","parse-names":false,"suffix":""},{"dropping-particle":"","family":"Hotes","given":"Stefan","non-dropping-particle":"","parse-names":false,"suffix":""},{"dropping-particle":"","family":"Kouki","given":"Jari","non-dropping-particle":"","parse-names":false,"suffix":""},{"dropping-particle":"","family":"Lachat","given":"Thibault","non-dropping-particle":"","parse-names":false,"suffix":""},{"dropping-particle":"","family":"Liu","given":"Jie","non-dropping-particle":"","parse-names":false,"suffix":""},{"dropping-particle":"","family":"Liu","given":"Yu","non-dropping-particle":"","parse-names":false,"suffix":""},{"dropping-particle":"","family":"Luo","given":"Ya Huang","non-dropping-particle":"","parse-names":false,"suffix":""},{"dropping-particle":"","family":"Macandog","given":"Damasa M.","non-dropping-particle":"","parse-names":false,"suffix":""},{"dropping-particle":"","family":"Martina","given":"Pablo E.","non-dropping-particle":"","parse-names":false,"suffix":""},{"dropping-particle":"","family":"Mukul","given":"Sharif A.","non-dropping-particle":"","parse-names":false,"suffix":""},{"dropping-particle":"","family":"Nachin","given":"Baatarbileg","non-dropping-particle":"","parse-names":false,"suffix":""},{"dropping-particle":"","family":"Nisbet","given":"Kurtis","non-dropping-particle":"","parse-names":false,"suffix":""},{"dropping-particle":"","family":"O’Halloran","given":"John","non-dropping-particle":"","parse-names":false,"suffix":""},{"dropping-particle":"","family":"Oxbrough","given":"Anne","non-dropping-particle":"","parse-names":false,"suffix":""},{"dropping-particle":"","family":"Pandey","given":"Jeev Nath","non-dropping-particle":"","parse-names":false,"suffix":""},{"dropping-particle":"","family":"Pavlíček","given":"Tomáš","non-dropping-particle":"","parse-names":false,"suffix":""},{"dropping-particle":"","family":"Pawson","given":"Stephen M.","non-dropping-particle":"","parse-names":false,"suffix":""},{"dropping-particle":"","family":"Rakotondranary","given":"Jacques S.","non-dropping-particle":"","parse-names":false,"suffix":""},{"dropping-particle":"","family":"Ramanamanjato","given":"Jean Baptiste","non-dropping-particle":"","parse-names":false,"suffix":""},{"dropping-particle":"","family":"Rossi","given":"Liana","non-dropping-particle":"","parse-names":false,"suffix":""},{"dropping-particle":"","family":"Schmidl","given":"Jürgen","non-dropping-particle":"","parse-names":false,"suffix":""},{"dropping-particle":"","family":"Schulze","given":"Mark","non-dropping-particle":"","parse-names":false,"suffix":""},{"dropping-particle":"","family":"Seaton","given":"Stephen","non-dropping-particle":"","parse-names":false,"suffix":""},{"dropping-particle":"","family":"Stone","given":"Marisa J.","non-dropping-particle":"","parse-names":false,"suffix":""},{"dropping-particle":"","family":"Stork","given":"Nigel E.","non-dropping-particle":"","parse-names":false,"suffix":""},{"dropping-particle":"","family":"Suran","given":"Byambagerel","non-dropping-particle":"","parse-names":false,"suffix":""},{"dropping-particle":"","family":"Sverdrup-Thygeson","given":"Anne","non-dropping-particle":"","parse-names":false,"suffix":""},{"dropping-particle":"","family":"Thorn","given":"Simon","non-dropping-particle":"","parse-names":false,"suffix":""},{"dropping-particle":"","family":"Thyagarajan","given":"Ganesh","non-dropping-particle":"","parse-names":false,"suffix":""},{"dropping-particle":"","family":"Wardlaw","given":"Timothy J.","non-dropping-particle":"","parse-names":false,"suffix":""},{"dropping-particle":"","family":"Weisser","given":"Wolfgang W.","non-dropping-particle":"","parse-names":false,"suffix":""},{"dropping-particle":"","family":"Yoon","given":"Sungsoo","non-dropping-particle":"","parse-names":false,"suffix":""},{"dropping-particle":"","family":"Zhang","given":"Naili","non-dropping-particle":"","parse-names":false,"suffix":""},{"dropping-particle":"","family":"Müller","given":"Jörg","non-dropping-particle":"","parse-names":false,"suffix":""}],"container-title":"Nature","id":"ITEM-1","issue":"7874","issued":{"date-parts":[["2021"]]},"page":"77-81","title":"The contribution of insects to global forest deadwood decomposition","type":"article-journal","volume":"597"},"uris":["http://www.mendeley.com/documents/?uuid=a8806a8a-14a0-3e29-bf49-439b0919bf15"]}],"mendeley":{"formattedCitation":"(Seibold et al., 2021)","plainTextFormattedCitation":"(Seibold et al., 2021)","previouslyFormattedCitation":"(Seibold et al., 2021)"},"properties":{"noteIndex":0},"schema":"https://github.com/citation-style-language/schema/raw/master/csl-citation.json"}</w:instrText>
      </w:r>
      <w:r w:rsidR="00B41A4B">
        <w:rPr>
          <w:lang w:val="en-GB"/>
        </w:rPr>
        <w:fldChar w:fldCharType="separate"/>
      </w:r>
      <w:r w:rsidR="004013B3" w:rsidRPr="004013B3">
        <w:rPr>
          <w:noProof/>
          <w:lang w:val="en-GB"/>
        </w:rPr>
        <w:t>(Seibold et al., 2021)</w:t>
      </w:r>
      <w:r w:rsidR="00B41A4B">
        <w:rPr>
          <w:lang w:val="en-GB"/>
        </w:rPr>
        <w:fldChar w:fldCharType="end"/>
      </w:r>
    </w:p>
    <w:p w14:paraId="1EEC663C" w14:textId="4E9AE523" w:rsidR="00E4721B" w:rsidRPr="00840059" w:rsidRDefault="00243A9D" w:rsidP="00581A6C">
      <w:pPr>
        <w:rPr>
          <w:color w:val="FF0000"/>
          <w:lang w:val="en-GB"/>
        </w:rPr>
      </w:pPr>
      <w:r>
        <w:rPr>
          <w:lang w:val="en-GB"/>
        </w:rPr>
        <w:t xml:space="preserve">The </w:t>
      </w:r>
      <w:r w:rsidR="00CE6C68">
        <w:rPr>
          <w:lang w:val="en-GB"/>
        </w:rPr>
        <w:t>DWD</w:t>
      </w:r>
      <w:r>
        <w:rPr>
          <w:lang w:val="en-GB"/>
        </w:rPr>
        <w:t xml:space="preserve"> persistence and </w:t>
      </w:r>
      <w:r w:rsidR="00CE6C68">
        <w:rPr>
          <w:lang w:val="en-GB"/>
        </w:rPr>
        <w:t>turnover, and</w:t>
      </w:r>
      <w:r w:rsidR="00027B74">
        <w:rPr>
          <w:lang w:val="en-GB"/>
        </w:rPr>
        <w:t xml:space="preserve"> hence, its storage capacity and balance,</w:t>
      </w:r>
      <w:r>
        <w:rPr>
          <w:lang w:val="en-GB"/>
        </w:rPr>
        <w:t xml:space="preserve"> </w:t>
      </w:r>
      <w:r w:rsidR="00CE6C68">
        <w:rPr>
          <w:lang w:val="en-GB"/>
        </w:rPr>
        <w:t xml:space="preserve">are however, </w:t>
      </w:r>
      <w:r>
        <w:rPr>
          <w:lang w:val="en-GB"/>
        </w:rPr>
        <w:t xml:space="preserve">affected by multiple factors, </w:t>
      </w:r>
      <w:r w:rsidR="00840059">
        <w:rPr>
          <w:lang w:val="en-GB"/>
        </w:rPr>
        <w:t>the most important of them being the chemical traits of the DWD</w:t>
      </w:r>
      <w:r w:rsidR="00233921">
        <w:rPr>
          <w:lang w:val="en-GB"/>
        </w:rPr>
        <w:t>, calculated to be responsible of at least 50% of the decay speed</w:t>
      </w:r>
      <w:r w:rsidR="00260477">
        <w:rPr>
          <w:lang w:val="en-GB"/>
        </w:rPr>
        <w:t>,</w:t>
      </w:r>
      <w:r w:rsidR="00840059">
        <w:rPr>
          <w:lang w:val="en-GB"/>
        </w:rPr>
        <w:t xml:space="preserve"> and </w:t>
      </w:r>
      <w:r>
        <w:rPr>
          <w:lang w:val="en-GB"/>
        </w:rPr>
        <w:t>the local climate</w:t>
      </w:r>
      <w:r w:rsidR="00840059">
        <w:rPr>
          <w:lang w:val="en-GB"/>
        </w:rPr>
        <w:t xml:space="preserve"> </w:t>
      </w:r>
      <w:r w:rsidR="00891408">
        <w:rPr>
          <w:lang w:val="en-GB"/>
        </w:rPr>
        <w:fldChar w:fldCharType="begin" w:fldLock="1"/>
      </w:r>
      <w:r w:rsidR="009277EB">
        <w:rPr>
          <w:lang w:val="en-GB"/>
        </w:rPr>
        <w:instrText>ADDIN CSL_CITATION {"citationItems":[{"id":"ITEM-1","itemData":{"DOI":"10.1111/gcb.14357","ISSN":"13652486","PMID":"29901246","abstract":"Wood decomposition is a major component of the global carbon cycle. Decomposition rates vary across climate gradients, which is thought to reflect the effects of temperature and moisture on the metabolic kinetics of decomposers. However, decomposition rates also vary with wood traits, which may reflect the influence of stoichiometry on decomposer metabolism as well as geometry relating the surface areas that decomposers colonize with the volumes they consume. In this paper, we combined metabolic and geometric scaling theories to formalize hypotheses regarding the drivers of wood decomposition rates, and assessed these hypotheses using a global compilation of data on climate, wood traits, and wood decomposition rates. Our results are consistent with predictions from both metabolic and geometric scaling theories. Approximately half of the global variation in decomposition rates was explained by wood traits (nitrogen content and diameter), whereas only a fifth was explained by climate variables (air temperature, precipitation, and relative humidity). These results indicate that global variation in wood decomposition rates is best explained by stoichiometric and geometric wood traits. Our findings suggest that inclusion of wood traits in global carbon cycle models can improve predictions of carbon fluxes from wood decomposition.","author":[{"dropping-particle":"","family":"Hu","given":"Zhenhong","non-dropping-particle":"","parse-names":false,"suffix":""},{"dropping-particle":"","family":"Michaletz","given":"Sean T.","non-dropping-particle":"","parse-names":false,"suffix":""},{"dropping-particle":"","family":"Johnson","given":"Daniel J.","non-dropping-particle":"","parse-names":false,"suffix":""},{"dropping-particle":"","family":"McDowell","given":"Nate G.","non-dropping-particle":"","parse-names":false,"suffix":""},{"dropping-particle":"","family":"Huang","given":"Zhiqun","non-dropping-particle":"","parse-names":false,"suffix":""},{"dropping-particle":"","family":"Zhou","given":"Xuhui","non-dropping-particle":"","parse-names":false,"suffix":""},{"dropping-particle":"","family":"Xu","given":"Chonggang","non-dropping-particle":"","parse-names":false,"suffix":""}],"container-title":"Global Change Biology","id":"ITEM-1","issue":"11","issued":{"date-parts":[["2018"]]},"page":"5259-5269","title":"Traits drive global wood decomposition rates more than climate","type":"article-journal","volume":"24"},"uris":["http://www.mendeley.com/documents/?uuid=e36fd4a3-ef77-4da8-9bb6-c29ec81dd4fe"]}],"mendeley":{"formattedCitation":"(Hu et al., 2018)","plainTextFormattedCitation":"(Hu et al., 2018)","previouslyFormattedCitation":"(Hu et al., 2018)"},"properties":{"noteIndex":0},"schema":"https://github.com/citation-style-language/schema/raw/master/csl-citation.json"}</w:instrText>
      </w:r>
      <w:r w:rsidR="00891408">
        <w:rPr>
          <w:lang w:val="en-GB"/>
        </w:rPr>
        <w:fldChar w:fldCharType="separate"/>
      </w:r>
      <w:r w:rsidR="00891408" w:rsidRPr="00891408">
        <w:rPr>
          <w:noProof/>
          <w:lang w:val="en-GB"/>
        </w:rPr>
        <w:t xml:space="preserve">(Hu et al., </w:t>
      </w:r>
      <w:r w:rsidR="00891408" w:rsidRPr="00891408">
        <w:rPr>
          <w:noProof/>
          <w:lang w:val="en-GB"/>
        </w:rPr>
        <w:lastRenderedPageBreak/>
        <w:t>2018)</w:t>
      </w:r>
      <w:r w:rsidR="00891408">
        <w:rPr>
          <w:lang w:val="en-GB"/>
        </w:rPr>
        <w:fldChar w:fldCharType="end"/>
      </w:r>
      <w:r w:rsidR="00840059">
        <w:rPr>
          <w:lang w:val="en-GB"/>
        </w:rPr>
        <w:t xml:space="preserve">. </w:t>
      </w:r>
      <w:r>
        <w:rPr>
          <w:lang w:val="en-GB"/>
        </w:rPr>
        <w:t xml:space="preserve"> </w:t>
      </w:r>
      <w:r w:rsidR="00C32A1A">
        <w:rPr>
          <w:lang w:val="en-GB"/>
        </w:rPr>
        <w:t xml:space="preserve">Global temperatures and atmospheric CO2 are expected to experience a substantial and </w:t>
      </w:r>
      <w:r w:rsidR="00593CFD">
        <w:rPr>
          <w:lang w:val="en-GB"/>
        </w:rPr>
        <w:t>simultaneous</w:t>
      </w:r>
      <w:r w:rsidR="00C32A1A">
        <w:rPr>
          <w:lang w:val="en-GB"/>
        </w:rPr>
        <w:t xml:space="preserve"> rise</w:t>
      </w:r>
      <w:r w:rsidR="005A3A1A">
        <w:rPr>
          <w:lang w:val="en-GB"/>
        </w:rPr>
        <w:t xml:space="preserve"> </w:t>
      </w:r>
      <w:r w:rsidR="005A3A1A">
        <w:rPr>
          <w:lang w:val="en-GB"/>
        </w:rPr>
        <w:fldChar w:fldCharType="begin" w:fldLock="1"/>
      </w:r>
      <w:r w:rsidR="00437729">
        <w:rPr>
          <w:lang w:val="en-GB"/>
        </w:rPr>
        <w:instrText>ADDIN CSL_CITATION {"citationItems":[{"id":"ITEM-1","itemData":{"author":[{"dropping-particle":"","family":"IPCC","given":"","non-dropping-particle":"","parse-names":false,"suffix":""}],"id":"ITEM-1","issued":{"date-parts":[["2007"]]},"title":"Climate Change 2007: Impacts, Adaptation and Vulnerability","type":"report"},"uris":["http://www.mendeley.com/documents/?uuid=5aea73c2-bc5e-409b-8783-ce40db15d30d"]}],"mendeley":{"formattedCitation":"(IPCC, 2007)","plainTextFormattedCitation":"(IPCC, 2007)","previouslyFormattedCitation":"(IPCC, 2007)"},"properties":{"noteIndex":0},"schema":"https://github.com/citation-style-language/schema/raw/master/csl-citation.json"}</w:instrText>
      </w:r>
      <w:r w:rsidR="005A3A1A">
        <w:rPr>
          <w:lang w:val="en-GB"/>
        </w:rPr>
        <w:fldChar w:fldCharType="separate"/>
      </w:r>
      <w:r w:rsidR="005A3A1A" w:rsidRPr="005A3A1A">
        <w:rPr>
          <w:noProof/>
          <w:lang w:val="en-GB"/>
        </w:rPr>
        <w:t>(IPCC, 2007)</w:t>
      </w:r>
      <w:r w:rsidR="005A3A1A">
        <w:rPr>
          <w:lang w:val="en-GB"/>
        </w:rPr>
        <w:fldChar w:fldCharType="end"/>
      </w:r>
      <w:r w:rsidR="00C32A1A">
        <w:rPr>
          <w:lang w:val="en-GB"/>
        </w:rPr>
        <w:t xml:space="preserve"> </w:t>
      </w:r>
      <w:commentRangeStart w:id="4"/>
      <w:r w:rsidR="00C32A1A">
        <w:rPr>
          <w:lang w:val="en-GB"/>
        </w:rPr>
        <w:t>(IPCC 2007</w:t>
      </w:r>
      <w:commentRangeEnd w:id="4"/>
      <w:r w:rsidR="00C32A1A">
        <w:rPr>
          <w:rStyle w:val="CommentReference"/>
        </w:rPr>
        <w:commentReference w:id="4"/>
      </w:r>
      <w:r w:rsidR="00C32A1A">
        <w:rPr>
          <w:lang w:val="en-GB"/>
        </w:rPr>
        <w:t>),</w:t>
      </w:r>
      <w:r w:rsidR="00737FE6">
        <w:rPr>
          <w:lang w:val="en-GB"/>
        </w:rPr>
        <w:t xml:space="preserve"> potentially producing complex feedbacks between climate, vegetation and natural carbon cycle in terrestrial ecosystems </w:t>
      </w:r>
      <w:r w:rsidR="003A0244">
        <w:rPr>
          <w:lang w:val="en-GB"/>
        </w:rPr>
        <w:fldChar w:fldCharType="begin" w:fldLock="1"/>
      </w:r>
      <w:r w:rsidR="00CE5D6B">
        <w:rPr>
          <w:lang w:val="en-GB"/>
        </w:rPr>
        <w:instrText>ADDIN CSL_CITATION {"citationItems":[{"id":"ITEM-1","itemData":{"DOI":"10.1038/nature03226","ISSN":"00280836","PMID":"15662420","abstract":"The sensitivity of soil carbon to warming is a major uncertainty in projections of carbon dioxide concentration and climate1. Experimental studies overwhelmingly indicate increased soil organic carbon (SOC) decomposition2-8 at higher temperatures, resulting in increased carbon dioxide emissions from soils. However, recent findings have been cited as evidence against increased soil carbon emissions in a warmer world 9,10. In soil warming experiments, the initially increased carbon dioxide efflux returns to pre-warming rates within one to three years 10-14, and apparent carbon pool turnover times are insensitive to temperature15. It has already been suggested that the apparent lack of temperature dependence could be an artefact due to neglecting the extreme heterogeneity of soil carbon16, but no explicit model has yet been presented that can reconcile all the above findings. Here we present a simple three-pool model that partitions SOC into components with different intrinsic turn-over rates. Using this model, we show that the results of all the soil-warming experiments are compatible with long-term temperature sensitivity of SOC turnover: they can be explained by rapid depletion of labile SOC combined with the negligible response of non-labile SOC on experimental timescales. Furthermore, we present evidence that non-labile SOC is more sensitive to temperature than labile SOC, implying that the long-term positive feedback of soil decomposition in a warming world may be even stronger than predicted by global models1,17-20.","author":[{"dropping-particle":"","family":"Knorr","given":"W.","non-dropping-particle":"","parse-names":false,"suffix":""},{"dropping-particle":"","family":"Prentice","given":"I. C.","non-dropping-particle":"","parse-names":false,"suffix":""},{"dropping-particle":"","family":"House","given":"J. I.","non-dropping-particle":"","parse-names":false,"suffix":""},{"dropping-particle":"","family":"Holland","given":"E. A.","non-dropping-particle":"","parse-names":false,"suffix":""}],"container-title":"Nature","id":"ITEM-1","issue":"7023","issued":{"date-parts":[["2005"]]},"page":"298-301","title":"Long-term sensitivity of soil carbon turnover to warming","type":"article-journal","volume":"433"},"uris":["http://www.mendeley.com/documents/?uuid=370cf755-bbac-4ee0-9c51-653fa5632130"]}],"mendeley":{"formattedCitation":"(Knorr et al., 2005)","plainTextFormattedCitation":"(Knorr et al., 2005)","previouslyFormattedCitation":"(Knorr et al., 2005)"},"properties":{"noteIndex":0},"schema":"https://github.com/citation-style-language/schema/raw/master/csl-citation.json"}</w:instrText>
      </w:r>
      <w:r w:rsidR="003A0244">
        <w:rPr>
          <w:lang w:val="en-GB"/>
        </w:rPr>
        <w:fldChar w:fldCharType="separate"/>
      </w:r>
      <w:r w:rsidR="00F666EA" w:rsidRPr="00F666EA">
        <w:rPr>
          <w:noProof/>
          <w:lang w:val="en-GB"/>
        </w:rPr>
        <w:t>(Knorr et al., 2005)</w:t>
      </w:r>
      <w:r w:rsidR="003A0244">
        <w:rPr>
          <w:lang w:val="en-GB"/>
        </w:rPr>
        <w:fldChar w:fldCharType="end"/>
      </w:r>
      <w:r w:rsidR="00737FE6">
        <w:rPr>
          <w:lang w:val="en-GB"/>
        </w:rPr>
        <w:t>.</w:t>
      </w:r>
      <w:r w:rsidR="00D675DB">
        <w:rPr>
          <w:lang w:val="en-GB"/>
        </w:rPr>
        <w:t xml:space="preserve"> Hence</w:t>
      </w:r>
      <w:r w:rsidR="006605B7" w:rsidRPr="008B34B4">
        <w:rPr>
          <w:lang w:val="en-GB"/>
        </w:rPr>
        <w:t xml:space="preserve">, </w:t>
      </w:r>
      <w:r w:rsidRPr="008B34B4">
        <w:rPr>
          <w:lang w:val="en-GB"/>
        </w:rPr>
        <w:t>the</w:t>
      </w:r>
      <w:r w:rsidR="00C3019A" w:rsidRPr="008B34B4">
        <w:rPr>
          <w:lang w:val="en-GB"/>
        </w:rPr>
        <w:t xml:space="preserve"> interest of the role of </w:t>
      </w:r>
      <w:r w:rsidR="006605B7" w:rsidRPr="008B34B4">
        <w:rPr>
          <w:lang w:val="en-GB"/>
        </w:rPr>
        <w:t>D</w:t>
      </w:r>
      <w:r w:rsidR="00C3019A" w:rsidRPr="008B34B4">
        <w:rPr>
          <w:lang w:val="en-GB"/>
        </w:rPr>
        <w:t xml:space="preserve">WD in C storage </w:t>
      </w:r>
      <w:r w:rsidR="00A962CA" w:rsidRPr="008B34B4">
        <w:rPr>
          <w:lang w:val="en-GB"/>
        </w:rPr>
        <w:t xml:space="preserve">has </w:t>
      </w:r>
      <w:r w:rsidR="00C3019A" w:rsidRPr="008B34B4">
        <w:rPr>
          <w:lang w:val="en-GB"/>
        </w:rPr>
        <w:t>been increasing</w:t>
      </w:r>
      <w:r w:rsidR="00A574CB" w:rsidRPr="008B34B4">
        <w:rPr>
          <w:lang w:val="en-GB"/>
        </w:rPr>
        <w:t xml:space="preserve"> in the last decades</w:t>
      </w:r>
      <w:r w:rsidR="00A962CA" w:rsidRPr="008B34B4">
        <w:rPr>
          <w:lang w:val="en-GB"/>
        </w:rPr>
        <w:t>.</w:t>
      </w:r>
      <w:r w:rsidR="00C3019A" w:rsidRPr="008B34B4">
        <w:rPr>
          <w:lang w:val="en-GB"/>
        </w:rPr>
        <w:t xml:space="preserve"> </w:t>
      </w:r>
      <w:r w:rsidR="00F7361D">
        <w:rPr>
          <w:lang w:val="en-GB"/>
        </w:rPr>
        <w:t xml:space="preserve">This comprises </w:t>
      </w:r>
      <w:r w:rsidR="004C1067">
        <w:rPr>
          <w:lang w:val="en-GB"/>
        </w:rPr>
        <w:t xml:space="preserve">some major issues, </w:t>
      </w:r>
      <w:r w:rsidR="000A00F9">
        <w:rPr>
          <w:lang w:val="en-GB"/>
        </w:rPr>
        <w:t xml:space="preserve">not only </w:t>
      </w:r>
      <w:r w:rsidR="004C1067">
        <w:rPr>
          <w:lang w:val="en-GB"/>
        </w:rPr>
        <w:t>the</w:t>
      </w:r>
      <w:r w:rsidR="00B65991">
        <w:rPr>
          <w:lang w:val="en-GB"/>
        </w:rPr>
        <w:t xml:space="preserve"> effect of climate on the decomposition rates is still a matter of discussion among scientists, but the </w:t>
      </w:r>
      <w:r w:rsidR="004C1067">
        <w:rPr>
          <w:lang w:val="en-GB"/>
        </w:rPr>
        <w:t xml:space="preserve">chemical traits of the DWD can vary </w:t>
      </w:r>
      <w:r w:rsidR="00560EA9">
        <w:rPr>
          <w:lang w:val="en-GB"/>
        </w:rPr>
        <w:t>not only between species but on the DC and the size</w:t>
      </w:r>
      <w:r w:rsidR="00B65991">
        <w:rPr>
          <w:lang w:val="en-GB"/>
        </w:rPr>
        <w:t xml:space="preserve"> </w:t>
      </w:r>
      <w:r w:rsidR="009277EB">
        <w:rPr>
          <w:lang w:val="en-GB"/>
        </w:rPr>
        <w:fldChar w:fldCharType="begin" w:fldLock="1"/>
      </w:r>
      <w:r w:rsidR="00AD104F">
        <w:rPr>
          <w:lang w:val="en-GB"/>
        </w:rPr>
        <w:instrText>ADDIN CSL_CITATION {"citationItems":[{"id":"ITEM-1","itemData":{"DOI":"10.1111/j.1461-0248.2008.01259.x","ISSN":"1461023X","PMID":"19016827","abstract":"The carbon flux from woody debris, a crucial uncertainty within global carbon-climate models, is simultaneously affected by climate, site environment and species-based variation in wood quality. In the first global analysis attempting to explicitly tease out the wood quality contribution to decomposition, we found support for our hypothesis that, under a common climate, interspecific differences in wood traits affect woody debris decomposition patterns. A meta-analysis of 36 studies from all forested continents revealed that nitrogen, phosphorus, and C : N ratio correlate with decomposition rates of angiosperms. In addition, gymnosperm wood consistently decomposes slower than angiosperm wood within common sites, a pattern that correlates with clear divergence in wood traits between the two groups. New empirical studies are needed to test whether this difference is due to a direct effect of wood trait variation on decomposer activity or an indirect effect of wood traits on decomposition microsite environment. The wood trait-decomposition results point to an important role for changes in the wood traits of dominant tree species as a driver of carbon cycling, with likely feedback to atmospheric CO2 particularly where angiosperm species replace gymnosperms regionally. Truly worldwide upscaling of our results will require further site-based multi-species wood trait and decomposition data, particularly from low-latitude ecosystems. © 2008 Blackwell Publishing Ltd/CNRS.","author":[{"dropping-particle":"","family":"Weedon","given":"James T.","non-dropping-particle":"","parse-names":false,"suffix":""},{"dropping-particle":"","family":"Cornwell","given":"William K.","non-dropping-particle":"","parse-names":false,"suffix":""},{"dropping-particle":"","family":"Cornelissen","given":"Johannes H.C.","non-dropping-particle":"","parse-names":false,"suffix":""},{"dropping-particle":"","family":"Zanne","given":"Amy E.","non-dropping-particle":"","parse-names":false,"suffix":""},{"dropping-particle":"","family":"Wirth","given":"Christian","non-dropping-particle":"","parse-names":false,"suffix":""},{"dropping-particle":"","family":"Coomes","given":"David A.","non-dropping-particle":"","parse-names":false,"suffix":""}],"container-title":"Ecology Letters","id":"ITEM-1","issue":"1","issued":{"date-parts":[["2009"]]},"page":"45-56","title":"Global meta-analysis of wood decomposition rates: A role for trait variation among tree species?","type":"article-journal","volume":"12"},"uris":["http://www.mendeley.com/documents/?uuid=c368e351-059a-4ea5-9c29-2fea2a6c0d08"]}],"mendeley":{"formattedCitation":"(Weedon et al., 2009)","plainTextFormattedCitation":"(Weedon et al., 2009)","previouslyFormattedCitation":"(Weedon et al., 2009)"},"properties":{"noteIndex":0},"schema":"https://github.com/citation-style-language/schema/raw/master/csl-citation.json"}</w:instrText>
      </w:r>
      <w:r w:rsidR="009277EB">
        <w:rPr>
          <w:lang w:val="en-GB"/>
        </w:rPr>
        <w:fldChar w:fldCharType="separate"/>
      </w:r>
      <w:r w:rsidR="009277EB" w:rsidRPr="009277EB">
        <w:rPr>
          <w:noProof/>
          <w:lang w:val="en-GB"/>
        </w:rPr>
        <w:t>(Weedon et al., 2009)</w:t>
      </w:r>
      <w:r w:rsidR="009277EB">
        <w:rPr>
          <w:lang w:val="en-GB"/>
        </w:rPr>
        <w:fldChar w:fldCharType="end"/>
      </w:r>
      <w:r w:rsidR="009277EB">
        <w:rPr>
          <w:lang w:val="en-GB"/>
        </w:rPr>
        <w:t>.</w:t>
      </w:r>
      <w:r w:rsidR="00F97DF4">
        <w:rPr>
          <w:lang w:val="en-GB"/>
        </w:rPr>
        <w:t xml:space="preserve"> </w:t>
      </w:r>
      <w:r w:rsidR="00957089">
        <w:rPr>
          <w:lang w:val="en-GB"/>
        </w:rPr>
        <w:t xml:space="preserve">The role of DWD within the ecosystem is, hence, </w:t>
      </w:r>
      <w:r w:rsidR="00FC059B">
        <w:rPr>
          <w:lang w:val="en-GB"/>
        </w:rPr>
        <w:t xml:space="preserve">as complex and deeply intricated as </w:t>
      </w:r>
      <w:r w:rsidR="00DA580A">
        <w:rPr>
          <w:lang w:val="en-GB"/>
        </w:rPr>
        <w:t>paramount</w:t>
      </w:r>
      <w:r w:rsidR="00FC059B">
        <w:rPr>
          <w:lang w:val="en-GB"/>
        </w:rPr>
        <w:t xml:space="preserve"> to understand the global C cycle.</w:t>
      </w:r>
      <w:r w:rsidR="00957089">
        <w:rPr>
          <w:lang w:val="en-GB"/>
        </w:rPr>
        <w:t xml:space="preserve"> </w:t>
      </w:r>
    </w:p>
    <w:p w14:paraId="0E648282" w14:textId="40D8DB7F" w:rsidR="00A53BBC" w:rsidRPr="005C5E3D" w:rsidRDefault="00263F41" w:rsidP="00581A6C">
      <w:pPr>
        <w:rPr>
          <w:lang w:val="en-GB"/>
        </w:rPr>
      </w:pPr>
      <w:r>
        <w:rPr>
          <w:lang w:val="en-GB"/>
        </w:rPr>
        <w:t>Although lately the methodologies for sampling and quantifying the volume, biomass, and C content of DWD has greatly improved</w:t>
      </w:r>
      <w:r w:rsidR="005C5E3D">
        <w:rPr>
          <w:lang w:val="en-GB"/>
        </w:rPr>
        <w:t xml:space="preserve"> </w:t>
      </w:r>
      <w:r w:rsidR="005C5E3D">
        <w:rPr>
          <w:lang w:val="en-GB"/>
        </w:rPr>
        <w:fldChar w:fldCharType="begin" w:fldLock="1"/>
      </w:r>
      <w:r w:rsidR="00891408">
        <w:rPr>
          <w:lang w:val="en-GB"/>
        </w:rPr>
        <w:instrText>ADDIN CSL_CITATION {"citationItems":[{"id":"ITEM-1","itemData":{"DOI":"10.1007/s10021-014-9757-5","ISSN":"14350629","abstract":"A key component in describing forest carbon (C) dynamics is the change in downed dead wood biomass through time. Specifically, there is a dearth of information regarding the residence time of downed woody debris (DWD), which may be reflected in the diversity of wood (for example, species, size, and stage of decay) and site attributes (for example, climate) across the study region of eastern US forests. The empirical assessment of DWD rate of decay and residence time is complicated by the decay process itself, as decomposing logs undergo not only a reduction in wood density over time but also reductions in biomass, shape, and size. Using DWD repeated measurements coupled with models to estimate durations in various stages of decay, estimates of DWD half-life (T HALF), residence time (T RES), and decay rate (k constants) were developed for 36 tree species common to eastern US forests. Results indicate that estimates for T HALF averaged 18 and 10 years for conifers and hardwoods, respectively. Species that exhibited shorter T HALF tended to display a shorter T RES and larger k constants. Averages of T RES ranged from 57 to 124 years for conifers and from 46 to 71 years for hardwoods, depending on the species and methodology for estimating DWD decomposition considered. Decay rate constants (k) increased with increasing temperature of climate zones and ranged from 0.024 to 0.040 for conifers and from 0.043 to 0.064 for hardwoods. These estimates could be incorporated into dynamic global vegetation models to elucidate the role of DWD in forest C dynamics. © 2014 Springer Science+Business Media New York.","author":[{"dropping-particle":"","family":"Russell","given":"Matthew B.","non-dropping-particle":"","parse-names":false,"suffix":""},{"dropping-particle":"","family":"Woodall","given":"Christopher W.","non-dropping-particle":"","parse-names":false,"suffix":""},{"dropping-particle":"","family":"Fraver","given":"Shawn","non-dropping-particle":"","parse-names":false,"suffix":""},{"dropping-particle":"","family":"D'Amato","given":"Anthony W.","non-dropping-particle":"","parse-names":false,"suffix":""},{"dropping-particle":"","family":"Domke","given":"Grant M.","non-dropping-particle":"","parse-names":false,"suffix":""},{"dropping-particle":"","family":"Skog","given":"Kenneth E.","non-dropping-particle":"","parse-names":false,"suffix":""}],"container-title":"Ecosystems","id":"ITEM-1","issue":"5","issued":{"date-parts":[["2014"]]},"page":"765-777","title":"Residence Times and Decay Rates of Downed Woody Debris Biomass/Carbon in Eastern US Forests","type":"article-journal","volume":"17"},"uris":["http://www.mendeley.com/documents/?uuid=4036901f-c4dc-4e93-a73c-a1530083e58b"]}],"mendeley":{"formattedCitation":"(Russell et al., 2014)","plainTextFormattedCitation":"(Russell et al., 2014)","previouslyFormattedCitation":"(Russell et al., 2014)"},"properties":{"noteIndex":0},"schema":"https://github.com/citation-style-language/schema/raw/master/csl-citation.json"}</w:instrText>
      </w:r>
      <w:r w:rsidR="005C5E3D">
        <w:rPr>
          <w:lang w:val="en-GB"/>
        </w:rPr>
        <w:fldChar w:fldCharType="separate"/>
      </w:r>
      <w:r w:rsidR="005C5E3D" w:rsidRPr="005C5E3D">
        <w:rPr>
          <w:noProof/>
          <w:lang w:val="en-GB"/>
        </w:rPr>
        <w:t>(Russell et al., 2014)</w:t>
      </w:r>
      <w:r w:rsidR="005C5E3D">
        <w:rPr>
          <w:lang w:val="en-GB"/>
        </w:rPr>
        <w:fldChar w:fldCharType="end"/>
      </w:r>
      <w:r w:rsidR="005C5E3D">
        <w:rPr>
          <w:lang w:val="en-GB"/>
        </w:rPr>
        <w:t>, c</w:t>
      </w:r>
      <w:r w:rsidR="00C3019A">
        <w:rPr>
          <w:lang w:val="en-GB"/>
        </w:rPr>
        <w:t xml:space="preserve">urrently, the vast majority of knowledge of the </w:t>
      </w:r>
      <w:r w:rsidR="00410CEF">
        <w:rPr>
          <w:lang w:val="en-GB"/>
        </w:rPr>
        <w:t>dead wood decomposition an</w:t>
      </w:r>
      <w:r w:rsidR="00A53BBC">
        <w:rPr>
          <w:lang w:val="en-GB"/>
        </w:rPr>
        <w:t>d</w:t>
      </w:r>
      <w:r w:rsidR="00410CEF">
        <w:rPr>
          <w:lang w:val="en-GB"/>
        </w:rPr>
        <w:t xml:space="preserve"> the </w:t>
      </w:r>
      <w:r w:rsidR="00A53BBC">
        <w:rPr>
          <w:lang w:val="en-GB"/>
        </w:rPr>
        <w:t xml:space="preserve">role of </w:t>
      </w:r>
      <w:r w:rsidR="00410CEF">
        <w:rPr>
          <w:lang w:val="en-GB"/>
        </w:rPr>
        <w:t xml:space="preserve">CWD in the C storage and nutrient cycle comes from works in managed </w:t>
      </w:r>
      <w:r w:rsidR="00A574CB">
        <w:rPr>
          <w:lang w:val="en-GB"/>
        </w:rPr>
        <w:t xml:space="preserve">forests, probably due to the reduced volume of old-growth forests </w:t>
      </w:r>
      <w:r w:rsidR="00BB2145">
        <w:rPr>
          <w:lang w:val="en-GB"/>
        </w:rPr>
        <w:t>available.</w:t>
      </w:r>
      <w:r w:rsidR="00A53BBC" w:rsidRPr="00A53BBC">
        <w:rPr>
          <w:lang w:val="en-GB"/>
        </w:rPr>
        <w:t xml:space="preserve"> </w:t>
      </w:r>
      <w:r w:rsidR="00BB2145">
        <w:rPr>
          <w:lang w:val="en-GB"/>
        </w:rPr>
        <w:t xml:space="preserve">This </w:t>
      </w:r>
      <w:r w:rsidR="00A53BBC">
        <w:rPr>
          <w:lang w:val="en-GB"/>
        </w:rPr>
        <w:t>leav</w:t>
      </w:r>
      <w:r w:rsidR="00BB2145">
        <w:rPr>
          <w:lang w:val="en-GB"/>
        </w:rPr>
        <w:t>es</w:t>
      </w:r>
      <w:r w:rsidR="00A53BBC">
        <w:rPr>
          <w:lang w:val="en-GB"/>
        </w:rPr>
        <w:t xml:space="preserve"> a gap of data regarding to </w:t>
      </w:r>
      <w:r w:rsidR="00A574CB">
        <w:rPr>
          <w:lang w:val="en-GB"/>
        </w:rPr>
        <w:t>these</w:t>
      </w:r>
      <w:r w:rsidR="00BB2145">
        <w:rPr>
          <w:lang w:val="en-GB"/>
        </w:rPr>
        <w:t xml:space="preserve"> ecosystems</w:t>
      </w:r>
      <w:r w:rsidR="00A53BBC">
        <w:rPr>
          <w:lang w:val="en-GB"/>
        </w:rPr>
        <w:t xml:space="preserve"> </w:t>
      </w:r>
      <w:r w:rsidR="00A53BBC">
        <w:rPr>
          <w:lang w:val="en-GB"/>
        </w:rPr>
        <w:fldChar w:fldCharType="begin" w:fldLock="1"/>
      </w:r>
      <w:r w:rsidR="00027B74">
        <w:rPr>
          <w:lang w:val="en-GB"/>
        </w:rPr>
        <w:instrText>ADDIN CSL_CITATION {"citationItems":[{"id":"ITEM-1","itemData":{"DOI":"10.3390/f12070901","ISSN":"19994907","abstract":"European aspen deadwood is extensively studied as a habitat for saproxylic species, while less is known of its dynamics and role in carbon sequestration. We studied unmanaged mature (41–60 years), moderately overmature (61–80 years), overmature (81–100 years), and old-growth (101–140 years) and managed mature and moderately overmature aspen stands on fertile mineral soils. In unmanaged stands, marginal mean CWD volume was from 67.3 ± 12.1 m3 ha−1 in moderately overmature to 92.4 ± 5.1 m3 ha−1 in old-growth stands, with corresponding marginal mean CWD carbon pool 8.2 ± 1.6 t ha−1 and 12.5 ± 0.7 t ha−1, respectively. Both CWD volume and its carbon pool had substantial yet non-significant differences (all p &gt; 0.05) among the age groups. High CWD volume was present in most stands, by at least two-thirds of plots comprising more than 20 m3 ha−1, and about half of CWD was larger than 30 cm in diameter. Changes in CWD species composition toward a higher proportion of deciduous deadwood in old-growth stands, together with a high volume of recently dead trees, suggest early senescence of the dominant aspen cohort.","author":[{"dropping-particle":"","family":"Šēnhofa","given":"Silva","non-dropping-particle":"","parse-names":false,"suffix":""},{"dropping-particle":"","family":"Šnepsts","given":"Guntars","non-dropping-particle":"","parse-names":false,"suffix":""},{"dropping-particle":"","family":"Bičkovskis","given":"Kārlis","non-dropping-particle":"","parse-names":false,"suffix":""},{"dropping-particle":"","family":"Jaunslaviete","given":"Ieva","non-dropping-particle":"","parse-names":false,"suffix":""},{"dropping-particle":"","family":"Liepa","given":"Līga","non-dropping-particle":"","parse-names":false,"suffix":""},{"dropping-particle":"","family":"Straupe","given":"Inga","non-dropping-particle":"","parse-names":false,"suffix":""},{"dropping-particle":"","family":"Jansons","given":"Āris","non-dropping-particle":"","parse-names":false,"suffix":""}],"container-title":"Forests","id":"ITEM-1","issue":"7","issued":{"date-parts":[["2021"]]},"page":"1-16","title":"Availability and structure of coarse woody debris in hemiboreal mature to old-growth aspen stands and its implications for forest carbon pool","type":"article-journal","volume":"12"},"uris":["http://www.mendeley.com/documents/?uuid=594fb40e-4b2b-4c65-9f63-fdaf71153889"]}],"mendeley":{"formattedCitation":"(Šēnhofa et al., 2021)","plainTextFormattedCitation":"(Šēnhofa et al., 2021)","previouslyFormattedCitation":"(Šēnhofa et al., 2021)"},"properties":{"noteIndex":0},"schema":"https://github.com/citation-style-language/schema/raw/master/csl-citation.json"}</w:instrText>
      </w:r>
      <w:r w:rsidR="00A53BBC">
        <w:rPr>
          <w:lang w:val="en-GB"/>
        </w:rPr>
        <w:fldChar w:fldCharType="separate"/>
      </w:r>
      <w:r w:rsidR="00A53BBC" w:rsidRPr="00410CEF">
        <w:rPr>
          <w:noProof/>
          <w:lang w:val="en-GB"/>
        </w:rPr>
        <w:t>(Šēnhofa et al., 2021)</w:t>
      </w:r>
      <w:r w:rsidR="00A53BBC">
        <w:rPr>
          <w:lang w:val="en-GB"/>
        </w:rPr>
        <w:fldChar w:fldCharType="end"/>
      </w:r>
      <w:r w:rsidR="00A574CB">
        <w:rPr>
          <w:lang w:val="en-GB"/>
        </w:rPr>
        <w:t>.</w:t>
      </w:r>
      <w:r w:rsidR="00A53BBC">
        <w:rPr>
          <w:lang w:val="en-GB"/>
        </w:rPr>
        <w:t xml:space="preserve"> </w:t>
      </w:r>
      <w:r w:rsidR="00A574CB">
        <w:rPr>
          <w:lang w:val="en-GB"/>
        </w:rPr>
        <w:t>H</w:t>
      </w:r>
      <w:r w:rsidR="00A53BBC">
        <w:rPr>
          <w:lang w:val="en-GB"/>
        </w:rPr>
        <w:t xml:space="preserve">owever, as explained above, unmanaged forests accumulate way higher amounts of </w:t>
      </w:r>
      <w:r w:rsidR="003E4C58">
        <w:rPr>
          <w:lang w:val="en-GB"/>
        </w:rPr>
        <w:t>D</w:t>
      </w:r>
      <w:r w:rsidR="00A53BBC">
        <w:rPr>
          <w:lang w:val="en-GB"/>
        </w:rPr>
        <w:t>WD per hectare,</w:t>
      </w:r>
      <w:r w:rsidR="00410CEF">
        <w:rPr>
          <w:lang w:val="en-GB"/>
        </w:rPr>
        <w:t xml:space="preserve"> </w:t>
      </w:r>
      <w:r w:rsidR="00A53BBC">
        <w:rPr>
          <w:lang w:val="en-GB"/>
        </w:rPr>
        <w:t xml:space="preserve">making the remnant virgin forests </w:t>
      </w:r>
      <w:r w:rsidR="00A574CB">
        <w:rPr>
          <w:lang w:val="en-GB"/>
        </w:rPr>
        <w:t xml:space="preserve">an </w:t>
      </w:r>
      <w:r w:rsidR="00A53BBC">
        <w:rPr>
          <w:lang w:val="en-GB"/>
        </w:rPr>
        <w:t xml:space="preserve">important reference system for </w:t>
      </w:r>
      <w:r w:rsidR="00A574CB">
        <w:rPr>
          <w:lang w:val="en-GB"/>
        </w:rPr>
        <w:t xml:space="preserve">the </w:t>
      </w:r>
      <w:r w:rsidR="00A53BBC">
        <w:rPr>
          <w:lang w:val="en-GB"/>
        </w:rPr>
        <w:t>understanding</w:t>
      </w:r>
      <w:r w:rsidR="00A574CB">
        <w:rPr>
          <w:lang w:val="en-GB"/>
        </w:rPr>
        <w:t xml:space="preserve"> of</w:t>
      </w:r>
      <w:r w:rsidR="00A53BBC">
        <w:rPr>
          <w:lang w:val="en-GB"/>
        </w:rPr>
        <w:t xml:space="preserve"> the true </w:t>
      </w:r>
      <w:r w:rsidR="00A574CB">
        <w:rPr>
          <w:lang w:val="en-GB"/>
        </w:rPr>
        <w:t xml:space="preserve">role of </w:t>
      </w:r>
      <w:r w:rsidR="003E4C58">
        <w:rPr>
          <w:lang w:val="en-GB"/>
        </w:rPr>
        <w:t>D</w:t>
      </w:r>
      <w:r w:rsidR="00A574CB">
        <w:rPr>
          <w:lang w:val="en-GB"/>
        </w:rPr>
        <w:t xml:space="preserve">WD within the </w:t>
      </w:r>
      <w:r w:rsidR="00260562">
        <w:rPr>
          <w:lang w:val="en-GB"/>
        </w:rPr>
        <w:t>C</w:t>
      </w:r>
      <w:r w:rsidR="00A574CB">
        <w:rPr>
          <w:lang w:val="en-GB"/>
        </w:rPr>
        <w:t xml:space="preserve"> </w:t>
      </w:r>
      <w:r w:rsidR="00A574CB" w:rsidRPr="00C16C6B">
        <w:rPr>
          <w:lang w:val="en-GB"/>
        </w:rPr>
        <w:t>cycle</w:t>
      </w:r>
      <w:r w:rsidR="00A53BBC" w:rsidRPr="00C16C6B">
        <w:rPr>
          <w:lang w:val="en-GB"/>
        </w:rPr>
        <w:t>.</w:t>
      </w:r>
    </w:p>
    <w:p w14:paraId="3E890F3F" w14:textId="7CAECDC5" w:rsidR="00027B74" w:rsidRDefault="00027B74" w:rsidP="00581A6C">
      <w:pPr>
        <w:rPr>
          <w:lang w:val="en-GB"/>
        </w:rPr>
      </w:pPr>
      <w:r>
        <w:rPr>
          <w:lang w:val="en-GB"/>
        </w:rPr>
        <w:t xml:space="preserve">This knowledge will help develop future management strategies according to the impact it can have not only in biodiversity terms, but in the consequences in the </w:t>
      </w:r>
      <w:r w:rsidR="00260562">
        <w:rPr>
          <w:lang w:val="en-GB"/>
        </w:rPr>
        <w:t xml:space="preserve">nutrient cycle and </w:t>
      </w:r>
      <w:r w:rsidR="00EB5295">
        <w:rPr>
          <w:lang w:val="en-GB"/>
        </w:rPr>
        <w:t xml:space="preserve">as a </w:t>
      </w:r>
      <w:r w:rsidR="00260562">
        <w:rPr>
          <w:lang w:val="en-GB"/>
        </w:rPr>
        <w:t>C outsource</w:t>
      </w:r>
      <w:r>
        <w:rPr>
          <w:lang w:val="en-GB"/>
        </w:rPr>
        <w:t>.</w:t>
      </w:r>
    </w:p>
    <w:p w14:paraId="09E0F513" w14:textId="11EC8C1A" w:rsidR="003D5EDE" w:rsidRPr="00233F11" w:rsidRDefault="00093225" w:rsidP="003D5EDE">
      <w:pPr>
        <w:rPr>
          <w:b/>
          <w:bCs/>
          <w:color w:val="FF0000"/>
          <w:lang w:val="en-GB"/>
        </w:rPr>
      </w:pPr>
      <w:r w:rsidRPr="00DF074A">
        <w:rPr>
          <w:color w:val="FF0000"/>
          <w:lang w:val="en-GB"/>
        </w:rPr>
        <w:t xml:space="preserve">Sinca forest is an approximately 300ha </w:t>
      </w:r>
      <w:r w:rsidR="00B34E4D" w:rsidRPr="00DF074A">
        <w:rPr>
          <w:color w:val="FF0000"/>
          <w:lang w:val="en-GB"/>
        </w:rPr>
        <w:t>virgin mixed beech (</w:t>
      </w:r>
      <w:r w:rsidR="00B34E4D" w:rsidRPr="00DF074A">
        <w:rPr>
          <w:i/>
          <w:iCs/>
          <w:color w:val="FF0000"/>
          <w:lang w:val="en-GB"/>
        </w:rPr>
        <w:t>F. sylvatica</w:t>
      </w:r>
      <w:r w:rsidR="00B34E4D" w:rsidRPr="00DF074A">
        <w:rPr>
          <w:color w:val="FF0000"/>
          <w:lang w:val="en-GB"/>
        </w:rPr>
        <w:t>) and silver fir (</w:t>
      </w:r>
      <w:r w:rsidR="00B34E4D" w:rsidRPr="00DF074A">
        <w:rPr>
          <w:i/>
          <w:iCs/>
          <w:color w:val="FF0000"/>
          <w:lang w:val="en-GB"/>
        </w:rPr>
        <w:t>Abies alba</w:t>
      </w:r>
      <w:r w:rsidR="00B34E4D" w:rsidRPr="00DF074A">
        <w:rPr>
          <w:color w:val="FF0000"/>
          <w:lang w:val="en-GB"/>
        </w:rPr>
        <w:t xml:space="preserve">) forest. </w:t>
      </w:r>
      <w:r w:rsidR="00685D51" w:rsidRPr="00DF074A">
        <w:rPr>
          <w:color w:val="FF0000"/>
          <w:lang w:val="en-GB"/>
        </w:rPr>
        <w:t xml:space="preserve">Primeval beech forests such as </w:t>
      </w:r>
      <w:r w:rsidR="008E1997" w:rsidRPr="00DF074A">
        <w:rPr>
          <w:color w:val="FF0000"/>
          <w:lang w:val="en-GB"/>
        </w:rPr>
        <w:t xml:space="preserve">this are dominated by a mosaic of patches in different successional stages. These patches </w:t>
      </w:r>
      <w:r w:rsidR="00D953E1" w:rsidRPr="00DF074A">
        <w:rPr>
          <w:color w:val="FF0000"/>
          <w:lang w:val="en-GB"/>
        </w:rPr>
        <w:t>pass through different developmental stages, from regeneration and early growth, through maturity and aging to decay</w:t>
      </w:r>
      <w:r w:rsidR="00F741B0" w:rsidRPr="00DF074A">
        <w:rPr>
          <w:color w:val="FF0000"/>
          <w:lang w:val="en-GB"/>
        </w:rPr>
        <w:t>. This process will be followed by a new tree generation</w:t>
      </w:r>
      <w:r w:rsidR="00520F6F" w:rsidRPr="00DF074A">
        <w:rPr>
          <w:color w:val="FF0000"/>
          <w:lang w:val="en-GB"/>
        </w:rPr>
        <w:t xml:space="preserve"> </w:t>
      </w:r>
      <w:r w:rsidR="00DF074A" w:rsidRPr="002D006A">
        <w:rPr>
          <w:color w:val="FF0000"/>
          <w:lang w:val="en-GB"/>
        </w:rPr>
        <w:fldChar w:fldCharType="begin" w:fldLock="1"/>
      </w:r>
      <w:r w:rsidR="00231AA4">
        <w:rPr>
          <w:color w:val="FF0000"/>
          <w:lang w:val="en-GB"/>
        </w:rPr>
        <w:instrText>ADDIN CSL_CITATION {"citationItems":[{"id":"ITEM-1","itemData":{"DOI":"10.1016/J.FORECO.2021.119836","ISSN":"0378-1127","abstract":"Quantitative estimates of change of primeval European beech (Fagus sylvatica L.) forests at the landscape scale over time are scarce due to both the few remnants of such forests and the absence of repeated sample plot inventories. This forest ecosystem is thought to be relatively stable over time, but it remains unclear what drivers contribute to this stability. Here, we studied temporal change in one of the largest primeval beech forests. Our analysis is based on two consecutive inventories on 238 permanent sample plots in the Uholka-Shyrokyi Luh forest in Transcarpathia, Ukraine, covering 102.8 km2. The inventories were carried out in 2010 and 2019. This data allowed us to derive quantitative estimates for the main structural characteristics tree density, basal area and volume on a landscape scale and to characterize the demographic processes that shape this forest ecosystem. The structural characteristics tree density (2010: 441 N ha1, 2019: 458 N ha−1), basal area (2010: 35.9 m2 ha−1, 2019: 35.4 m2 ha−1), and standing volume (2010: 578 m3 ha−1, 2019: 584 m3 ha−1) of the living trees remained stable between the two inventories. The species composition, characterized by a pronounced dominance of beech, remained virtually unchanged as well, with 97.9% of the stems being beech trees in the first and 97.1% in the second inventory. In contrast, we observed a relatively high dynamic when looking at the demographic processes more closely. About 11% of the trees found alive in 2010 died until 2019, resulting in an annual mortality rate of 1.3%. Ingrowing trees compensated for trees that died or decayed regarding tree density, but only to a small extent regarding volume. The volume lost was largely compensated by the growth (8.0 m3 ha−1 year−1) of the surviving trees. This work characterizes the change of forest attributes in a primeval beech forest at the landscape scale over a time of period of nine years and provides baseline indicators on the development and dynamics of primeval beech forests. It broadens our understanding about the contribution of the main demographic processes to the pronounced structural and compositional continuity of primeval beech forests.","author":[{"dropping-particle":"","family":"Stillhard","given":"Jonas","non-dropping-particle":"","parse-names":false,"suffix":""},{"dropping-particle":"","family":"Hobi","given":"Martina L.","non-dropping-particle":"","parse-names":false,"suffix":""},{"dropping-particle":"","family":"Brang","given":"Peter","non-dropping-particle":"","parse-names":false,"suffix":""},{"dropping-particle":"","family":"Brändli","given":"Urs Beat","non-dropping-particle":"","parse-names":false,"suffix":""},{"dropping-particle":"","family":"Korol","given":"Mykola","non-dropping-particle":"","parse-names":false,"suffix":""},{"dropping-particle":"","family":"Pokynchereda","given":"Vasyl","non-dropping-particle":"","parse-names":false,"suffix":""},{"dropping-particle":"","family":"Abegg","given":"Meinrad","non-dropping-particle":"","parse-names":false,"suffix":""}],"container-title":"Forest Ecology and Management","id":"ITEM-1","issued":{"date-parts":[["2022","1","15"]]},"page":"119836","publisher":"Elsevier","title":"Structural changes in a primeval beech forest at the landscape scale","type":"article-journal","volume":"504"},"uris":["http://www.mendeley.com/documents/?uuid=3123cd3a-94bc-3ad4-979e-508b610f181f"]}],"mendeley":{"formattedCitation":"(Stillhard et al., 2022)","plainTextFormattedCitation":"(Stillhard et al., 2022)","previouslyFormattedCitation":"(Stillhard et al., 2022)"},"properties":{"noteIndex":0},"schema":"https://github.com/citation-style-language/schema/raw/master/csl-citation.json"}</w:instrText>
      </w:r>
      <w:r w:rsidR="00DF074A" w:rsidRPr="002D006A">
        <w:rPr>
          <w:color w:val="FF0000"/>
          <w:lang w:val="en-GB"/>
        </w:rPr>
        <w:fldChar w:fldCharType="separate"/>
      </w:r>
      <w:r w:rsidR="00DF074A" w:rsidRPr="002D006A">
        <w:rPr>
          <w:noProof/>
          <w:color w:val="FF0000"/>
          <w:lang w:val="en-GB"/>
        </w:rPr>
        <w:t>(Stillhard et al., 2022)</w:t>
      </w:r>
      <w:r w:rsidR="00DF074A" w:rsidRPr="002D006A">
        <w:rPr>
          <w:color w:val="FF0000"/>
          <w:lang w:val="en-GB"/>
        </w:rPr>
        <w:fldChar w:fldCharType="end"/>
      </w:r>
      <w:r w:rsidR="00F741B0" w:rsidRPr="002D006A">
        <w:rPr>
          <w:color w:val="FF0000"/>
          <w:lang w:val="en-GB"/>
        </w:rPr>
        <w:t xml:space="preserve">. </w:t>
      </w:r>
      <w:r w:rsidR="00834078" w:rsidRPr="002D006A">
        <w:rPr>
          <w:color w:val="FF0000"/>
          <w:lang w:val="en-GB"/>
        </w:rPr>
        <w:t xml:space="preserve">This pattern </w:t>
      </w:r>
      <w:r w:rsidR="002D006A" w:rsidRPr="002D006A">
        <w:rPr>
          <w:color w:val="FF0000"/>
          <w:lang w:val="en-GB"/>
        </w:rPr>
        <w:t>results in a steady-state ecosystem, not primarily driven by exogenous disturbances such as wind, fire or insects, but by endogenous disturbance, like single-tree mortality.</w:t>
      </w:r>
    </w:p>
    <w:p w14:paraId="4321FC83" w14:textId="77777777" w:rsidR="003D5EDE" w:rsidRPr="00027B74" w:rsidRDefault="003D5EDE" w:rsidP="00581A6C">
      <w:pPr>
        <w:rPr>
          <w:lang w:val="en-GB"/>
        </w:rPr>
      </w:pPr>
    </w:p>
    <w:p w14:paraId="7349312E" w14:textId="77777777" w:rsidR="00233F11" w:rsidRDefault="003B76AC" w:rsidP="00581A6C">
      <w:pPr>
        <w:rPr>
          <w:lang w:val="en-GB"/>
        </w:rPr>
      </w:pPr>
      <w:r>
        <w:rPr>
          <w:lang w:val="en-GB"/>
        </w:rPr>
        <w:t xml:space="preserve">In this work we aim to fill this knowledge gap measuring the respiration of three different </w:t>
      </w:r>
      <w:r w:rsidR="00EB5295">
        <w:rPr>
          <w:lang w:val="en-GB"/>
        </w:rPr>
        <w:t>DC</w:t>
      </w:r>
      <w:r>
        <w:rPr>
          <w:lang w:val="en-GB"/>
        </w:rPr>
        <w:t xml:space="preserve"> of </w:t>
      </w:r>
      <w:r w:rsidR="00EB5295">
        <w:rPr>
          <w:lang w:val="en-GB"/>
        </w:rPr>
        <w:t>D</w:t>
      </w:r>
      <w:r>
        <w:rPr>
          <w:lang w:val="en-GB"/>
        </w:rPr>
        <w:t xml:space="preserve">WD originated from the two dominant species of the Sinca virgin forest in the southern Carpathians, along with climatological traits, such as temperature and humidity. </w:t>
      </w:r>
    </w:p>
    <w:p w14:paraId="03211EB0" w14:textId="62320BD2" w:rsidR="00581A6C" w:rsidRDefault="003B76AC" w:rsidP="00581A6C">
      <w:pPr>
        <w:rPr>
          <w:lang w:val="en-GB"/>
        </w:rPr>
      </w:pPr>
      <w:r>
        <w:rPr>
          <w:lang w:val="en-GB"/>
        </w:rPr>
        <w:t xml:space="preserve">This research will help to stablish a first step into the comprehension of the C cycle in a temperate </w:t>
      </w:r>
      <w:r w:rsidR="00CD623B">
        <w:rPr>
          <w:lang w:val="en-GB"/>
        </w:rPr>
        <w:t xml:space="preserve">old-growth </w:t>
      </w:r>
      <w:r w:rsidR="00BB2145">
        <w:rPr>
          <w:lang w:val="en-GB"/>
        </w:rPr>
        <w:t>forest and</w:t>
      </w:r>
      <w:r>
        <w:rPr>
          <w:lang w:val="en-GB"/>
        </w:rPr>
        <w:t xml:space="preserve"> open the gate for new works which will help to quantify the global annual C cycle of unmanaged forests and the impact the climate change will have in the </w:t>
      </w:r>
      <w:r w:rsidR="00BB2145">
        <w:rPr>
          <w:lang w:val="en-GB"/>
        </w:rPr>
        <w:t>global</w:t>
      </w:r>
      <w:r>
        <w:rPr>
          <w:lang w:val="en-GB"/>
        </w:rPr>
        <w:t xml:space="preserve"> </w:t>
      </w:r>
      <w:r w:rsidR="00BB2145">
        <w:rPr>
          <w:lang w:val="en-GB"/>
        </w:rPr>
        <w:t>nutrient cycle of this ecosystem</w:t>
      </w:r>
      <w:r w:rsidR="00A574CB">
        <w:rPr>
          <w:lang w:val="en-GB"/>
        </w:rPr>
        <w:t>.</w:t>
      </w:r>
    </w:p>
    <w:p w14:paraId="34FC5BB2" w14:textId="04A260F3" w:rsidR="00800BAE" w:rsidRDefault="00800BAE" w:rsidP="00581A6C">
      <w:pPr>
        <w:rPr>
          <w:lang w:val="en-GB"/>
        </w:rPr>
      </w:pPr>
      <w:r>
        <w:rPr>
          <w:noProof/>
        </w:rPr>
        <w:drawing>
          <wp:inline distT="0" distB="0" distL="0" distR="0" wp14:anchorId="646DF31D" wp14:editId="62A1A9DD">
            <wp:extent cx="5400040" cy="13652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365250"/>
                    </a:xfrm>
                    <a:prstGeom prst="rect">
                      <a:avLst/>
                    </a:prstGeom>
                  </pic:spPr>
                </pic:pic>
              </a:graphicData>
            </a:graphic>
          </wp:inline>
        </w:drawing>
      </w:r>
    </w:p>
    <w:p w14:paraId="423C1B14" w14:textId="5E378DB9" w:rsidR="00581A6C" w:rsidRDefault="00104508" w:rsidP="006A1025">
      <w:pPr>
        <w:pStyle w:val="Heading1"/>
        <w:rPr>
          <w:lang w:val="en-GB"/>
        </w:rPr>
      </w:pPr>
      <w:r w:rsidRPr="006A1025">
        <w:rPr>
          <w:lang w:val="en-GB"/>
        </w:rPr>
        <w:lastRenderedPageBreak/>
        <w:t>Materials and methods</w:t>
      </w:r>
    </w:p>
    <w:p w14:paraId="0891042C" w14:textId="221CDF72" w:rsidR="00AD795B" w:rsidRDefault="006A1025" w:rsidP="00C361D1">
      <w:pPr>
        <w:pStyle w:val="Heading2"/>
        <w:rPr>
          <w:lang w:val="en-GB"/>
        </w:rPr>
      </w:pPr>
      <w:r>
        <w:rPr>
          <w:lang w:val="en-GB"/>
        </w:rPr>
        <w:t>Study area</w:t>
      </w:r>
    </w:p>
    <w:p w14:paraId="1E1D13AC" w14:textId="2291D562" w:rsidR="00AD795B" w:rsidRPr="00AD795B" w:rsidRDefault="00BC25AD" w:rsidP="00AD795B">
      <w:pPr>
        <w:rPr>
          <w:lang w:val="en-GB"/>
        </w:rPr>
      </w:pPr>
      <w:r w:rsidRPr="00BC25AD">
        <w:rPr>
          <w:lang w:val="en-GB"/>
        </w:rPr>
        <w:t xml:space="preserve">The study area is located in the virgin forest Sinca (centred </w:t>
      </w:r>
      <w:r w:rsidR="005B5DDD" w:rsidRPr="00BC25AD">
        <w:rPr>
          <w:lang w:val="en-GB"/>
        </w:rPr>
        <w:t xml:space="preserve">at </w:t>
      </w:r>
      <w:r w:rsidR="005B5DDD">
        <w:rPr>
          <w:lang w:val="en-GB"/>
        </w:rPr>
        <w:t>45</w:t>
      </w:r>
      <w:r w:rsidR="00AD795B" w:rsidRPr="00AD795B">
        <w:rPr>
          <w:lang w:val="en-GB"/>
        </w:rPr>
        <w:t>°40</w:t>
      </w:r>
      <w:r>
        <w:rPr>
          <w:lang w:val="en-GB"/>
        </w:rPr>
        <w:t>’</w:t>
      </w:r>
      <w:r w:rsidR="00AD795B" w:rsidRPr="00AD795B">
        <w:rPr>
          <w:lang w:val="en-GB"/>
        </w:rPr>
        <w:t>0</w:t>
      </w:r>
      <w:r>
        <w:rPr>
          <w:lang w:val="en-GB"/>
        </w:rPr>
        <w:t>’’</w:t>
      </w:r>
      <w:r w:rsidR="00AD795B" w:rsidRPr="00AD795B">
        <w:rPr>
          <w:lang w:val="en-GB"/>
        </w:rPr>
        <w:t>N and 25°10</w:t>
      </w:r>
      <w:r>
        <w:rPr>
          <w:lang w:val="en-GB"/>
        </w:rPr>
        <w:t>’</w:t>
      </w:r>
      <w:r w:rsidR="00AD795B" w:rsidRPr="00AD795B">
        <w:rPr>
          <w:lang w:val="en-GB"/>
        </w:rPr>
        <w:t>14</w:t>
      </w:r>
      <w:r>
        <w:rPr>
          <w:lang w:val="en-GB"/>
        </w:rPr>
        <w:t>’</w:t>
      </w:r>
      <w:r w:rsidR="00AD795B" w:rsidRPr="00AD795B">
        <w:rPr>
          <w:lang w:val="en-GB"/>
        </w:rPr>
        <w:t>E) in the Southern Carpathians, Romania</w:t>
      </w:r>
      <w:r w:rsidR="00A97985">
        <w:rPr>
          <w:lang w:val="en-GB"/>
        </w:rPr>
        <w:t xml:space="preserve">. </w:t>
      </w:r>
      <w:r w:rsidR="00AD795B" w:rsidRPr="00AD795B">
        <w:rPr>
          <w:lang w:val="en-GB"/>
        </w:rPr>
        <w:t xml:space="preserve">In 2003, </w:t>
      </w:r>
      <w:r w:rsidR="00F3573C">
        <w:rPr>
          <w:lang w:val="en-GB"/>
        </w:rPr>
        <w:t xml:space="preserve">the central 300 ha of </w:t>
      </w:r>
      <w:r w:rsidR="00AD795B" w:rsidRPr="00AD795B">
        <w:rPr>
          <w:lang w:val="en-GB"/>
        </w:rPr>
        <w:t xml:space="preserve">this </w:t>
      </w:r>
      <w:commentRangeStart w:id="5"/>
      <w:r w:rsidR="00AD795B" w:rsidRPr="00AD795B">
        <w:rPr>
          <w:lang w:val="en-GB"/>
        </w:rPr>
        <w:t>forest</w:t>
      </w:r>
      <w:commentRangeEnd w:id="5"/>
      <w:r w:rsidR="00A35E8E">
        <w:rPr>
          <w:rStyle w:val="CommentReference"/>
        </w:rPr>
        <w:commentReference w:id="5"/>
      </w:r>
      <w:r w:rsidR="00AD795B" w:rsidRPr="00AD795B">
        <w:rPr>
          <w:lang w:val="en-GB"/>
        </w:rPr>
        <w:t xml:space="preserve"> </w:t>
      </w:r>
      <w:r w:rsidR="00F3573C">
        <w:rPr>
          <w:lang w:val="en-GB"/>
        </w:rPr>
        <w:t>were</w:t>
      </w:r>
      <w:r w:rsidR="00A35E8E">
        <w:rPr>
          <w:lang w:val="en-GB"/>
        </w:rPr>
        <w:t xml:space="preserve"> </w:t>
      </w:r>
      <w:r w:rsidR="00AD795B" w:rsidRPr="00AD795B">
        <w:rPr>
          <w:lang w:val="en-GB"/>
        </w:rPr>
        <w:t>classified as virgin forest (Veen et al., 2010)</w:t>
      </w:r>
      <w:r w:rsidR="00A35E8E">
        <w:rPr>
          <w:lang w:val="en-GB"/>
        </w:rPr>
        <w:t xml:space="preserve"> and </w:t>
      </w:r>
      <w:commentRangeStart w:id="6"/>
      <w:r w:rsidR="00A35E8E">
        <w:rPr>
          <w:lang w:val="en-GB"/>
        </w:rPr>
        <w:t>in</w:t>
      </w:r>
      <w:commentRangeEnd w:id="6"/>
      <w:r w:rsidR="00A90544">
        <w:rPr>
          <w:rStyle w:val="CommentReference"/>
        </w:rPr>
        <w:commentReference w:id="6"/>
      </w:r>
      <w:r w:rsidR="00CF09B4">
        <w:rPr>
          <w:lang w:val="en-GB"/>
        </w:rPr>
        <w:t xml:space="preserve"> TAL TAL was declared as </w:t>
      </w:r>
      <w:r w:rsidR="00F3573C">
        <w:rPr>
          <w:lang w:val="en-GB"/>
        </w:rPr>
        <w:t>World Heritage by the UNESCO</w:t>
      </w:r>
      <w:r w:rsidR="00A35E8E">
        <w:rPr>
          <w:lang w:val="en-GB"/>
        </w:rPr>
        <w:t xml:space="preserve"> </w:t>
      </w:r>
    </w:p>
    <w:p w14:paraId="564CAA6B" w14:textId="71947A3A" w:rsidR="006A1025" w:rsidRDefault="00AD795B" w:rsidP="00AD795B">
      <w:pPr>
        <w:rPr>
          <w:lang w:val="en-GB"/>
        </w:rPr>
      </w:pPr>
      <w:r w:rsidRPr="00AD795B">
        <w:rPr>
          <w:lang w:val="en-GB"/>
        </w:rPr>
        <w:t xml:space="preserve">The present study was carried out on an area of 240 ha, belonging to the Pulmonario rubrae-Fagetum </w:t>
      </w:r>
      <w:r w:rsidRPr="002D14B1">
        <w:rPr>
          <w:b/>
          <w:bCs/>
          <w:lang w:val="en-GB"/>
        </w:rPr>
        <w:t>Soo (1964) (Tauber, 1987</w:t>
      </w:r>
      <w:r w:rsidRPr="00AD795B">
        <w:rPr>
          <w:lang w:val="en-GB"/>
        </w:rPr>
        <w:t>), with variable proportions of beech</w:t>
      </w:r>
      <w:r w:rsidR="00A073E8">
        <w:rPr>
          <w:lang w:val="en-GB"/>
        </w:rPr>
        <w:t xml:space="preserve"> </w:t>
      </w:r>
      <w:r w:rsidR="00A073E8" w:rsidRPr="00A073E8">
        <w:rPr>
          <w:i/>
          <w:iCs/>
          <w:lang w:val="en-GB"/>
        </w:rPr>
        <w:t>(Fagus sylvatica</w:t>
      </w:r>
      <w:r w:rsidR="00A073E8">
        <w:rPr>
          <w:lang w:val="en-GB"/>
        </w:rPr>
        <w:t>)</w:t>
      </w:r>
      <w:r w:rsidRPr="00AD795B">
        <w:rPr>
          <w:lang w:val="en-GB"/>
        </w:rPr>
        <w:t xml:space="preserve"> and silver fir</w:t>
      </w:r>
      <w:r w:rsidR="00A073E8">
        <w:rPr>
          <w:lang w:val="en-GB"/>
        </w:rPr>
        <w:t xml:space="preserve"> (</w:t>
      </w:r>
      <w:r w:rsidR="00A073E8" w:rsidRPr="00A073E8">
        <w:rPr>
          <w:i/>
          <w:iCs/>
          <w:lang w:val="en-GB"/>
        </w:rPr>
        <w:t>Abies alba</w:t>
      </w:r>
      <w:r w:rsidR="00A073E8">
        <w:rPr>
          <w:lang w:val="en-GB"/>
        </w:rPr>
        <w:t>)</w:t>
      </w:r>
      <w:r w:rsidRPr="00AD795B">
        <w:rPr>
          <w:lang w:val="en-GB"/>
        </w:rPr>
        <w:t>. The climate is temperate continental with a mean annual precipitation of 1000 mm and a mean annual temperature of 4.5 °C. The bedrock consists of crystalline schist and the main soils are cambisols with ample water and nutrient supply. The terrain is characterized by steep slopes between 30–40° and elevations ranging from 850 to 1350 m a.s.l.</w:t>
      </w:r>
    </w:p>
    <w:p w14:paraId="336ECD79" w14:textId="508C448A" w:rsidR="00C361D1" w:rsidRPr="006A1025" w:rsidRDefault="001A3CD0" w:rsidP="00CE35F4">
      <w:pPr>
        <w:pStyle w:val="Heading2"/>
        <w:rPr>
          <w:lang w:val="en-GB"/>
        </w:rPr>
      </w:pPr>
      <w:r>
        <w:rPr>
          <w:lang w:val="en-GB"/>
        </w:rPr>
        <w:t>Sample selection and preparation</w:t>
      </w:r>
    </w:p>
    <w:p w14:paraId="4E431B56" w14:textId="625CDD13" w:rsidR="005C16DE" w:rsidRDefault="00CC60A8">
      <w:pPr>
        <w:rPr>
          <w:lang w:val="en-GB"/>
        </w:rPr>
      </w:pPr>
      <w:r>
        <w:rPr>
          <w:lang w:val="en-GB"/>
        </w:rPr>
        <w:t>For</w:t>
      </w:r>
      <w:r w:rsidR="00CD623B">
        <w:rPr>
          <w:lang w:val="en-GB"/>
        </w:rPr>
        <w:t xml:space="preserve"> sample DC selection, </w:t>
      </w:r>
      <w:r>
        <w:rPr>
          <w:lang w:val="en-GB"/>
        </w:rPr>
        <w:t xml:space="preserve">the </w:t>
      </w:r>
      <w:r w:rsidR="001D3532">
        <w:rPr>
          <w:lang w:val="en-GB"/>
        </w:rPr>
        <w:t>classification from</w:t>
      </w:r>
      <w:r w:rsidR="00814DA5">
        <w:rPr>
          <w:lang w:val="en-GB"/>
        </w:rPr>
        <w:t xml:space="preserve"> </w:t>
      </w:r>
      <w:r w:rsidR="00814DA5">
        <w:rPr>
          <w:lang w:val="en-GB"/>
        </w:rPr>
        <w:fldChar w:fldCharType="begin" w:fldLock="1"/>
      </w:r>
      <w:r w:rsidR="00443625">
        <w:rPr>
          <w:lang w:val="en-GB"/>
        </w:rPr>
        <w:instrText>ADDIN CSL_CITATION {"citationItems":[{"id":"ITEM-1","itemData":{"DOI":"10.1016/0006-3207(93)90732-g","ISSN":"00063207","abstract":"Never Highlight a Book Again! Just the FACTS101 study guides give the student the textbook outlines, highlights, practice quizzes and optional access to the full practice tests for their textbook.","author":[{"dropping-particle":"","family":"Hunter Jr","given":"M. L.","non-dropping-particle":"","parse-names":false,"suffix":""}],"container-title":"Biological Conservation","id":"ITEM-1","issue":"3","issued":{"date-parts":[["1993"]]},"number-of-pages":"271","publisher":"Prentice Hall","title":"Wildlife, forest, and forestry. Principles of managing forests for biological diversity","type":"book","volume":"63"},"uris":["http://www.mendeley.com/documents/?uuid=3fe7dc1f-85e4-441c-aec1-a23f4610e982"]}],"mendeley":{"formattedCitation":"(Hunter Jr, 1993)","plainTextFormattedCitation":"(Hunter Jr, 1993)","previouslyFormattedCitation":"(Hunter Jr, 1993)"},"properties":{"noteIndex":0},"schema":"https://github.com/citation-style-language/schema/raw/master/csl-citation.json"}</w:instrText>
      </w:r>
      <w:r w:rsidR="00814DA5">
        <w:rPr>
          <w:lang w:val="en-GB"/>
        </w:rPr>
        <w:fldChar w:fldCharType="separate"/>
      </w:r>
      <w:r w:rsidR="00814DA5" w:rsidRPr="00814DA5">
        <w:rPr>
          <w:noProof/>
          <w:lang w:val="en-GB"/>
        </w:rPr>
        <w:t>(Hunter Jr, 1993)</w:t>
      </w:r>
      <w:r w:rsidR="00814DA5">
        <w:rPr>
          <w:lang w:val="en-GB"/>
        </w:rPr>
        <w:fldChar w:fldCharType="end"/>
      </w:r>
      <w:r w:rsidR="00CD623B">
        <w:rPr>
          <w:lang w:val="en-GB"/>
        </w:rPr>
        <w:t xml:space="preserve"> was followed</w:t>
      </w:r>
      <w:r w:rsidR="00F52F7A">
        <w:rPr>
          <w:lang w:val="en-GB"/>
        </w:rPr>
        <w:t>. Under this classification, DC</w:t>
      </w:r>
      <w:r w:rsidR="00E606E1">
        <w:rPr>
          <w:lang w:val="en-GB"/>
        </w:rPr>
        <w:t xml:space="preserve"> range from class 1 (least decomposed, intact texture and bark) to class 5 (largely decompos</w:t>
      </w:r>
      <w:r w:rsidR="003D237E">
        <w:rPr>
          <w:lang w:val="en-GB"/>
        </w:rPr>
        <w:t>ed, absent bark and powdery texture)</w:t>
      </w:r>
      <w:commentRangeStart w:id="7"/>
      <w:commentRangeEnd w:id="7"/>
      <w:r w:rsidR="00F52F7A">
        <w:rPr>
          <w:rStyle w:val="CommentReference"/>
        </w:rPr>
        <w:commentReference w:id="7"/>
      </w:r>
      <w:r w:rsidR="00443625">
        <w:rPr>
          <w:lang w:val="en-GB"/>
        </w:rPr>
        <w:t>.</w:t>
      </w:r>
      <w:r w:rsidR="003D237E">
        <w:rPr>
          <w:lang w:val="en-GB"/>
        </w:rPr>
        <w:t xml:space="preserve"> </w:t>
      </w:r>
      <w:r w:rsidR="005A228D">
        <w:rPr>
          <w:lang w:val="en-GB"/>
        </w:rPr>
        <w:t xml:space="preserve">To distinguish between each DC, </w:t>
      </w:r>
      <w:r w:rsidR="00B6480F">
        <w:rPr>
          <w:lang w:val="en-GB"/>
        </w:rPr>
        <w:t xml:space="preserve">visual observation following </w:t>
      </w:r>
      <w:r w:rsidR="005A228D">
        <w:rPr>
          <w:lang w:val="en-GB"/>
        </w:rPr>
        <w:t xml:space="preserve">the method </w:t>
      </w:r>
      <w:r w:rsidR="007D2A23">
        <w:rPr>
          <w:lang w:val="en-GB"/>
        </w:rPr>
        <w:t xml:space="preserve">from </w:t>
      </w:r>
      <w:r w:rsidR="00443625">
        <w:rPr>
          <w:lang w:val="en-GB"/>
        </w:rPr>
        <w:fldChar w:fldCharType="begin" w:fldLock="1"/>
      </w:r>
      <w:r w:rsidR="00DF074A">
        <w:rPr>
          <w:lang w:val="en-GB"/>
        </w:rPr>
        <w:instrText>ADDIN CSL_CITATION {"citationItems":[{"id":"ITEM-1","itemData":{"DOI":"10.1890/1051-0761(2006)016[1865:PTDOSP]2.0.CO;2","ISSN":"10510761","PMID":"17069378","abstract":"Models were developed for predicting the decomposition of dead wood for the main tree species in Finland, based on data collected from long-term thinning experiments in southern and central Finland. The decomposition rates were strongly related to the number of years after tree death. In contrast to previous studies, which have used the first-order exponential model, we found that the decomposition rate was not constant. Therefore, the Gompertz and Chapman-Richard's functions were fitted to the data. The slow initial decomposition period was mainly due to the fact that most dead trees remained standing as snags after their death. The initial period was followed by a period of rapid decomposition and, finally, by a period of moderately slow decomposition. Birch stems decomposed more rapidly than Scots pine and Norway spruce stems. Decomposition rates of Norway spruce stems were somewhat lower than those of Scots pine. Because the carbon concentration of decaying boles was relatively stable (about 50%) the rate of carbon loss follows that of mass loss. Models were also developed for the probability that a dead tree remains standing as a snag. During the first years after death, the probability was high. Thereafter, it decreased rapidly, the decrease being faster for birch stems than for Scots pine and Norway spruce stems. Almost all stems had fallen down within 40 years after their death. In Scots pine and Norway spruce, most snags remained hard and belonged to decay class 1. In birch, a higher proportion of snags belonged to the more advanced decay classes. The models provide a framework for predicting dead wood dynamics in managed as well as dense unthinned stands. The models can be incorporated into forest management planning systems, thereby facilitating estimates of carbon dynamics. © 2006 by the Ecological Society of America.","author":[{"dropping-particle":"","family":"Mäkinen","given":"Harri","non-dropping-particle":"","parse-names":false,"suffix":""},{"dropping-particle":"","family":"Hynynen","given":"Jari","non-dropping-particle":"","parse-names":false,"suffix":""},{"dropping-particle":"","family":"Siitonen","given":"Juha","non-dropping-particle":"","parse-names":false,"suffix":""},{"dropping-particle":"","family":"Sievänen","given":"Risto","non-dropping-particle":"","parse-names":false,"suffix":""}],"container-title":"Ecological Applications","id":"ITEM-1","issue":"5","issued":{"date-parts":[["2006"]]},"page":"1865-1879","title":"Predicting the decomposition of scots pine, norway spruce, and birch stems in Finland","type":"article-journal","volume":"16"},"uris":["http://www.mendeley.com/documents/?uuid=3b32d0c3-d4eb-3247-8666-4e36a4b41309"]}],"mendeley":{"formattedCitation":"(Mäkinen et al., 2006)","manualFormatting":"Mäkinen et al., 2006","plainTextFormattedCitation":"(Mäkinen et al., 2006)","previouslyFormattedCitation":"(Mäkinen et al., 2006)"},"properties":{"noteIndex":0},"schema":"https://github.com/citation-style-language/schema/raw/master/csl-citation.json"}</w:instrText>
      </w:r>
      <w:r w:rsidR="00443625">
        <w:rPr>
          <w:lang w:val="en-GB"/>
        </w:rPr>
        <w:fldChar w:fldCharType="separate"/>
      </w:r>
      <w:r w:rsidR="00443625" w:rsidRPr="00443625">
        <w:rPr>
          <w:noProof/>
          <w:lang w:val="en-GB"/>
        </w:rPr>
        <w:t>Mäkinen et al., 2006</w:t>
      </w:r>
      <w:r w:rsidR="00443625">
        <w:rPr>
          <w:lang w:val="en-GB"/>
        </w:rPr>
        <w:fldChar w:fldCharType="end"/>
      </w:r>
      <w:r w:rsidR="00443625">
        <w:rPr>
          <w:lang w:val="en-GB"/>
        </w:rPr>
        <w:t xml:space="preserve"> </w:t>
      </w:r>
      <w:r w:rsidR="00B6480F">
        <w:rPr>
          <w:lang w:val="en-GB"/>
        </w:rPr>
        <w:t xml:space="preserve">and </w:t>
      </w:r>
      <w:commentRangeStart w:id="8"/>
      <w:r w:rsidR="00B6480F" w:rsidRPr="00B6480F">
        <w:rPr>
          <w:lang w:val="en-GB"/>
        </w:rPr>
        <w:t xml:space="preserve">Kajar Köster </w:t>
      </w:r>
      <w:commentRangeEnd w:id="8"/>
      <w:r w:rsidR="00B6480F">
        <w:rPr>
          <w:rStyle w:val="CommentReference"/>
        </w:rPr>
        <w:commentReference w:id="8"/>
      </w:r>
      <w:r w:rsidR="00B6480F">
        <w:rPr>
          <w:lang w:val="en-GB"/>
        </w:rPr>
        <w:fldChar w:fldCharType="begin" w:fldLock="1"/>
      </w:r>
      <w:r w:rsidR="00B6480F">
        <w:rPr>
          <w:lang w:val="en-GB"/>
        </w:rPr>
        <w:instrText>ADDIN CSL_CITATION {"citationItems":[{"id":"ITEM-1","itemData":{"DOI":"10.1111/j.1461-0248.2008.01259.x","ISSN":"1461023X","PMID":"19016827","abstract":"The carbon flux from woody debris, a crucial uncertainty within global carbon-climate models, is simultaneously affected by climate, site environment and species-based variation in wood quality. In the first global analysis attempting to explicitly tease out the wood quality contribution to decomposition, we found support for our hypothesis that, under a common climate, interspecific differences in wood traits affect woody debris decomposition patterns. A meta-analysis of 36 studies from all forested continents revealed that nitrogen, phosphorus, and C : N ratio correlate with decomposition rates of angiosperms. In addition, gymnosperm wood consistently decomposes slower than angiosperm wood within common sites, a pattern that correlates with clear divergence in wood traits between the two groups. New empirical studies are needed to test whether this difference is due to a direct effect of wood trait variation on decomposer activity or an indirect effect of wood traits on decomposition microsite environment. The wood trait-decomposition results point to an important role for changes in the wood traits of dominant tree species as a driver of carbon cycling, with likely feedback to atmospheric CO2 particularly where angiosperm species replace gymnosperms regionally. Truly worldwide upscaling of our results will require further site-based multi-species wood trait and decomposition data, particularly from low-latitude ecosystems. © 2008 Blackwell Publishing Ltd/CNRS.","author":[{"dropping-particle":"","family":"Weedon","given":"James T.","non-dropping-particle":"","parse-names":false,"suffix":""},{"dropping-particle":"","family":"Cornwell","given":"William K.","non-dropping-particle":"","parse-names":false,"suffix":""},{"dropping-particle":"","family":"Cornelissen","given":"Johannes H.C.","non-dropping-particle":"","parse-names":false,"suffix":""},{"dropping-particle":"","family":"Zanne","given":"Amy E.","non-dropping-particle":"","parse-names":false,"suffix":""},{"dropping-particle":"","family":"Wirth","given":"Christian","non-dropping-particle":"","parse-names":false,"suffix":""},{"dropping-particle":"","family":"Coomes","given":"David A.","non-dropping-particle":"","parse-names":false,"suffix":""}],"container-title":"Ecology Letters","id":"ITEM-1","issue":"1","issued":{"date-parts":[["2009"]]},"page":"45-56","title":"Global meta-analysis of wood decomposition rates: A role for trait variation among tree species?","type":"article-journal","volume":"12"},"uris":["http://www.mendeley.com/documents/?uuid=c368e351-059a-4ea5-9c29-2fea2a6c0d08"]}],"mendeley":{"formattedCitation":"(Weedon et al., 2009)","plainTextFormattedCitation":"(Weedon et al., 2009)","previouslyFormattedCitation":"(Weedon et al., 2009)"},"properties":{"noteIndex":0},"schema":"https://github.com/citation-style-language/schema/raw/master/csl-citation.json"}</w:instrText>
      </w:r>
      <w:r w:rsidR="00E541E3">
        <w:rPr>
          <w:lang w:val="en-GB"/>
        </w:rPr>
        <w:fldChar w:fldCharType="separate"/>
      </w:r>
      <w:r w:rsidR="00B6480F">
        <w:rPr>
          <w:lang w:val="en-GB"/>
        </w:rPr>
        <w:fldChar w:fldCharType="end"/>
      </w:r>
      <w:r w:rsidR="00443625">
        <w:rPr>
          <w:lang w:val="en-GB"/>
        </w:rPr>
        <w:t>was used</w:t>
      </w:r>
      <w:r w:rsidR="001948E5">
        <w:rPr>
          <w:lang w:val="en-GB"/>
        </w:rPr>
        <w:t xml:space="preserve"> (Table 1). For </w:t>
      </w:r>
      <w:r w:rsidR="00334A00">
        <w:rPr>
          <w:lang w:val="en-GB"/>
        </w:rPr>
        <w:t xml:space="preserve">each </w:t>
      </w:r>
      <w:r w:rsidR="002A54C9">
        <w:rPr>
          <w:lang w:val="en-GB"/>
        </w:rPr>
        <w:t>DC</w:t>
      </w:r>
      <w:r w:rsidR="00334A00">
        <w:rPr>
          <w:lang w:val="en-GB"/>
        </w:rPr>
        <w:t xml:space="preserve"> of 1, 2 and 4,</w:t>
      </w:r>
      <w:r w:rsidR="00F252A0">
        <w:rPr>
          <w:lang w:val="en-GB"/>
        </w:rPr>
        <w:t xml:space="preserve"> </w:t>
      </w:r>
      <w:r w:rsidR="00AC6D1E">
        <w:rPr>
          <w:lang w:val="en-GB"/>
        </w:rPr>
        <w:t xml:space="preserve">60 </w:t>
      </w:r>
      <w:r w:rsidR="003756A0">
        <w:rPr>
          <w:lang w:val="en-GB"/>
        </w:rPr>
        <w:t xml:space="preserve">samples </w:t>
      </w:r>
      <w:r w:rsidR="00AC6D1E">
        <w:rPr>
          <w:lang w:val="en-GB"/>
        </w:rPr>
        <w:t>of</w:t>
      </w:r>
      <w:r w:rsidR="00163937">
        <w:rPr>
          <w:lang w:val="en-GB"/>
        </w:rPr>
        <w:t xml:space="preserve"> 1</w:t>
      </w:r>
      <w:r w:rsidR="009329C9">
        <w:rPr>
          <w:lang w:val="en-GB"/>
        </w:rPr>
        <w:t xml:space="preserve"> </w:t>
      </w:r>
      <w:r w:rsidR="003756A0">
        <w:rPr>
          <w:lang w:val="en-GB"/>
        </w:rPr>
        <w:t>cm diameter</w:t>
      </w:r>
      <w:r w:rsidR="00163937">
        <w:rPr>
          <w:lang w:val="en-GB"/>
        </w:rPr>
        <w:t xml:space="preserve"> and 15 </w:t>
      </w:r>
      <w:r w:rsidR="003756A0">
        <w:rPr>
          <w:lang w:val="en-GB"/>
        </w:rPr>
        <w:t xml:space="preserve">samples </w:t>
      </w:r>
      <w:r w:rsidR="00163937">
        <w:rPr>
          <w:lang w:val="en-GB"/>
        </w:rPr>
        <w:t>for each</w:t>
      </w:r>
      <w:r w:rsidR="006B3D06">
        <w:rPr>
          <w:lang w:val="en-GB"/>
        </w:rPr>
        <w:t xml:space="preserve"> </w:t>
      </w:r>
      <w:r w:rsidR="009329C9">
        <w:rPr>
          <w:lang w:val="en-GB"/>
        </w:rPr>
        <w:t xml:space="preserve">10 and 25 cm </w:t>
      </w:r>
      <w:r w:rsidR="00EE3860">
        <w:rPr>
          <w:lang w:val="en-GB"/>
        </w:rPr>
        <w:t>diameters</w:t>
      </w:r>
      <w:r w:rsidR="002A54C9">
        <w:rPr>
          <w:lang w:val="en-GB"/>
        </w:rPr>
        <w:t xml:space="preserve"> of length </w:t>
      </w:r>
      <w:r w:rsidR="003219D2">
        <w:rPr>
          <w:lang w:val="en-GB"/>
        </w:rPr>
        <w:t>10, 40 and 100 cm</w:t>
      </w:r>
      <w:r w:rsidR="002A54C9" w:rsidRPr="0079368C">
        <w:rPr>
          <w:color w:val="FF0000"/>
          <w:lang w:val="en-GB"/>
        </w:rPr>
        <w:t xml:space="preserve"> respectively</w:t>
      </w:r>
      <w:r w:rsidR="00EE3860">
        <w:rPr>
          <w:lang w:val="en-GB"/>
        </w:rPr>
        <w:t xml:space="preserve"> of</w:t>
      </w:r>
      <w:r w:rsidR="006B3D06">
        <w:rPr>
          <w:lang w:val="en-GB"/>
        </w:rPr>
        <w:t xml:space="preserve"> </w:t>
      </w:r>
      <w:r w:rsidR="00986715">
        <w:rPr>
          <w:lang w:val="en-GB"/>
        </w:rPr>
        <w:t xml:space="preserve">both </w:t>
      </w:r>
      <w:r w:rsidR="00986715" w:rsidRPr="00986715">
        <w:rPr>
          <w:i/>
          <w:iCs/>
          <w:lang w:val="en-GB"/>
        </w:rPr>
        <w:t>F. sylvatica</w:t>
      </w:r>
      <w:r w:rsidR="00986715">
        <w:rPr>
          <w:lang w:val="en-GB"/>
        </w:rPr>
        <w:t xml:space="preserve"> and </w:t>
      </w:r>
      <w:r w:rsidR="00986715" w:rsidRPr="00986715">
        <w:rPr>
          <w:i/>
          <w:iCs/>
          <w:lang w:val="en-GB"/>
        </w:rPr>
        <w:t>A. alba</w:t>
      </w:r>
      <w:r w:rsidR="006B3D06">
        <w:rPr>
          <w:lang w:val="en-GB"/>
        </w:rPr>
        <w:t xml:space="preserve"> were selected</w:t>
      </w:r>
      <w:r w:rsidR="00162D59">
        <w:rPr>
          <w:lang w:val="en-GB"/>
        </w:rPr>
        <w:t>, cut</w:t>
      </w:r>
      <w:r w:rsidR="00A42309">
        <w:rPr>
          <w:lang w:val="en-GB"/>
        </w:rPr>
        <w:t xml:space="preserve"> and extracted from the </w:t>
      </w:r>
      <w:r w:rsidR="00CD623B">
        <w:rPr>
          <w:lang w:val="en-GB"/>
        </w:rPr>
        <w:t>surrounding area</w:t>
      </w:r>
      <w:r w:rsidR="00A42309">
        <w:rPr>
          <w:lang w:val="en-GB"/>
        </w:rPr>
        <w:t xml:space="preserve">. </w:t>
      </w:r>
      <w:r w:rsidR="00162D59">
        <w:rPr>
          <w:lang w:val="en-GB"/>
        </w:rPr>
        <w:t>Diameter of both ends</w:t>
      </w:r>
      <w:r w:rsidR="002B708B">
        <w:rPr>
          <w:lang w:val="en-GB"/>
        </w:rPr>
        <w:t xml:space="preserve"> were </w:t>
      </w:r>
      <w:r w:rsidR="00CD623B">
        <w:rPr>
          <w:lang w:val="en-GB"/>
        </w:rPr>
        <w:t>measured,</w:t>
      </w:r>
      <w:r w:rsidR="00A35E8E">
        <w:rPr>
          <w:lang w:val="en-GB"/>
        </w:rPr>
        <w:t xml:space="preserve"> and </w:t>
      </w:r>
      <w:r w:rsidR="00AC2D63">
        <w:rPr>
          <w:lang w:val="en-GB"/>
        </w:rPr>
        <w:t>total volume of the sample was calculated assuming idealized cone sections.</w:t>
      </w:r>
      <w:r w:rsidR="003C7793">
        <w:rPr>
          <w:lang w:val="en-GB"/>
        </w:rPr>
        <w:t xml:space="preserve"> </w:t>
      </w:r>
      <w:r w:rsidR="001948E5">
        <w:rPr>
          <w:lang w:val="en-GB"/>
        </w:rPr>
        <w:t>Finally,</w:t>
      </w:r>
      <w:r w:rsidR="003C7793">
        <w:rPr>
          <w:lang w:val="en-GB"/>
        </w:rPr>
        <w:t xml:space="preserve"> the </w:t>
      </w:r>
      <w:r w:rsidR="00A35E8E">
        <w:rPr>
          <w:lang w:val="en-GB"/>
        </w:rPr>
        <w:t xml:space="preserve">% of bark </w:t>
      </w:r>
      <w:r w:rsidR="003C7793">
        <w:rPr>
          <w:lang w:val="en-GB"/>
        </w:rPr>
        <w:t xml:space="preserve">was </w:t>
      </w:r>
      <w:commentRangeStart w:id="9"/>
      <w:r w:rsidR="002B708B">
        <w:rPr>
          <w:lang w:val="en-GB"/>
        </w:rPr>
        <w:t>estimated</w:t>
      </w:r>
      <w:commentRangeEnd w:id="9"/>
      <w:r w:rsidR="003C7793">
        <w:rPr>
          <w:rStyle w:val="CommentReference"/>
        </w:rPr>
        <w:commentReference w:id="9"/>
      </w:r>
      <w:r w:rsidR="003C7793">
        <w:rPr>
          <w:lang w:val="en-GB"/>
        </w:rPr>
        <w:t xml:space="preserve"> </w:t>
      </w:r>
      <w:r w:rsidR="005F3D00">
        <w:rPr>
          <w:lang w:val="en-GB"/>
        </w:rPr>
        <w:t xml:space="preserve">by on-field observation </w:t>
      </w:r>
      <w:r w:rsidR="003C7793">
        <w:rPr>
          <w:lang w:val="en-GB"/>
        </w:rPr>
        <w:t>and t</w:t>
      </w:r>
      <w:r w:rsidR="00163937">
        <w:rPr>
          <w:lang w:val="en-GB"/>
        </w:rPr>
        <w:t>h</w:t>
      </w:r>
      <w:r w:rsidR="003841AA">
        <w:rPr>
          <w:lang w:val="en-GB"/>
        </w:rPr>
        <w:t xml:space="preserve">e samples were </w:t>
      </w:r>
      <w:r w:rsidR="00A60FA7">
        <w:rPr>
          <w:lang w:val="en-GB"/>
        </w:rPr>
        <w:t xml:space="preserve">distributed </w:t>
      </w:r>
      <w:r w:rsidR="002A488F">
        <w:rPr>
          <w:lang w:val="en-GB"/>
        </w:rPr>
        <w:t xml:space="preserve">among </w:t>
      </w:r>
      <w:r w:rsidR="00A35E8E">
        <w:rPr>
          <w:lang w:val="en-GB"/>
        </w:rPr>
        <w:t>3</w:t>
      </w:r>
      <w:r w:rsidR="002A488F">
        <w:rPr>
          <w:lang w:val="en-GB"/>
        </w:rPr>
        <w:t xml:space="preserve"> plots, </w:t>
      </w:r>
      <w:r w:rsidR="00545F2D">
        <w:rPr>
          <w:lang w:val="en-GB"/>
        </w:rPr>
        <w:t>with</w:t>
      </w:r>
      <w:r w:rsidR="002A488F">
        <w:rPr>
          <w:lang w:val="en-GB"/>
        </w:rPr>
        <w:t xml:space="preserve"> </w:t>
      </w:r>
      <w:commentRangeStart w:id="10"/>
      <w:r w:rsidR="002A488F">
        <w:rPr>
          <w:lang w:val="en-GB"/>
        </w:rPr>
        <w:t xml:space="preserve">5 subplots </w:t>
      </w:r>
      <w:commentRangeEnd w:id="10"/>
      <w:r w:rsidR="00B90F6A">
        <w:rPr>
          <w:rStyle w:val="CommentReference"/>
        </w:rPr>
        <w:commentReference w:id="10"/>
      </w:r>
      <w:r w:rsidR="001F640A">
        <w:rPr>
          <w:lang w:val="en-GB"/>
        </w:rPr>
        <w:t>each, separating the samples to avoid the near-neighbour effect</w:t>
      </w:r>
      <w:r w:rsidR="002A488F">
        <w:rPr>
          <w:lang w:val="en-GB"/>
        </w:rPr>
        <w:t>.</w:t>
      </w:r>
      <w:r w:rsidR="001F640A">
        <w:rPr>
          <w:lang w:val="en-GB"/>
        </w:rPr>
        <w:t xml:space="preserve"> </w:t>
      </w:r>
    </w:p>
    <w:p w14:paraId="2BB31C31" w14:textId="2B436227" w:rsidR="00826139" w:rsidRPr="00826139" w:rsidRDefault="005C16DE" w:rsidP="005F3D00">
      <w:pPr>
        <w:rPr>
          <w:lang w:val="en-US"/>
        </w:rPr>
      </w:pPr>
      <w:r>
        <w:rPr>
          <w:lang w:val="en-GB"/>
        </w:rPr>
        <w:br w:type="page"/>
      </w:r>
      <w:r w:rsidR="00826139" w:rsidRPr="00503BD2">
        <w:rPr>
          <w:b/>
          <w:bCs/>
          <w:lang w:val="en-US"/>
        </w:rPr>
        <w:lastRenderedPageBreak/>
        <w:t xml:space="preserve">Table </w:t>
      </w:r>
      <w:r w:rsidR="00826139" w:rsidRPr="00503BD2">
        <w:rPr>
          <w:b/>
          <w:bCs/>
        </w:rPr>
        <w:fldChar w:fldCharType="begin"/>
      </w:r>
      <w:r w:rsidR="00826139" w:rsidRPr="00503BD2">
        <w:rPr>
          <w:b/>
          <w:bCs/>
          <w:lang w:val="en-US"/>
        </w:rPr>
        <w:instrText xml:space="preserve"> SEQ Table \* ARABIC </w:instrText>
      </w:r>
      <w:r w:rsidR="00826139" w:rsidRPr="00503BD2">
        <w:rPr>
          <w:b/>
          <w:bCs/>
        </w:rPr>
        <w:fldChar w:fldCharType="separate"/>
      </w:r>
      <w:r w:rsidR="00826139" w:rsidRPr="00503BD2">
        <w:rPr>
          <w:b/>
          <w:bCs/>
          <w:noProof/>
          <w:lang w:val="en-US"/>
        </w:rPr>
        <w:t>1</w:t>
      </w:r>
      <w:r w:rsidR="00826139" w:rsidRPr="00503BD2">
        <w:rPr>
          <w:b/>
          <w:bCs/>
        </w:rPr>
        <w:fldChar w:fldCharType="end"/>
      </w:r>
      <w:r w:rsidR="00826139" w:rsidRPr="00503BD2">
        <w:rPr>
          <w:b/>
          <w:bCs/>
          <w:lang w:val="en-US"/>
        </w:rPr>
        <w:t>.</w:t>
      </w:r>
      <w:r w:rsidR="00826139" w:rsidRPr="00826139">
        <w:rPr>
          <w:lang w:val="en-US"/>
        </w:rPr>
        <w:t xml:space="preserve"> Description of decay classes and method used to select the pieces</w:t>
      </w:r>
      <w:r w:rsidR="00826139">
        <w:rPr>
          <w:lang w:val="en-US"/>
        </w:rPr>
        <w:t xml:space="preserve"> extracted from </w:t>
      </w:r>
      <w:r w:rsidR="00826139">
        <w:rPr>
          <w:lang w:val="en-US"/>
        </w:rPr>
        <w:fldChar w:fldCharType="begin" w:fldLock="1"/>
      </w:r>
      <w:r w:rsidR="0071767D">
        <w:rPr>
          <w:lang w:val="en-US"/>
        </w:rPr>
        <w:instrText>ADDIN CSL_CITATION {"citationItems":[{"id":"ITEM-1","itemData":{"DOI":"10.3390/f12070901","ISSN":"19994907","abstract":"European aspen deadwood is extensively studied as a habitat for saproxylic species, while less is known of its dynamics and role in carbon sequestration. We studied unmanaged mature (41–60 years), moderately overmature (61–80 years), overmature (81–100 years), and old-growth (101–140 years) and managed mature and moderately overmature aspen stands on fertile mineral soils. In unmanaged stands, marginal mean CWD volume was from 67.3 ± 12.1 m3 ha−1 in moderately overmature to 92.4 ± 5.1 m3 ha−1 in old-growth stands, with corresponding marginal mean CWD carbon pool 8.2 ± 1.6 t ha−1 and 12.5 ± 0.7 t ha−1, respectively. Both CWD volume and its carbon pool had substantial yet non-significant differences (all p &gt; 0.05) among the age groups. High CWD volume was present in most stands, by at least two-thirds of plots comprising more than 20 m3 ha−1, and about half of CWD was larger than 30 cm in diameter. Changes in CWD species composition toward a higher proportion of deciduous deadwood in old-growth stands, together with a high volume of recently dead trees, suggest early senescence of the dominant aspen cohort.","author":[{"dropping-particle":"","family":"Šēnhofa","given":"Silva","non-dropping-particle":"","parse-names":false,"suffix":""},{"dropping-particle":"","family":"Šnepsts","given":"Guntars","non-dropping-particle":"","parse-names":false,"suffix":""},{"dropping-particle":"","family":"Bičkovskis","given":"Kārlis","non-dropping-particle":"","parse-names":false,"suffix":""},{"dropping-particle":"","family":"Jaunslaviete","given":"Ieva","non-dropping-particle":"","parse-names":false,"suffix":""},{"dropping-particle":"","family":"Liepa","given":"Līga","non-dropping-particle":"","parse-names":false,"suffix":""},{"dropping-particle":"","family":"Straupe","given":"Inga","non-dropping-particle":"","parse-names":false,"suffix":""},{"dropping-particle":"","family":"Jansons","given":"Āris","non-dropping-particle":"","parse-names":false,"suffix":""}],"container-title":"Forests","id":"ITEM-1","issue":"7","issued":{"date-parts":[["2021"]]},"page":"1-16","title":"Availability and structure of coarse woody debris in hemiboreal mature to old-growth aspen stands and its implications for forest carbon pool","type":"article-journal","volume":"12"},"uris":["http://www.mendeley.com/documents/?uuid=594fb40e-4b2b-4c65-9f63-fdaf71153889"]}],"mendeley":{"formattedCitation":"(Šēnhofa et al., 2021)","plainTextFormattedCitation":"(Šēnhofa et al., 2021)","previouslyFormattedCitation":"(Šēnhofa et al., 2021)"},"properties":{"noteIndex":0},"schema":"https://github.com/citation-style-language/schema/raw/master/csl-citation.json"}</w:instrText>
      </w:r>
      <w:r w:rsidR="00826139">
        <w:rPr>
          <w:lang w:val="en-US"/>
        </w:rPr>
        <w:fldChar w:fldCharType="separate"/>
      </w:r>
      <w:r w:rsidR="00826139" w:rsidRPr="00826139">
        <w:rPr>
          <w:noProof/>
          <w:lang w:val="en-US"/>
        </w:rPr>
        <w:t>(Šēnhofa et al., 2021)</w:t>
      </w:r>
      <w:r w:rsidR="00826139">
        <w:rPr>
          <w:lang w:val="en-US"/>
        </w:rPr>
        <w:fldChar w:fldCharType="end"/>
      </w:r>
      <w:r w:rsidR="00826139" w:rsidRPr="00826139">
        <w:rPr>
          <w:lang w:val="en-US"/>
        </w:rPr>
        <w:t>. * represent the decay classes selected for this study.</w:t>
      </w:r>
    </w:p>
    <w:tbl>
      <w:tblPr>
        <w:tblStyle w:val="TableGrid"/>
        <w:tblW w:w="0" w:type="auto"/>
        <w:tblLook w:val="04A0" w:firstRow="1" w:lastRow="0" w:firstColumn="1" w:lastColumn="0" w:noHBand="0" w:noVBand="1"/>
      </w:tblPr>
      <w:tblGrid>
        <w:gridCol w:w="562"/>
        <w:gridCol w:w="2127"/>
        <w:gridCol w:w="5805"/>
      </w:tblGrid>
      <w:tr w:rsidR="005C16DE" w14:paraId="15F54BEE" w14:textId="77777777" w:rsidTr="005C16DE">
        <w:tc>
          <w:tcPr>
            <w:tcW w:w="2689" w:type="dxa"/>
            <w:gridSpan w:val="2"/>
          </w:tcPr>
          <w:p w14:paraId="53F9741A" w14:textId="24D0DF54" w:rsidR="005C16DE" w:rsidRPr="00826139" w:rsidRDefault="005C16DE" w:rsidP="005C16DE">
            <w:pPr>
              <w:jc w:val="center"/>
              <w:rPr>
                <w:b/>
                <w:bCs/>
                <w:lang w:val="en-GB"/>
              </w:rPr>
            </w:pPr>
            <w:r w:rsidRPr="00826139">
              <w:rPr>
                <w:b/>
                <w:bCs/>
                <w:lang w:val="en-GB"/>
              </w:rPr>
              <w:t>Decay Class</w:t>
            </w:r>
          </w:p>
        </w:tc>
        <w:tc>
          <w:tcPr>
            <w:tcW w:w="5805" w:type="dxa"/>
          </w:tcPr>
          <w:p w14:paraId="23E7FD83" w14:textId="570A7722" w:rsidR="005C16DE" w:rsidRPr="00826139" w:rsidRDefault="005C16DE">
            <w:pPr>
              <w:rPr>
                <w:b/>
                <w:bCs/>
                <w:lang w:val="en-GB"/>
              </w:rPr>
            </w:pPr>
            <w:r w:rsidRPr="00826139">
              <w:rPr>
                <w:b/>
                <w:bCs/>
                <w:lang w:val="en-GB"/>
              </w:rPr>
              <w:t>Description</w:t>
            </w:r>
          </w:p>
        </w:tc>
      </w:tr>
      <w:tr w:rsidR="00BD3C1E" w:rsidRPr="00800BAE" w14:paraId="329DAF98" w14:textId="77777777" w:rsidTr="005C16DE">
        <w:tc>
          <w:tcPr>
            <w:tcW w:w="562" w:type="dxa"/>
          </w:tcPr>
          <w:p w14:paraId="0F49A9C1" w14:textId="58E0B12A" w:rsidR="00BD3C1E" w:rsidRPr="00826139" w:rsidRDefault="00330C70">
            <w:pPr>
              <w:rPr>
                <w:b/>
                <w:bCs/>
                <w:lang w:val="en-GB"/>
              </w:rPr>
            </w:pPr>
            <w:r w:rsidRPr="00826139">
              <w:rPr>
                <w:b/>
                <w:bCs/>
                <w:lang w:val="en-GB"/>
              </w:rPr>
              <w:t>1</w:t>
            </w:r>
          </w:p>
        </w:tc>
        <w:tc>
          <w:tcPr>
            <w:tcW w:w="2127" w:type="dxa"/>
          </w:tcPr>
          <w:p w14:paraId="7E6EABEB" w14:textId="05C9B6EF" w:rsidR="00BD3C1E" w:rsidRPr="00A623D9" w:rsidRDefault="00330C70">
            <w:pPr>
              <w:rPr>
                <w:b/>
                <w:bCs/>
                <w:lang w:val="en-GB"/>
              </w:rPr>
            </w:pPr>
            <w:r w:rsidRPr="00A623D9">
              <w:rPr>
                <w:b/>
                <w:bCs/>
                <w:lang w:val="en-GB"/>
              </w:rPr>
              <w:t>Recently dead</w:t>
            </w:r>
            <w:r w:rsidR="00826139" w:rsidRPr="00A623D9">
              <w:rPr>
                <w:b/>
                <w:bCs/>
                <w:lang w:val="en-GB"/>
              </w:rPr>
              <w:t>*</w:t>
            </w:r>
          </w:p>
        </w:tc>
        <w:tc>
          <w:tcPr>
            <w:tcW w:w="5805" w:type="dxa"/>
          </w:tcPr>
          <w:p w14:paraId="76C65AFE" w14:textId="3218DCEE" w:rsidR="00BD3C1E" w:rsidRDefault="00A75415">
            <w:pPr>
              <w:rPr>
                <w:lang w:val="en-GB"/>
              </w:rPr>
            </w:pPr>
            <w:r w:rsidRPr="00A75415">
              <w:rPr>
                <w:lang w:val="en-GB"/>
              </w:rPr>
              <w:t xml:space="preserve">Wood hard, knife blade penetrates a few </w:t>
            </w:r>
            <w:r w:rsidR="00826139" w:rsidRPr="00A75415">
              <w:rPr>
                <w:lang w:val="en-GB"/>
              </w:rPr>
              <w:t>millimetres</w:t>
            </w:r>
            <w:r w:rsidRPr="00A75415">
              <w:rPr>
                <w:lang w:val="en-GB"/>
              </w:rPr>
              <w:t>. Bark attached to the stem.</w:t>
            </w:r>
          </w:p>
        </w:tc>
      </w:tr>
      <w:tr w:rsidR="00BD3C1E" w14:paraId="44E6CEC7" w14:textId="77777777" w:rsidTr="005C16DE">
        <w:tc>
          <w:tcPr>
            <w:tcW w:w="562" w:type="dxa"/>
          </w:tcPr>
          <w:p w14:paraId="2B8DA07D" w14:textId="3EF9837B" w:rsidR="00BD3C1E" w:rsidRPr="00826139" w:rsidRDefault="00330C70">
            <w:pPr>
              <w:rPr>
                <w:b/>
                <w:bCs/>
                <w:lang w:val="en-GB"/>
              </w:rPr>
            </w:pPr>
            <w:r w:rsidRPr="00826139">
              <w:rPr>
                <w:b/>
                <w:bCs/>
                <w:lang w:val="en-GB"/>
              </w:rPr>
              <w:t>2</w:t>
            </w:r>
          </w:p>
        </w:tc>
        <w:tc>
          <w:tcPr>
            <w:tcW w:w="2127" w:type="dxa"/>
          </w:tcPr>
          <w:p w14:paraId="666634A8" w14:textId="267BA12E" w:rsidR="00BD3C1E" w:rsidRPr="00A623D9" w:rsidRDefault="00330C70">
            <w:pPr>
              <w:rPr>
                <w:b/>
                <w:bCs/>
                <w:lang w:val="en-GB"/>
              </w:rPr>
            </w:pPr>
            <w:r w:rsidRPr="00A623D9">
              <w:rPr>
                <w:b/>
                <w:bCs/>
                <w:lang w:val="en-GB"/>
              </w:rPr>
              <w:t>Weakly decayed</w:t>
            </w:r>
            <w:r w:rsidR="00826139" w:rsidRPr="00A623D9">
              <w:rPr>
                <w:b/>
                <w:bCs/>
                <w:lang w:val="en-GB"/>
              </w:rPr>
              <w:t>*</w:t>
            </w:r>
          </w:p>
        </w:tc>
        <w:tc>
          <w:tcPr>
            <w:tcW w:w="5805" w:type="dxa"/>
          </w:tcPr>
          <w:p w14:paraId="79FEF415" w14:textId="52E877FD" w:rsidR="00BD3C1E" w:rsidRDefault="00A75415">
            <w:pPr>
              <w:rPr>
                <w:lang w:val="en-GB"/>
              </w:rPr>
            </w:pPr>
            <w:r w:rsidRPr="00A75415">
              <w:rPr>
                <w:lang w:val="en-GB"/>
              </w:rPr>
              <w:t>The outer layer of wood starts to soften, knife blade penetrates 1–2 cm. Loose bark, branches present.</w:t>
            </w:r>
          </w:p>
        </w:tc>
      </w:tr>
      <w:tr w:rsidR="00BD3C1E" w14:paraId="1ADFAC09" w14:textId="77777777" w:rsidTr="005C16DE">
        <w:tc>
          <w:tcPr>
            <w:tcW w:w="562" w:type="dxa"/>
          </w:tcPr>
          <w:p w14:paraId="6A4ED456" w14:textId="0535DCC1" w:rsidR="00BD3C1E" w:rsidRPr="00826139" w:rsidRDefault="00330C70">
            <w:pPr>
              <w:rPr>
                <w:b/>
                <w:bCs/>
                <w:lang w:val="en-GB"/>
              </w:rPr>
            </w:pPr>
            <w:r w:rsidRPr="00826139">
              <w:rPr>
                <w:b/>
                <w:bCs/>
                <w:lang w:val="en-GB"/>
              </w:rPr>
              <w:t>3</w:t>
            </w:r>
          </w:p>
        </w:tc>
        <w:tc>
          <w:tcPr>
            <w:tcW w:w="2127" w:type="dxa"/>
          </w:tcPr>
          <w:p w14:paraId="65977997" w14:textId="4E848F06" w:rsidR="00BD3C1E" w:rsidRDefault="00330C70">
            <w:pPr>
              <w:rPr>
                <w:lang w:val="en-GB"/>
              </w:rPr>
            </w:pPr>
            <w:r>
              <w:rPr>
                <w:lang w:val="en-GB"/>
              </w:rPr>
              <w:t>Moderately decayed</w:t>
            </w:r>
          </w:p>
        </w:tc>
        <w:tc>
          <w:tcPr>
            <w:tcW w:w="5805" w:type="dxa"/>
          </w:tcPr>
          <w:p w14:paraId="7F2072C3" w14:textId="1308C983" w:rsidR="00BD3C1E" w:rsidRDefault="00A75415">
            <w:pPr>
              <w:rPr>
                <w:lang w:val="en-GB"/>
              </w:rPr>
            </w:pPr>
            <w:r w:rsidRPr="00A75415">
              <w:rPr>
                <w:lang w:val="en-GB"/>
              </w:rPr>
              <w:t>The wood of outer layers of stem soft, the core still hard, knife blade penetrates &lt;5 cm. Loose, fragmented bark.</w:t>
            </w:r>
          </w:p>
        </w:tc>
      </w:tr>
      <w:tr w:rsidR="00BD3C1E" w14:paraId="74090509" w14:textId="77777777" w:rsidTr="005C16DE">
        <w:tc>
          <w:tcPr>
            <w:tcW w:w="562" w:type="dxa"/>
          </w:tcPr>
          <w:p w14:paraId="570A4091" w14:textId="7E628E22" w:rsidR="00BD3C1E" w:rsidRPr="00826139" w:rsidRDefault="00330C70">
            <w:pPr>
              <w:rPr>
                <w:b/>
                <w:bCs/>
                <w:lang w:val="en-GB"/>
              </w:rPr>
            </w:pPr>
            <w:r w:rsidRPr="00826139">
              <w:rPr>
                <w:b/>
                <w:bCs/>
                <w:lang w:val="en-GB"/>
              </w:rPr>
              <w:t>4</w:t>
            </w:r>
          </w:p>
        </w:tc>
        <w:tc>
          <w:tcPr>
            <w:tcW w:w="2127" w:type="dxa"/>
          </w:tcPr>
          <w:p w14:paraId="11D79F3A" w14:textId="6FE31795" w:rsidR="00BD3C1E" w:rsidRPr="00A623D9" w:rsidRDefault="00330C70">
            <w:pPr>
              <w:rPr>
                <w:b/>
                <w:bCs/>
                <w:lang w:val="en-GB"/>
              </w:rPr>
            </w:pPr>
            <w:r w:rsidRPr="00A623D9">
              <w:rPr>
                <w:b/>
                <w:bCs/>
                <w:lang w:val="en-GB"/>
              </w:rPr>
              <w:t>Very decayed</w:t>
            </w:r>
            <w:r w:rsidR="00826139" w:rsidRPr="00A623D9">
              <w:rPr>
                <w:b/>
                <w:bCs/>
                <w:lang w:val="en-GB"/>
              </w:rPr>
              <w:t>*</w:t>
            </w:r>
          </w:p>
        </w:tc>
        <w:tc>
          <w:tcPr>
            <w:tcW w:w="5805" w:type="dxa"/>
          </w:tcPr>
          <w:p w14:paraId="18043243" w14:textId="01449BA4" w:rsidR="00BD3C1E" w:rsidRDefault="00A75415">
            <w:pPr>
              <w:rPr>
                <w:lang w:val="en-GB"/>
              </w:rPr>
            </w:pPr>
            <w:r w:rsidRPr="00A75415">
              <w:rPr>
                <w:lang w:val="en-GB"/>
              </w:rPr>
              <w:t>Wood soft through the log, knife blade penetrates the wood in its entirety. No branches, most of the surface covered with mosses.</w:t>
            </w:r>
          </w:p>
        </w:tc>
      </w:tr>
      <w:tr w:rsidR="00BD3C1E" w:rsidRPr="00800BAE" w14:paraId="72FA39C2" w14:textId="77777777" w:rsidTr="005C16DE">
        <w:tc>
          <w:tcPr>
            <w:tcW w:w="562" w:type="dxa"/>
          </w:tcPr>
          <w:p w14:paraId="5520940F" w14:textId="25F3AD22" w:rsidR="00BD3C1E" w:rsidRPr="00826139" w:rsidRDefault="00330C70">
            <w:pPr>
              <w:rPr>
                <w:b/>
                <w:bCs/>
                <w:lang w:val="en-GB"/>
              </w:rPr>
            </w:pPr>
            <w:r w:rsidRPr="00826139">
              <w:rPr>
                <w:b/>
                <w:bCs/>
                <w:lang w:val="en-GB"/>
              </w:rPr>
              <w:t>5</w:t>
            </w:r>
          </w:p>
        </w:tc>
        <w:tc>
          <w:tcPr>
            <w:tcW w:w="2127" w:type="dxa"/>
          </w:tcPr>
          <w:p w14:paraId="19131C2A" w14:textId="6BAD04A6" w:rsidR="00BD3C1E" w:rsidRDefault="00330C70">
            <w:pPr>
              <w:rPr>
                <w:lang w:val="en-GB"/>
              </w:rPr>
            </w:pPr>
            <w:r>
              <w:rPr>
                <w:lang w:val="en-GB"/>
              </w:rPr>
              <w:t>Almost completely decayed</w:t>
            </w:r>
          </w:p>
        </w:tc>
        <w:tc>
          <w:tcPr>
            <w:tcW w:w="5805" w:type="dxa"/>
          </w:tcPr>
          <w:p w14:paraId="0D2C2E55" w14:textId="2A36CFB1" w:rsidR="00BD3C1E" w:rsidRDefault="005C16DE" w:rsidP="005C16DE">
            <w:pPr>
              <w:rPr>
                <w:lang w:val="en-GB"/>
              </w:rPr>
            </w:pPr>
            <w:r w:rsidRPr="005C16DE">
              <w:rPr>
                <w:lang w:val="en-GB"/>
              </w:rPr>
              <w:t>Lost consistency of wood, breaks up easily. Surface covered with lichens, mosses, and dwarf shrubs.</w:t>
            </w:r>
          </w:p>
        </w:tc>
      </w:tr>
    </w:tbl>
    <w:p w14:paraId="7D8C504C" w14:textId="0AF176AA" w:rsidR="00BA776B" w:rsidRDefault="00BA776B">
      <w:pPr>
        <w:rPr>
          <w:lang w:val="en-GB"/>
        </w:rPr>
      </w:pPr>
    </w:p>
    <w:p w14:paraId="068FA2E8" w14:textId="2D4B55E2" w:rsidR="00BA776B" w:rsidRDefault="00BA776B" w:rsidP="00BA776B">
      <w:pPr>
        <w:pStyle w:val="Heading2"/>
        <w:rPr>
          <w:lang w:val="en-GB"/>
        </w:rPr>
      </w:pPr>
      <w:r>
        <w:rPr>
          <w:lang w:val="en-GB"/>
        </w:rPr>
        <w:t>Sampling</w:t>
      </w:r>
      <w:r w:rsidR="00CE35F4">
        <w:rPr>
          <w:lang w:val="en-GB"/>
        </w:rPr>
        <w:t xml:space="preserve"> and </w:t>
      </w:r>
      <w:r w:rsidR="00765CE4">
        <w:rPr>
          <w:lang w:val="en-GB"/>
        </w:rPr>
        <w:t>physical trait</w:t>
      </w:r>
      <w:r w:rsidR="00CE35F4">
        <w:rPr>
          <w:lang w:val="en-GB"/>
        </w:rPr>
        <w:t xml:space="preserve"> measurement</w:t>
      </w:r>
      <w:r w:rsidR="005B347B">
        <w:rPr>
          <w:lang w:val="en-GB"/>
        </w:rPr>
        <w:t>s</w:t>
      </w:r>
    </w:p>
    <w:p w14:paraId="3EB85BA6" w14:textId="689D5FB1" w:rsidR="00CB0C24" w:rsidRDefault="009420B1">
      <w:pPr>
        <w:rPr>
          <w:lang w:val="en-GB"/>
        </w:rPr>
      </w:pPr>
      <w:r>
        <w:rPr>
          <w:lang w:val="en-GB"/>
        </w:rPr>
        <w:t xml:space="preserve">For 1 cm samples, the first 2 cm were discarded, and the following </w:t>
      </w:r>
      <w:r w:rsidR="00A05CEF">
        <w:rPr>
          <w:lang w:val="en-GB"/>
        </w:rPr>
        <w:t xml:space="preserve">2 cm part were collected. For 10 and 25 cm samples, the first 5 cm were discarded, to collect after </w:t>
      </w:r>
      <w:r w:rsidR="00CB0C24">
        <w:rPr>
          <w:lang w:val="en-GB"/>
        </w:rPr>
        <w:t xml:space="preserve">a disk for the next 5 cm. </w:t>
      </w:r>
    </w:p>
    <w:p w14:paraId="06B9D214" w14:textId="20DD6BE2" w:rsidR="00CB0C24" w:rsidRDefault="00915CEB">
      <w:pPr>
        <w:rPr>
          <w:lang w:val="en-GB"/>
        </w:rPr>
      </w:pPr>
      <w:r>
        <w:rPr>
          <w:lang w:val="en-GB"/>
        </w:rPr>
        <w:t xml:space="preserve">Each sample was weighted </w:t>
      </w:r>
      <w:r w:rsidR="00272ADE">
        <w:rPr>
          <w:lang w:val="en-GB"/>
        </w:rPr>
        <w:t xml:space="preserve">on the same day of extraction for fresh weight, and then </w:t>
      </w:r>
      <w:r w:rsidR="007157CE">
        <w:rPr>
          <w:lang w:val="en-GB"/>
        </w:rPr>
        <w:t>stored. Samples where then dried in a</w:t>
      </w:r>
      <w:r w:rsidR="002E1E8C">
        <w:rPr>
          <w:lang w:val="en-GB"/>
        </w:rPr>
        <w:t xml:space="preserve">n air forced oven at 55ºC for 2 days. Dry weight was then measured, and the samples were then used to measure the volume using the </w:t>
      </w:r>
      <w:r w:rsidR="00C53EDA">
        <w:rPr>
          <w:lang w:val="en-GB"/>
        </w:rPr>
        <w:fldChar w:fldCharType="begin" w:fldLock="1"/>
      </w:r>
      <w:r w:rsidR="00EE3860">
        <w:rPr>
          <w:lang w:val="en-GB"/>
        </w:rPr>
        <w:instrText>ADDIN CSL_CITATION {"citationItems":[{"id":"ITEM-1","itemData":{"ISBN":"8750011588","abstract":"Serie No. 1-no. 18 udgivet: Kbh. : Akademisk Forlag, no. 19-no. 24 udgivet: Kbh. : DSR Forlag No. 3. The water displacement method -- / by P.O. Olesen / by Hans Roulund","author":[{"dropping-particle":"","family":"Olesen","given":"P. O.","non-dropping-particle":"","parse-names":false,"suffix":""},{"dropping-particle":"","family":"Roulund","given":"Hans","non-dropping-particle":"","parse-names":false,"suffix":""},{"dropping-particle":"","family":"Kongelige Veterinær- og Landbohøjskole. Arboretet","given":"","non-dropping-particle":"","parse-names":false,"suffix":""}],"id":"ITEM-1","issued":{"date-parts":[["1971"]]},"publisher":"Jordbrugsforlaget","title":"Forest tree improvement","type":"article-journal"},"uris":["http://www.mendeley.com/documents/?uuid=c3b5a6cc-8800-3529-85a9-d6165bd5896d"]}],"mendeley":{"formattedCitation":"(Olesen et al., 1971)","plainTextFormattedCitation":"(Olesen et al., 1971)","previouslyFormattedCitation":"(Olesen et al., 1971)"},"properties":{"noteIndex":0},"schema":"https://github.com/citation-style-language/schema/raw/master/csl-citation.json"}</w:instrText>
      </w:r>
      <w:r w:rsidR="00C53EDA">
        <w:rPr>
          <w:lang w:val="en-GB"/>
        </w:rPr>
        <w:fldChar w:fldCharType="separate"/>
      </w:r>
      <w:r w:rsidR="00C53EDA" w:rsidRPr="00C53EDA">
        <w:rPr>
          <w:noProof/>
          <w:lang w:val="en-GB"/>
        </w:rPr>
        <w:t>(Olesen et al., 1971)</w:t>
      </w:r>
      <w:r w:rsidR="00C53EDA">
        <w:rPr>
          <w:lang w:val="en-GB"/>
        </w:rPr>
        <w:fldChar w:fldCharType="end"/>
      </w:r>
      <w:r w:rsidR="00142D3C">
        <w:rPr>
          <w:lang w:val="en-GB"/>
        </w:rPr>
        <w:t xml:space="preserve">. The density of each sample was then </w:t>
      </w:r>
      <w:r w:rsidR="00F5294A">
        <w:rPr>
          <w:lang w:val="en-GB"/>
        </w:rPr>
        <w:t>obtained calculating Dry weight(g) / Volume (cm</w:t>
      </w:r>
      <w:r w:rsidR="00F5294A" w:rsidRPr="00F5294A">
        <w:rPr>
          <w:vertAlign w:val="superscript"/>
          <w:lang w:val="en-GB"/>
        </w:rPr>
        <w:t>3</w:t>
      </w:r>
      <w:r w:rsidR="00F5294A">
        <w:rPr>
          <w:lang w:val="en-GB"/>
        </w:rPr>
        <w:t>)</w:t>
      </w:r>
    </w:p>
    <w:p w14:paraId="058F6086" w14:textId="3BEF95A8" w:rsidR="002B05E7" w:rsidRDefault="002A3F54" w:rsidP="00CE35F4">
      <w:pPr>
        <w:pStyle w:val="Heading2"/>
        <w:rPr>
          <w:lang w:val="en-GB"/>
        </w:rPr>
      </w:pPr>
      <w:r>
        <w:rPr>
          <w:lang w:val="en-GB"/>
        </w:rPr>
        <w:t>Res</w:t>
      </w:r>
      <w:r w:rsidR="00E5590A">
        <w:rPr>
          <w:lang w:val="en-GB"/>
        </w:rPr>
        <w:t>piration measurements</w:t>
      </w:r>
      <w:r w:rsidR="00E5590A">
        <w:rPr>
          <w:lang w:val="en-GB"/>
        </w:rPr>
        <w:tab/>
      </w:r>
    </w:p>
    <w:p w14:paraId="7CE57CE8" w14:textId="15F412C5" w:rsidR="00242FB9" w:rsidRPr="002B05E7" w:rsidRDefault="00242FB9" w:rsidP="002B05E7">
      <w:pPr>
        <w:rPr>
          <w:lang w:val="en-GB"/>
        </w:rPr>
      </w:pPr>
      <w:r>
        <w:rPr>
          <w:lang w:val="en-GB"/>
        </w:rPr>
        <w:t xml:space="preserve">For all the respiration measurements, EGM-4 and EGM-5 </w:t>
      </w:r>
      <w:r w:rsidR="00C2761F">
        <w:rPr>
          <w:lang w:val="en-GB"/>
        </w:rPr>
        <w:t>portable CO</w:t>
      </w:r>
      <w:r w:rsidR="00C2761F" w:rsidRPr="00C2761F">
        <w:rPr>
          <w:vertAlign w:val="subscript"/>
          <w:lang w:val="en-GB"/>
        </w:rPr>
        <w:t>2</w:t>
      </w:r>
      <w:r w:rsidR="00C2761F">
        <w:rPr>
          <w:lang w:val="en-GB"/>
        </w:rPr>
        <w:t xml:space="preserve"> analysers</w:t>
      </w:r>
      <w:r w:rsidR="005C2075">
        <w:rPr>
          <w:lang w:val="en-GB"/>
        </w:rPr>
        <w:t xml:space="preserve"> where used (PP systems. Amesbury, U.S.A.)</w:t>
      </w:r>
    </w:p>
    <w:p w14:paraId="068578AF" w14:textId="783E70AF" w:rsidR="00874B25" w:rsidRDefault="002B05E7" w:rsidP="00E5590A">
      <w:pPr>
        <w:rPr>
          <w:lang w:val="en-GB"/>
        </w:rPr>
      </w:pPr>
      <w:r>
        <w:rPr>
          <w:lang w:val="en-GB"/>
        </w:rPr>
        <w:t>For 1 and 10 cm diameter samples, a</w:t>
      </w:r>
      <w:r w:rsidR="00874B25">
        <w:rPr>
          <w:lang w:val="en-GB"/>
        </w:rPr>
        <w:t xml:space="preserve">n air-tight chamber was constructed in order to </w:t>
      </w:r>
      <w:r w:rsidR="00992CFC">
        <w:rPr>
          <w:lang w:val="en-GB"/>
        </w:rPr>
        <w:t xml:space="preserve">insert the </w:t>
      </w:r>
      <w:r w:rsidR="00CD623B">
        <w:rPr>
          <w:lang w:val="en-GB"/>
        </w:rPr>
        <w:t xml:space="preserve">samples </w:t>
      </w:r>
      <w:r w:rsidR="00992CFC">
        <w:rPr>
          <w:lang w:val="en-GB"/>
        </w:rPr>
        <w:t xml:space="preserve">inside. </w:t>
      </w:r>
      <w:r w:rsidR="00CD623B">
        <w:rPr>
          <w:lang w:val="en-GB"/>
        </w:rPr>
        <w:t xml:space="preserve">Fans were constantly running to ensure the air homogeneity inside the chamber. </w:t>
      </w:r>
      <w:r w:rsidR="007E514A">
        <w:rPr>
          <w:lang w:val="en-GB"/>
        </w:rPr>
        <w:t xml:space="preserve">To reach a good detection of respiration, 1 cm samples were measured in pairs. Finally, </w:t>
      </w:r>
      <w:r w:rsidR="005C2075">
        <w:rPr>
          <w:lang w:val="en-GB"/>
        </w:rPr>
        <w:t>EGM-5 was used as standalone IRGA</w:t>
      </w:r>
      <w:r w:rsidR="007E514A">
        <w:rPr>
          <w:lang w:val="en-GB"/>
        </w:rPr>
        <w:t xml:space="preserve"> and a</w:t>
      </w:r>
      <w:r w:rsidR="00992CFC">
        <w:rPr>
          <w:lang w:val="en-GB"/>
        </w:rPr>
        <w:t>fter a 15 sec time for equilibration, a 60 second</w:t>
      </w:r>
      <w:r w:rsidR="00207E73">
        <w:rPr>
          <w:lang w:val="en-GB"/>
        </w:rPr>
        <w:t xml:space="preserve"> CO</w:t>
      </w:r>
      <w:r w:rsidR="00207E73" w:rsidRPr="00207E73">
        <w:rPr>
          <w:vertAlign w:val="subscript"/>
          <w:lang w:val="en-GB"/>
        </w:rPr>
        <w:t>2</w:t>
      </w:r>
      <w:r w:rsidR="00207E73">
        <w:rPr>
          <w:lang w:val="en-GB"/>
        </w:rPr>
        <w:t xml:space="preserve"> follow-up </w:t>
      </w:r>
      <w:r w:rsidR="00992CFC">
        <w:rPr>
          <w:lang w:val="en-GB"/>
        </w:rPr>
        <w:t xml:space="preserve">was </w:t>
      </w:r>
      <w:r w:rsidR="00207E73">
        <w:rPr>
          <w:lang w:val="en-GB"/>
        </w:rPr>
        <w:t>performed</w:t>
      </w:r>
      <w:r w:rsidR="00992CFC">
        <w:rPr>
          <w:lang w:val="en-GB"/>
        </w:rPr>
        <w:t xml:space="preserve">. </w:t>
      </w:r>
    </w:p>
    <w:p w14:paraId="0A43DEB0" w14:textId="6E031DDE" w:rsidR="00127FE2" w:rsidRDefault="00127FE2" w:rsidP="00E5590A">
      <w:pPr>
        <w:rPr>
          <w:lang w:val="en-GB"/>
        </w:rPr>
      </w:pPr>
      <w:r w:rsidRPr="00F9586E">
        <w:rPr>
          <w:lang w:val="en-GB"/>
        </w:rPr>
        <w:t>For 25cm diameter logs,</w:t>
      </w:r>
      <w:r w:rsidR="00CD623B">
        <w:rPr>
          <w:lang w:val="en-GB"/>
        </w:rPr>
        <w:t xml:space="preserve"> </w:t>
      </w:r>
      <w:r w:rsidR="00F9586E" w:rsidRPr="00F9586E">
        <w:rPr>
          <w:lang w:val="en-GB"/>
        </w:rPr>
        <w:t xml:space="preserve">5 x 5 cm </w:t>
      </w:r>
      <w:r w:rsidR="00CD623B">
        <w:rPr>
          <w:lang w:val="en-GB"/>
        </w:rPr>
        <w:t xml:space="preserve">PVC </w:t>
      </w:r>
      <w:r w:rsidR="00F9586E" w:rsidRPr="00F9586E">
        <w:rPr>
          <w:lang w:val="en-GB"/>
        </w:rPr>
        <w:t>tube sect</w:t>
      </w:r>
      <w:r w:rsidR="00F9586E">
        <w:rPr>
          <w:lang w:val="en-GB"/>
        </w:rPr>
        <w:t>ions were fixated to the logs, selecting a representative zone of the sample</w:t>
      </w:r>
      <w:r w:rsidR="00DC0938">
        <w:rPr>
          <w:lang w:val="en-GB"/>
        </w:rPr>
        <w:t xml:space="preserve">. </w:t>
      </w:r>
      <w:r w:rsidR="009658FE">
        <w:rPr>
          <w:lang w:val="en-GB"/>
        </w:rPr>
        <w:t>To measure the respiration, the SRC-1 soil respiration chamber was used</w:t>
      </w:r>
      <w:r w:rsidR="00CD623B">
        <w:rPr>
          <w:lang w:val="en-GB"/>
        </w:rPr>
        <w:t xml:space="preserve"> (PP systems. Amesbury, U.S.A.)</w:t>
      </w:r>
      <w:r w:rsidR="009658FE">
        <w:rPr>
          <w:lang w:val="en-GB"/>
        </w:rPr>
        <w:t xml:space="preserve">. After a 10 second flush and 10 second </w:t>
      </w:r>
      <w:r w:rsidR="00242FB9">
        <w:rPr>
          <w:lang w:val="en-GB"/>
        </w:rPr>
        <w:t>equilibration time, the CO</w:t>
      </w:r>
      <w:r w:rsidR="00242FB9" w:rsidRPr="001C6302">
        <w:rPr>
          <w:vertAlign w:val="subscript"/>
          <w:lang w:val="en-GB"/>
        </w:rPr>
        <w:t>2</w:t>
      </w:r>
      <w:r w:rsidR="00242FB9">
        <w:rPr>
          <w:lang w:val="en-GB"/>
        </w:rPr>
        <w:t xml:space="preserve"> was measured for 60 seconds.</w:t>
      </w:r>
    </w:p>
    <w:p w14:paraId="089DD0C7" w14:textId="732FB94D" w:rsidR="00CD623B" w:rsidRDefault="00CD623B" w:rsidP="00E5590A">
      <w:pPr>
        <w:rPr>
          <w:lang w:val="en-GB"/>
        </w:rPr>
      </w:pPr>
      <w:r>
        <w:rPr>
          <w:lang w:val="en-GB"/>
        </w:rPr>
        <w:t xml:space="preserve">The respiration rate was then calculated </w:t>
      </w:r>
      <w:r w:rsidR="00847D35">
        <w:rPr>
          <w:lang w:val="en-GB"/>
        </w:rPr>
        <w:t xml:space="preserve">by linear regression of the data in R using the lm function of the library </w:t>
      </w:r>
      <w:r w:rsidR="00847D35" w:rsidRPr="00CD623B">
        <w:rPr>
          <w:i/>
          <w:iCs/>
          <w:lang w:val="en-GB"/>
        </w:rPr>
        <w:t>ggplot2</w:t>
      </w:r>
      <w:r w:rsidR="00847D35">
        <w:rPr>
          <w:i/>
          <w:iCs/>
          <w:lang w:val="en-GB"/>
        </w:rPr>
        <w:t>.</w:t>
      </w:r>
      <w:r w:rsidR="00847D35">
        <w:rPr>
          <w:lang w:val="en-GB"/>
        </w:rPr>
        <w:t xml:space="preserve"> Any regression with an r</w:t>
      </w:r>
      <w:r w:rsidR="00847D35" w:rsidRPr="00847D35">
        <w:rPr>
          <w:vertAlign w:val="superscript"/>
          <w:lang w:val="en-GB"/>
        </w:rPr>
        <w:t>2</w:t>
      </w:r>
      <w:r w:rsidR="00847D35">
        <w:rPr>
          <w:lang w:val="en-GB"/>
        </w:rPr>
        <w:t xml:space="preserve"> </w:t>
      </w:r>
      <w:r w:rsidR="00740BB9">
        <w:rPr>
          <w:lang w:val="en-GB"/>
        </w:rPr>
        <w:t>&lt;</w:t>
      </w:r>
      <w:r w:rsidR="00847D35">
        <w:rPr>
          <w:lang w:val="en-GB"/>
        </w:rPr>
        <w:t xml:space="preserve"> 0.8 was manually revised and re-calculated. The regres</w:t>
      </w:r>
      <w:r w:rsidR="00740BB9">
        <w:rPr>
          <w:lang w:val="en-GB"/>
        </w:rPr>
        <w:t>s</w:t>
      </w:r>
      <w:r w:rsidR="00847D35">
        <w:rPr>
          <w:lang w:val="en-GB"/>
        </w:rPr>
        <w:t xml:space="preserve">ions that could not get corrected were discarded. The respiration was then calculated in terms of </w:t>
      </w:r>
      <w:r w:rsidR="00847D35">
        <w:rPr>
          <w:rFonts w:ascii="Times New Roman" w:hAnsi="Times New Roman" w:cs="Times New Roman"/>
          <w:lang w:val="en-GB"/>
        </w:rPr>
        <w:t>µ</w:t>
      </w:r>
      <w:r w:rsidR="00847D35">
        <w:rPr>
          <w:lang w:val="en-GB"/>
        </w:rPr>
        <w:t>M CO</w:t>
      </w:r>
      <w:r w:rsidR="00847D35" w:rsidRPr="00847D35">
        <w:rPr>
          <w:vertAlign w:val="subscript"/>
          <w:lang w:val="en-GB"/>
        </w:rPr>
        <w:t>2</w:t>
      </w:r>
      <w:r w:rsidR="00847D35">
        <w:rPr>
          <w:lang w:val="en-GB"/>
        </w:rPr>
        <w:t xml:space="preserve"> S</w:t>
      </w:r>
      <w:r w:rsidR="00847D35" w:rsidRPr="00847D35">
        <w:rPr>
          <w:vertAlign w:val="superscript"/>
          <w:lang w:val="en-GB"/>
        </w:rPr>
        <w:t>-1</w:t>
      </w:r>
      <w:r w:rsidR="00847D35">
        <w:rPr>
          <w:vertAlign w:val="superscript"/>
          <w:lang w:val="en-GB"/>
        </w:rPr>
        <w:t xml:space="preserve"> </w:t>
      </w:r>
      <w:r w:rsidR="00847D35">
        <w:rPr>
          <w:lang w:val="en-GB"/>
        </w:rPr>
        <w:t xml:space="preserve">using the formula  </w:t>
      </w:r>
      <m:oMath>
        <m:r>
          <w:rPr>
            <w:rFonts w:ascii="Cambria Math" w:hAnsi="Cambria Math"/>
            <w:lang w:val="en-GB"/>
          </w:rPr>
          <m:t>P*V=N*R*T</m:t>
        </m:r>
      </m:oMath>
      <w:r w:rsidR="00847D35">
        <w:rPr>
          <w:lang w:val="en-GB"/>
        </w:rPr>
        <w:t xml:space="preserve"> </w:t>
      </w:r>
      <w:r w:rsidR="00740BB9">
        <w:rPr>
          <w:lang w:val="en-GB"/>
        </w:rPr>
        <w:fldChar w:fldCharType="begin" w:fldLock="1"/>
      </w:r>
      <w:r w:rsidR="00863A5C">
        <w:rPr>
          <w:lang w:val="en-GB"/>
        </w:rPr>
        <w:instrText>ADDIN CSL_CITATION {"citationItems":[{"id":"ITEM-1","itemData":{"DOI":"10.1111/j.1365-2486.2007.01415.x","ISSN":"13541013","abstract":"This experiment was designed to study three determinant factors in decomposition patterns of soil organic matter (SOM): temperature, water and carbon (C) inputs. The study combined field measurements with soil lab incubations and ends with a modelling framework based on the results obtained. Soil respiration was periodically measured at an oak savanna woodland and a ponderosa pine plantation. Intact soils cores were collected at both ecosystems, including soils with most labile C burnt off, soils with some labile C gone and soils with fresh inputs of labile C. Two treatments, dry-field condition and field capacity, were applied to an incubation that lasted 111 days. Short-term temperature changes were applied to the soils periodically to quantify temperature responses. This was done to prevent confounding results associated with different pools of C that would result by exposing treatments chronically to different temperature regimes. This paper discusses the role of the above-defined environmental factors on the variability of soil C dynamics. At the seasonal scale, temperature and water were, respectively, the main limiting factors controlling soil CO2 efflux for the ponderosa pine and the oak savanna ecosystems. Spatial and seasonal variations in plant activity (root respiration and exudates production) exerted a strong influence over the seasonal and spatial variation of soil metabolic activity. Mean residence times of bulk SOM were significantly lower at the Nitrogen (N)-rich deciduous savanna than at the N-limited evergreen dominated pine ecosystem. At shorter time scales (daily), SOM decomposition was controlled primarily by temperature during wet periods and by the combined effect of water and temperature during dry periods. Secondary control was provided by the presence/absence of plant derived C inputs (exudation). Further analyses of SOM decomposition suggest that factors such as changes in the decomposer community, stress-induced changes in the metabolic activity of decomposers or SOM stabilization patterns remain unresolved, but should also be considered in future SOM decomposition studies. Observations and confounding factors associated with SOM decomposition patterns and its temperature sensitivity are summarized in the modeling framework. © 2007 Blackwell Publishing Ltd.","author":[{"dropping-particle":"","family":"Curiel Yuste","given":"J.","non-dropping-particle":"","parse-names":false,"suffix":""},{"dropping-particle":"","family":"Baldocchi","given":"D. D.","non-dropping-particle":"","parse-names":false,"suffix":""},{"dropping-particle":"","family":"Gershenson","given":"A.","non-dropping-particle":"","parse-names":false,"suffix":""},{"dropping-particle":"","family":"Goldstein","given":"A.","non-dropping-particle":"","parse-names":false,"suffix":""},{"dropping-particle":"","family":"Misson","given":"L.","non-dropping-particle":"","parse-names":false,"suffix":""},{"dropping-particle":"","family":"Wong","given":"S.","non-dropping-particle":"","parse-names":false,"suffix":""}],"container-title":"Global Change Biology","id":"ITEM-1","issue":"9","issued":{"date-parts":[["2007"]]},"page":"2018-2035","title":"Microbial soil respiration and its dependency on carbon inputs, soil temperature and moisture","type":"article-journal","volume":"13"},"uris":["http://www.mendeley.com/documents/?uuid=e01acf15-2cf6-40b7-ab33-b0ad9f14fe1a"]}],"mendeley":{"formattedCitation":"(Curiel Yuste et al., 2007)","plainTextFormattedCitation":"(Curiel Yuste et al., 2007)","previouslyFormattedCitation":"(Curiel Yuste et al., 2007)"},"properties":{"noteIndex":0},"schema":"https://github.com/citation-style-language/schema/raw/master/csl-citation.json"}</w:instrText>
      </w:r>
      <w:r w:rsidR="00740BB9">
        <w:rPr>
          <w:lang w:val="en-GB"/>
        </w:rPr>
        <w:fldChar w:fldCharType="separate"/>
      </w:r>
      <w:r w:rsidR="00740BB9" w:rsidRPr="00740BB9">
        <w:rPr>
          <w:noProof/>
          <w:lang w:val="en-GB"/>
        </w:rPr>
        <w:t>(Curiel Yuste et al., 2007)</w:t>
      </w:r>
      <w:r w:rsidR="00740BB9">
        <w:rPr>
          <w:lang w:val="en-GB"/>
        </w:rPr>
        <w:fldChar w:fldCharType="end"/>
      </w:r>
      <w:r>
        <w:rPr>
          <w:lang w:val="en-GB"/>
        </w:rPr>
        <w:t xml:space="preserve">. </w:t>
      </w:r>
      <w:r w:rsidR="001C6302">
        <w:rPr>
          <w:lang w:val="en-GB"/>
        </w:rPr>
        <w:t>Volume of the sample and density was then used to calculate a final gr CO</w:t>
      </w:r>
      <w:r w:rsidR="001C6302" w:rsidRPr="00847D35">
        <w:rPr>
          <w:vertAlign w:val="subscript"/>
          <w:lang w:val="en-GB"/>
        </w:rPr>
        <w:t>2</w:t>
      </w:r>
      <w:r w:rsidR="001C6302">
        <w:rPr>
          <w:lang w:val="en-GB"/>
        </w:rPr>
        <w:t xml:space="preserve"> Kg DW</w:t>
      </w:r>
      <w:r w:rsidR="001C6302" w:rsidRPr="001C6302">
        <w:rPr>
          <w:vertAlign w:val="superscript"/>
          <w:lang w:val="en-GB"/>
        </w:rPr>
        <w:t>-1</w:t>
      </w:r>
      <w:r w:rsidR="001C6302">
        <w:rPr>
          <w:lang w:val="en-GB"/>
        </w:rPr>
        <w:t xml:space="preserve"> Year </w:t>
      </w:r>
      <w:r w:rsidR="001C6302" w:rsidRPr="001C6302">
        <w:rPr>
          <w:vertAlign w:val="superscript"/>
          <w:lang w:val="en-GB"/>
        </w:rPr>
        <w:t>-1</w:t>
      </w:r>
      <w:r w:rsidR="001C6302">
        <w:rPr>
          <w:lang w:val="en-GB"/>
        </w:rPr>
        <w:t>.</w:t>
      </w:r>
    </w:p>
    <w:p w14:paraId="782FE072" w14:textId="77777777" w:rsidR="00863A5C" w:rsidRDefault="00863A5C">
      <w:pPr>
        <w:rPr>
          <w:lang w:val="en-GB"/>
        </w:rPr>
      </w:pPr>
      <w:r>
        <w:rPr>
          <w:lang w:val="en-GB"/>
        </w:rPr>
        <w:br w:type="page"/>
      </w:r>
    </w:p>
    <w:p w14:paraId="3C90F427" w14:textId="7BD4822E" w:rsidR="001C6302" w:rsidRDefault="001C6302" w:rsidP="00E5590A">
      <w:pPr>
        <w:rPr>
          <w:lang w:val="en-GB"/>
        </w:rPr>
      </w:pPr>
      <w:r>
        <w:rPr>
          <w:lang w:val="en-GB"/>
        </w:rPr>
        <w:lastRenderedPageBreak/>
        <w:t>In addition, we used the respiration rates obtained with the temperatures to assess the relative increase in wood decomposition with temperature. Q</w:t>
      </w:r>
      <w:r w:rsidRPr="001C6302">
        <w:rPr>
          <w:vertAlign w:val="subscript"/>
          <w:lang w:val="en-GB"/>
        </w:rPr>
        <w:t>10</w:t>
      </w:r>
      <w:r>
        <w:rPr>
          <w:vertAlign w:val="subscript"/>
          <w:lang w:val="en-GB"/>
        </w:rPr>
        <w:t xml:space="preserve"> </w:t>
      </w:r>
      <w:r>
        <w:rPr>
          <w:lang w:val="en-GB"/>
        </w:rPr>
        <w:t xml:space="preserve">calculates the relative increase in respiration rate per 10 </w:t>
      </w:r>
      <w:r>
        <w:rPr>
          <w:rFonts w:ascii="Times New Roman" w:hAnsi="Times New Roman" w:cs="Times New Roman"/>
          <w:lang w:val="en-GB"/>
        </w:rPr>
        <w:t>º</w:t>
      </w:r>
      <w:r>
        <w:rPr>
          <w:lang w:val="en-GB"/>
        </w:rPr>
        <w:t>C difference</w:t>
      </w:r>
      <w:r w:rsidR="00863A5C">
        <w:rPr>
          <w:lang w:val="en-GB"/>
        </w:rPr>
        <w:t xml:space="preserve"> </w:t>
      </w:r>
      <w:r w:rsidR="00863A5C">
        <w:rPr>
          <w:lang w:val="en-GB"/>
        </w:rPr>
        <w:fldChar w:fldCharType="begin" w:fldLock="1"/>
      </w:r>
      <w:r w:rsidR="00B6480F">
        <w:rPr>
          <w:lang w:val="en-GB"/>
        </w:rPr>
        <w:instrText>ADDIN CSL_CITATION {"citationItems":[{"id":"ITEM-1","itemData":{"DOI":"10.1111/j.1365-2486.2007.01415.x","ISSN":"13541013","abstract":"This experiment was designed to study three determinant factors in decomposition patterns of soil organic matter (SOM): temperature, water and carbon (C) inputs. The study combined field measurements with soil lab incubations and ends with a modelling framework based on the results obtained. Soil respiration was periodically measured at an oak savanna woodland and a ponderosa pine plantation. Intact soils cores were collected at both ecosystems, including soils with most labile C burnt off, soils with some labile C gone and soils with fresh inputs of labile C. Two treatments, dry-field condition and field capacity, were applied to an incubation that lasted 111 days. Short-term temperature changes were applied to the soils periodically to quantify temperature responses. This was done to prevent confounding results associated with different pools of C that would result by exposing treatments chronically to different temperature regimes. This paper discusses the role of the above-defined environmental factors on the variability of soil C dynamics. At the seasonal scale, temperature and water were, respectively, the main limiting factors controlling soil CO2 efflux for the ponderosa pine and the oak savanna ecosystems. Spatial and seasonal variations in plant activity (root respiration and exudates production) exerted a strong influence over the seasonal and spatial variation of soil metabolic activity. Mean residence times of bulk SOM were significantly lower at the Nitrogen (N)-rich deciduous savanna than at the N-limited evergreen dominated pine ecosystem. At shorter time scales (daily), SOM decomposition was controlled primarily by temperature during wet periods and by the combined effect of water and temperature during dry periods. Secondary control was provided by the presence/absence of plant derived C inputs (exudation). Further analyses of SOM decomposition suggest that factors such as changes in the decomposer community, stress-induced changes in the metabolic activity of decomposers or SOM stabilization patterns remain unresolved, but should also be considered in future SOM decomposition studies. Observations and confounding factors associated with SOM decomposition patterns and its temperature sensitivity are summarized in the modeling framework. © 2007 Blackwell Publishing Ltd.","author":[{"dropping-particle":"","family":"Curiel Yuste","given":"J.","non-dropping-particle":"","parse-names":false,"suffix":""},{"dropping-particle":"","family":"Baldocchi","given":"D. D.","non-dropping-particle":"","parse-names":false,"suffix":""},{"dropping-particle":"","family":"Gershenson","given":"A.","non-dropping-particle":"","parse-names":false,"suffix":""},{"dropping-particle":"","family":"Goldstein","given":"A.","non-dropping-particle":"","parse-names":false,"suffix":""},{"dropping-particle":"","family":"Misson","given":"L.","non-dropping-particle":"","parse-names":false,"suffix":""},{"dropping-particle":"","family":"Wong","given":"S.","non-dropping-particle":"","parse-names":false,"suffix":""}],"container-title":"Global Change Biology","id":"ITEM-1","issue":"9","issued":{"date-parts":[["2007"]]},"page":"2018-2035","title":"Microbial soil respiration and its dependency on carbon inputs, soil temperature and moisture","type":"article-journal","volume":"13"},"uris":["http://www.mendeley.com/documents/?uuid=e01acf15-2cf6-40b7-ab33-b0ad9f14fe1a"]}],"mendeley":{"formattedCitation":"(Curiel Yuste et al., 2007)","plainTextFormattedCitation":"(Curiel Yuste et al., 2007)","previouslyFormattedCitation":"(Curiel Yuste et al., 2007)"},"properties":{"noteIndex":0},"schema":"https://github.com/citation-style-language/schema/raw/master/csl-citation.json"}</w:instrText>
      </w:r>
      <w:r w:rsidR="00863A5C">
        <w:rPr>
          <w:lang w:val="en-GB"/>
        </w:rPr>
        <w:fldChar w:fldCharType="separate"/>
      </w:r>
      <w:r w:rsidR="00863A5C" w:rsidRPr="00863A5C">
        <w:rPr>
          <w:noProof/>
          <w:lang w:val="en-GB"/>
        </w:rPr>
        <w:t>(Curiel Yuste et al., 2007)</w:t>
      </w:r>
      <w:r w:rsidR="00863A5C">
        <w:rPr>
          <w:lang w:val="en-GB"/>
        </w:rPr>
        <w:fldChar w:fldCharType="end"/>
      </w:r>
      <w:r>
        <w:rPr>
          <w:lang w:val="en-GB"/>
        </w:rPr>
        <w:t xml:space="preserve">. </w:t>
      </w:r>
    </w:p>
    <w:p w14:paraId="187A26C6" w14:textId="3401BEBC" w:rsidR="00863A5C" w:rsidRPr="00863A5C" w:rsidRDefault="00E541E3" w:rsidP="00E5590A">
      <w:pPr>
        <w:rPr>
          <w:rFonts w:eastAsiaTheme="minorEastAsia"/>
          <w:lang w:val="en-GB"/>
        </w:rPr>
      </w:pPr>
      <m:oMathPara>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10</m:t>
              </m:r>
            </m:sub>
          </m:sSub>
          <m:r>
            <w:rPr>
              <w:rFonts w:ascii="Cambria Math" w:hAnsi="Cambria Math"/>
              <w:lang w:val="en-GB"/>
            </w:rPr>
            <m:t xml:space="preserve">= </m:t>
          </m:r>
          <m:sSup>
            <m:sSupPr>
              <m:ctrlPr>
                <w:rPr>
                  <w:rFonts w:ascii="Cambria Math" w:hAnsi="Cambria Math"/>
                  <w:i/>
                  <w:lang w:val="en-GB"/>
                </w:rPr>
              </m:ctrlPr>
            </m:sSupPr>
            <m:e>
              <m:d>
                <m:dPr>
                  <m:ctrlPr>
                    <w:rPr>
                      <w:rFonts w:ascii="Cambria Math" w:hAnsi="Cambria Math"/>
                      <w:i/>
                      <w:lang w:val="en-GB"/>
                    </w:rPr>
                  </m:ctrlPr>
                </m:dPr>
                <m:e>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2</m:t>
                          </m:r>
                        </m:sub>
                      </m:sSub>
                    </m:num>
                    <m:den>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1</m:t>
                          </m:r>
                        </m:sub>
                      </m:sSub>
                    </m:den>
                  </m:f>
                </m:e>
              </m:d>
            </m:e>
            <m:sup>
              <m:d>
                <m:dPr>
                  <m:ctrlPr>
                    <w:rPr>
                      <w:rFonts w:ascii="Cambria Math" w:hAnsi="Cambria Math"/>
                      <w:i/>
                      <w:lang w:val="en-GB"/>
                    </w:rPr>
                  </m:ctrlPr>
                </m:dPr>
                <m:e>
                  <m:f>
                    <m:fPr>
                      <m:type m:val="skw"/>
                      <m:ctrlPr>
                        <w:rPr>
                          <w:rFonts w:ascii="Cambria Math" w:hAnsi="Cambria Math"/>
                          <w:i/>
                          <w:lang w:val="en-GB"/>
                        </w:rPr>
                      </m:ctrlPr>
                    </m:fPr>
                    <m:num>
                      <m:r>
                        <w:rPr>
                          <w:rFonts w:ascii="Cambria Math" w:hAnsi="Cambria Math"/>
                          <w:lang w:val="en-GB"/>
                        </w:rPr>
                        <m:t>10</m:t>
                      </m:r>
                    </m:num>
                    <m:den>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2</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1</m:t>
                          </m:r>
                        </m:sub>
                      </m:sSub>
                    </m:den>
                  </m:f>
                </m:e>
              </m:d>
            </m:sup>
          </m:sSup>
        </m:oMath>
      </m:oMathPara>
    </w:p>
    <w:p w14:paraId="41FF0791" w14:textId="5D029B56" w:rsidR="00863A5C" w:rsidRDefault="00863A5C" w:rsidP="00E5590A">
      <w:pPr>
        <w:rPr>
          <w:rFonts w:eastAsiaTheme="minorEastAsia"/>
          <w:lang w:val="en-GB"/>
        </w:rPr>
      </w:pPr>
      <w:r>
        <w:rPr>
          <w:rFonts w:eastAsiaTheme="minorEastAsia"/>
          <w:lang w:val="en-GB"/>
        </w:rPr>
        <w:t xml:space="preserve">Where T1 is the temperature at which respiration R1 was measured and T2 is the temperature at which respiration R2 was measured. </w:t>
      </w:r>
    </w:p>
    <w:p w14:paraId="480E2196" w14:textId="612B4E2F" w:rsidR="00F76ABB" w:rsidRDefault="00F76ABB" w:rsidP="00E5590A">
      <w:pPr>
        <w:rPr>
          <w:rFonts w:eastAsiaTheme="minorEastAsia"/>
          <w:lang w:val="en-GB"/>
        </w:rPr>
      </w:pPr>
    </w:p>
    <w:p w14:paraId="556340FB" w14:textId="13B38109" w:rsidR="00F76ABB" w:rsidRDefault="002F26E4" w:rsidP="002F26E4">
      <w:pPr>
        <w:pStyle w:val="Heading2"/>
        <w:rPr>
          <w:rFonts w:eastAsiaTheme="minorEastAsia"/>
          <w:lang w:val="en-GB"/>
        </w:rPr>
      </w:pPr>
      <w:r>
        <w:rPr>
          <w:rFonts w:eastAsiaTheme="minorEastAsia"/>
          <w:lang w:val="en-GB"/>
        </w:rPr>
        <w:t>Temperature and humidity registr</w:t>
      </w:r>
      <w:r w:rsidR="003917CA">
        <w:rPr>
          <w:rFonts w:eastAsiaTheme="minorEastAsia"/>
          <w:lang w:val="en-GB"/>
        </w:rPr>
        <w:t>y</w:t>
      </w:r>
    </w:p>
    <w:p w14:paraId="26985C9C" w14:textId="753FE742" w:rsidR="002F26E4" w:rsidRDefault="003917CA" w:rsidP="002F26E4">
      <w:pPr>
        <w:rPr>
          <w:lang w:val="en-GB"/>
        </w:rPr>
      </w:pPr>
      <w:r>
        <w:rPr>
          <w:lang w:val="en-GB"/>
        </w:rPr>
        <w:t>One subplot for each plot was selected and t</w:t>
      </w:r>
      <w:r w:rsidR="00172415">
        <w:rPr>
          <w:lang w:val="en-GB"/>
        </w:rPr>
        <w:t xml:space="preserve">emperature and humidity </w:t>
      </w:r>
      <w:r>
        <w:rPr>
          <w:lang w:val="en-GB"/>
        </w:rPr>
        <w:t xml:space="preserve">were recorded </w:t>
      </w:r>
      <w:r w:rsidR="00172415">
        <w:rPr>
          <w:lang w:val="en-GB"/>
        </w:rPr>
        <w:t xml:space="preserve">5 cm </w:t>
      </w:r>
      <w:r>
        <w:rPr>
          <w:lang w:val="en-GB"/>
        </w:rPr>
        <w:t xml:space="preserve">deep </w:t>
      </w:r>
      <w:r w:rsidR="00172415">
        <w:rPr>
          <w:lang w:val="en-GB"/>
        </w:rPr>
        <w:t xml:space="preserve">inside the 25cm </w:t>
      </w:r>
      <w:r>
        <w:rPr>
          <w:lang w:val="en-GB"/>
        </w:rPr>
        <w:t xml:space="preserve">samples. Both temperature and humidity </w:t>
      </w:r>
      <w:r w:rsidR="00172415">
        <w:rPr>
          <w:lang w:val="en-GB"/>
        </w:rPr>
        <w:t xml:space="preserve"> were recorded by Teros 11 (Metergroup Washington. USA)</w:t>
      </w:r>
      <w:r>
        <w:rPr>
          <w:lang w:val="en-GB"/>
        </w:rPr>
        <w:t>. A reding was saved each 15 minutes.</w:t>
      </w:r>
    </w:p>
    <w:p w14:paraId="2CB081CD" w14:textId="30DCC7B7" w:rsidR="003917CA" w:rsidRDefault="00172415" w:rsidP="002F26E4">
      <w:pPr>
        <w:rPr>
          <w:lang w:val="en-GB"/>
        </w:rPr>
      </w:pPr>
      <w:r>
        <w:rPr>
          <w:lang w:val="en-GB"/>
        </w:rPr>
        <w:t xml:space="preserve">TMS-4 (TOMST, Praha. Czech Republic) </w:t>
      </w:r>
      <w:r w:rsidR="003917CA">
        <w:rPr>
          <w:lang w:val="en-GB"/>
        </w:rPr>
        <w:t>were installed in each subplot. Each device registered temperature 10 cm up in the air, at ground level and 10 cm deep into the ground, where also humidity was recorded each 15 minutes.</w:t>
      </w:r>
    </w:p>
    <w:p w14:paraId="17D87F98" w14:textId="460AF046" w:rsidR="00172415" w:rsidRPr="002F26E4" w:rsidRDefault="003917CA" w:rsidP="002F26E4">
      <w:pPr>
        <w:rPr>
          <w:lang w:val="en-GB"/>
        </w:rPr>
      </w:pPr>
      <w:r>
        <w:rPr>
          <w:lang w:val="en-GB"/>
        </w:rPr>
        <w:t xml:space="preserve"> </w:t>
      </w:r>
    </w:p>
    <w:p w14:paraId="6E7BEE6B" w14:textId="2376831F" w:rsidR="00863A5C" w:rsidRDefault="00863A5C" w:rsidP="00E5590A">
      <w:pPr>
        <w:rPr>
          <w:rFonts w:eastAsiaTheme="minorEastAsia"/>
          <w:lang w:val="en-GB"/>
        </w:rPr>
      </w:pPr>
    </w:p>
    <w:p w14:paraId="149106AB" w14:textId="77777777" w:rsidR="00863A5C" w:rsidRPr="001C6302" w:rsidRDefault="00863A5C" w:rsidP="00E5590A">
      <w:pPr>
        <w:rPr>
          <w:lang w:val="en-GB"/>
        </w:rPr>
      </w:pPr>
    </w:p>
    <w:p w14:paraId="03F40562" w14:textId="23849CE1" w:rsidR="00B6480F" w:rsidRPr="00800BAE" w:rsidRDefault="00EE3860" w:rsidP="00B6480F">
      <w:pPr>
        <w:widowControl w:val="0"/>
        <w:autoSpaceDE w:val="0"/>
        <w:autoSpaceDN w:val="0"/>
        <w:adjustRightInd w:val="0"/>
        <w:spacing w:line="240" w:lineRule="auto"/>
        <w:ind w:left="480" w:hanging="480"/>
        <w:rPr>
          <w:rFonts w:ascii="Calibri" w:hAnsi="Calibri" w:cs="Calibri"/>
          <w:noProof/>
          <w:szCs w:val="24"/>
          <w:lang w:val="en-GB"/>
        </w:rPr>
      </w:pPr>
      <w:r>
        <w:rPr>
          <w:lang w:val="en-GB"/>
        </w:rPr>
        <w:br w:type="page"/>
      </w:r>
      <w:r>
        <w:rPr>
          <w:lang w:val="en-GB"/>
        </w:rPr>
        <w:lastRenderedPageBreak/>
        <w:fldChar w:fldCharType="begin" w:fldLock="1"/>
      </w:r>
      <w:r>
        <w:rPr>
          <w:lang w:val="en-GB"/>
        </w:rPr>
        <w:instrText xml:space="preserve">ADDIN Mendeley Bibliography CSL_BIBLIOGRAPHY </w:instrText>
      </w:r>
      <w:r>
        <w:rPr>
          <w:lang w:val="en-GB"/>
        </w:rPr>
        <w:fldChar w:fldCharType="separate"/>
      </w:r>
      <w:r w:rsidR="00B6480F" w:rsidRPr="00800BAE">
        <w:rPr>
          <w:rFonts w:ascii="Calibri" w:hAnsi="Calibri" w:cs="Calibri"/>
          <w:noProof/>
          <w:szCs w:val="24"/>
          <w:lang w:val="en-GB"/>
        </w:rPr>
        <w:t xml:space="preserve">Christensen, M., Hahn, K., Mountford, E. P., Ódor, P., Standovár, T., Rozenbergar, D., Diaci, J., Wijdeven, S., Meyer, P., Winter, S., &amp; Vrska, T. (2005). Dead wood in European beech (Fagus sylvatica) forest reserves. </w:t>
      </w:r>
      <w:r w:rsidR="00B6480F" w:rsidRPr="00800BAE">
        <w:rPr>
          <w:rFonts w:ascii="Calibri" w:hAnsi="Calibri" w:cs="Calibri"/>
          <w:i/>
          <w:iCs/>
          <w:noProof/>
          <w:szCs w:val="24"/>
          <w:lang w:val="en-GB"/>
        </w:rPr>
        <w:t>Forest Ecology and Management</w:t>
      </w:r>
      <w:r w:rsidR="00B6480F" w:rsidRPr="00800BAE">
        <w:rPr>
          <w:rFonts w:ascii="Calibri" w:hAnsi="Calibri" w:cs="Calibri"/>
          <w:noProof/>
          <w:szCs w:val="24"/>
          <w:lang w:val="en-GB"/>
        </w:rPr>
        <w:t xml:space="preserve">, </w:t>
      </w:r>
      <w:r w:rsidR="00B6480F" w:rsidRPr="00800BAE">
        <w:rPr>
          <w:rFonts w:ascii="Calibri" w:hAnsi="Calibri" w:cs="Calibri"/>
          <w:i/>
          <w:iCs/>
          <w:noProof/>
          <w:szCs w:val="24"/>
          <w:lang w:val="en-GB"/>
        </w:rPr>
        <w:t>210</w:t>
      </w:r>
      <w:r w:rsidR="00B6480F" w:rsidRPr="00800BAE">
        <w:rPr>
          <w:rFonts w:ascii="Calibri" w:hAnsi="Calibri" w:cs="Calibri"/>
          <w:noProof/>
          <w:szCs w:val="24"/>
          <w:lang w:val="en-GB"/>
        </w:rPr>
        <w:t>(1–3), 267–282. https://doi.org/10.1016/J.FORECO.2005.02.032</w:t>
      </w:r>
    </w:p>
    <w:p w14:paraId="437F4071" w14:textId="77777777" w:rsidR="00B6480F" w:rsidRPr="00800BAE" w:rsidRDefault="00B6480F" w:rsidP="00B6480F">
      <w:pPr>
        <w:widowControl w:val="0"/>
        <w:autoSpaceDE w:val="0"/>
        <w:autoSpaceDN w:val="0"/>
        <w:adjustRightInd w:val="0"/>
        <w:spacing w:line="240" w:lineRule="auto"/>
        <w:ind w:left="480" w:hanging="480"/>
        <w:rPr>
          <w:rFonts w:ascii="Calibri" w:hAnsi="Calibri" w:cs="Calibri"/>
          <w:noProof/>
          <w:szCs w:val="24"/>
          <w:lang w:val="en-GB"/>
        </w:rPr>
      </w:pPr>
      <w:r w:rsidRPr="00800BAE">
        <w:rPr>
          <w:rFonts w:ascii="Calibri" w:hAnsi="Calibri" w:cs="Calibri"/>
          <w:noProof/>
          <w:szCs w:val="24"/>
          <w:lang w:val="en-GB"/>
        </w:rPr>
        <w:t xml:space="preserve">Commarmot, B., Brändli, U.-B., Hamor, F., &amp; Lavnyy, V. (2014). Inventory of the largest primeval beech forest in Europe: a Swiss-Ukrainian scientific adventure. In </w:t>
      </w:r>
      <w:r w:rsidRPr="00800BAE">
        <w:rPr>
          <w:rFonts w:ascii="Calibri" w:hAnsi="Calibri" w:cs="Calibri"/>
          <w:i/>
          <w:iCs/>
          <w:noProof/>
          <w:szCs w:val="24"/>
          <w:lang w:val="en-GB"/>
        </w:rPr>
        <w:t>Australian Forestry</w:t>
      </w:r>
      <w:r w:rsidRPr="00800BAE">
        <w:rPr>
          <w:rFonts w:ascii="Calibri" w:hAnsi="Calibri" w:cs="Calibri"/>
          <w:noProof/>
          <w:szCs w:val="24"/>
          <w:lang w:val="en-GB"/>
        </w:rPr>
        <w:t xml:space="preserve"> (Vol. 77, Issues 3–4). https://doi.org/10.1080/00049158.2014.949400</w:t>
      </w:r>
    </w:p>
    <w:p w14:paraId="03D7FF9A" w14:textId="77777777" w:rsidR="00B6480F" w:rsidRPr="00800BAE" w:rsidRDefault="00B6480F" w:rsidP="00B6480F">
      <w:pPr>
        <w:widowControl w:val="0"/>
        <w:autoSpaceDE w:val="0"/>
        <w:autoSpaceDN w:val="0"/>
        <w:adjustRightInd w:val="0"/>
        <w:spacing w:line="240" w:lineRule="auto"/>
        <w:ind w:left="480" w:hanging="480"/>
        <w:rPr>
          <w:rFonts w:ascii="Calibri" w:hAnsi="Calibri" w:cs="Calibri"/>
          <w:noProof/>
          <w:szCs w:val="24"/>
          <w:lang w:val="en-GB"/>
        </w:rPr>
      </w:pPr>
      <w:r w:rsidRPr="00800BAE">
        <w:rPr>
          <w:rFonts w:ascii="Calibri" w:hAnsi="Calibri" w:cs="Calibri"/>
          <w:noProof/>
          <w:szCs w:val="24"/>
          <w:lang w:val="en-GB"/>
        </w:rPr>
        <w:t xml:space="preserve">Curiel Yuste, J., Baldocchi, D. D., Gershenson, A., Goldstein, A., Misson, L., &amp; Wong, S. (2007). Microbial soil respiration and its dependency on carbon inputs, soil temperature and moisture. </w:t>
      </w:r>
      <w:r w:rsidRPr="00800BAE">
        <w:rPr>
          <w:rFonts w:ascii="Calibri" w:hAnsi="Calibri" w:cs="Calibri"/>
          <w:i/>
          <w:iCs/>
          <w:noProof/>
          <w:szCs w:val="24"/>
          <w:lang w:val="en-GB"/>
        </w:rPr>
        <w:t>Global Change Biology</w:t>
      </w:r>
      <w:r w:rsidRPr="00800BAE">
        <w:rPr>
          <w:rFonts w:ascii="Calibri" w:hAnsi="Calibri" w:cs="Calibri"/>
          <w:noProof/>
          <w:szCs w:val="24"/>
          <w:lang w:val="en-GB"/>
        </w:rPr>
        <w:t xml:space="preserve">, </w:t>
      </w:r>
      <w:r w:rsidRPr="00800BAE">
        <w:rPr>
          <w:rFonts w:ascii="Calibri" w:hAnsi="Calibri" w:cs="Calibri"/>
          <w:i/>
          <w:iCs/>
          <w:noProof/>
          <w:szCs w:val="24"/>
          <w:lang w:val="en-GB"/>
        </w:rPr>
        <w:t>13</w:t>
      </w:r>
      <w:r w:rsidRPr="00800BAE">
        <w:rPr>
          <w:rFonts w:ascii="Calibri" w:hAnsi="Calibri" w:cs="Calibri"/>
          <w:noProof/>
          <w:szCs w:val="24"/>
          <w:lang w:val="en-GB"/>
        </w:rPr>
        <w:t>(9), 2018–2035. https://doi.org/10.1111/j.1365-2486.2007.01415.x</w:t>
      </w:r>
    </w:p>
    <w:p w14:paraId="1075748A" w14:textId="77777777" w:rsidR="00B6480F" w:rsidRPr="00800BAE" w:rsidRDefault="00B6480F" w:rsidP="00B6480F">
      <w:pPr>
        <w:widowControl w:val="0"/>
        <w:autoSpaceDE w:val="0"/>
        <w:autoSpaceDN w:val="0"/>
        <w:adjustRightInd w:val="0"/>
        <w:spacing w:line="240" w:lineRule="auto"/>
        <w:ind w:left="480" w:hanging="480"/>
        <w:rPr>
          <w:rFonts w:ascii="Calibri" w:hAnsi="Calibri" w:cs="Calibri"/>
          <w:noProof/>
          <w:szCs w:val="24"/>
          <w:lang w:val="en-GB"/>
        </w:rPr>
      </w:pPr>
      <w:r w:rsidRPr="00800BAE">
        <w:rPr>
          <w:rFonts w:ascii="Calibri" w:hAnsi="Calibri" w:cs="Calibri"/>
          <w:noProof/>
          <w:szCs w:val="24"/>
          <w:lang w:val="en-GB"/>
        </w:rPr>
        <w:t xml:space="preserve">Grove, S., &amp; Meggs, J. (2003). Coarse woody debris, biodiversity and management: A review with particular reference to Tasmanian wet eucalypt forests. </w:t>
      </w:r>
      <w:r w:rsidRPr="00800BAE">
        <w:rPr>
          <w:rFonts w:ascii="Calibri" w:hAnsi="Calibri" w:cs="Calibri"/>
          <w:i/>
          <w:iCs/>
          <w:noProof/>
          <w:szCs w:val="24"/>
          <w:lang w:val="en-GB"/>
        </w:rPr>
        <w:t>Australian Forestry</w:t>
      </w:r>
      <w:r w:rsidRPr="00800BAE">
        <w:rPr>
          <w:rFonts w:ascii="Calibri" w:hAnsi="Calibri" w:cs="Calibri"/>
          <w:noProof/>
          <w:szCs w:val="24"/>
          <w:lang w:val="en-GB"/>
        </w:rPr>
        <w:t xml:space="preserve">, </w:t>
      </w:r>
      <w:r w:rsidRPr="00800BAE">
        <w:rPr>
          <w:rFonts w:ascii="Calibri" w:hAnsi="Calibri" w:cs="Calibri"/>
          <w:i/>
          <w:iCs/>
          <w:noProof/>
          <w:szCs w:val="24"/>
          <w:lang w:val="en-GB"/>
        </w:rPr>
        <w:t>66</w:t>
      </w:r>
      <w:r w:rsidRPr="00800BAE">
        <w:rPr>
          <w:rFonts w:ascii="Calibri" w:hAnsi="Calibri" w:cs="Calibri"/>
          <w:noProof/>
          <w:szCs w:val="24"/>
          <w:lang w:val="en-GB"/>
        </w:rPr>
        <w:t>(4), 258–272. https://doi.org/10.1080/00049158.2003.10674920</w:t>
      </w:r>
    </w:p>
    <w:p w14:paraId="05049173" w14:textId="77777777" w:rsidR="00B6480F" w:rsidRPr="00800BAE" w:rsidRDefault="00B6480F" w:rsidP="00B6480F">
      <w:pPr>
        <w:widowControl w:val="0"/>
        <w:autoSpaceDE w:val="0"/>
        <w:autoSpaceDN w:val="0"/>
        <w:adjustRightInd w:val="0"/>
        <w:spacing w:line="240" w:lineRule="auto"/>
        <w:ind w:left="480" w:hanging="480"/>
        <w:rPr>
          <w:rFonts w:ascii="Calibri" w:hAnsi="Calibri" w:cs="Calibri"/>
          <w:noProof/>
          <w:szCs w:val="24"/>
          <w:lang w:val="en-GB"/>
        </w:rPr>
      </w:pPr>
      <w:r w:rsidRPr="00800BAE">
        <w:rPr>
          <w:rFonts w:ascii="Calibri" w:hAnsi="Calibri" w:cs="Calibri"/>
          <w:noProof/>
          <w:szCs w:val="24"/>
          <w:lang w:val="en-GB"/>
        </w:rPr>
        <w:t xml:space="preserve">Hu, Z., Michaletz, S. T., Johnson, D. J., McDowell, N. G., Huang, Z., Zhou, X., &amp; Xu, C. (2018). Traits drive global wood decomposition rates more than climate. </w:t>
      </w:r>
      <w:r w:rsidRPr="00800BAE">
        <w:rPr>
          <w:rFonts w:ascii="Calibri" w:hAnsi="Calibri" w:cs="Calibri"/>
          <w:i/>
          <w:iCs/>
          <w:noProof/>
          <w:szCs w:val="24"/>
          <w:lang w:val="en-GB"/>
        </w:rPr>
        <w:t>Global Change Biology</w:t>
      </w:r>
      <w:r w:rsidRPr="00800BAE">
        <w:rPr>
          <w:rFonts w:ascii="Calibri" w:hAnsi="Calibri" w:cs="Calibri"/>
          <w:noProof/>
          <w:szCs w:val="24"/>
          <w:lang w:val="en-GB"/>
        </w:rPr>
        <w:t xml:space="preserve">, </w:t>
      </w:r>
      <w:r w:rsidRPr="00800BAE">
        <w:rPr>
          <w:rFonts w:ascii="Calibri" w:hAnsi="Calibri" w:cs="Calibri"/>
          <w:i/>
          <w:iCs/>
          <w:noProof/>
          <w:szCs w:val="24"/>
          <w:lang w:val="en-GB"/>
        </w:rPr>
        <w:t>24</w:t>
      </w:r>
      <w:r w:rsidRPr="00800BAE">
        <w:rPr>
          <w:rFonts w:ascii="Calibri" w:hAnsi="Calibri" w:cs="Calibri"/>
          <w:noProof/>
          <w:szCs w:val="24"/>
          <w:lang w:val="en-GB"/>
        </w:rPr>
        <w:t>(11), 5259–5269. https://doi.org/10.1111/gcb.14357</w:t>
      </w:r>
    </w:p>
    <w:p w14:paraId="1B4CAEEA" w14:textId="77777777" w:rsidR="00B6480F" w:rsidRPr="00800BAE" w:rsidRDefault="00B6480F" w:rsidP="00B6480F">
      <w:pPr>
        <w:widowControl w:val="0"/>
        <w:autoSpaceDE w:val="0"/>
        <w:autoSpaceDN w:val="0"/>
        <w:adjustRightInd w:val="0"/>
        <w:spacing w:line="240" w:lineRule="auto"/>
        <w:ind w:left="480" w:hanging="480"/>
        <w:rPr>
          <w:rFonts w:ascii="Calibri" w:hAnsi="Calibri" w:cs="Calibri"/>
          <w:noProof/>
          <w:szCs w:val="24"/>
          <w:lang w:val="en-GB"/>
        </w:rPr>
      </w:pPr>
      <w:r w:rsidRPr="00800BAE">
        <w:rPr>
          <w:rFonts w:ascii="Calibri" w:hAnsi="Calibri" w:cs="Calibri"/>
          <w:noProof/>
          <w:szCs w:val="24"/>
          <w:lang w:val="en-GB"/>
        </w:rPr>
        <w:t xml:space="preserve">Hunter Jr, M. L. (1993). Wildlife, forest, and forestry. Principles of managing forests for biological diversity. In </w:t>
      </w:r>
      <w:r w:rsidRPr="00800BAE">
        <w:rPr>
          <w:rFonts w:ascii="Calibri" w:hAnsi="Calibri" w:cs="Calibri"/>
          <w:i/>
          <w:iCs/>
          <w:noProof/>
          <w:szCs w:val="24"/>
          <w:lang w:val="en-GB"/>
        </w:rPr>
        <w:t>Biological Conservation</w:t>
      </w:r>
      <w:r w:rsidRPr="00800BAE">
        <w:rPr>
          <w:rFonts w:ascii="Calibri" w:hAnsi="Calibri" w:cs="Calibri"/>
          <w:noProof/>
          <w:szCs w:val="24"/>
          <w:lang w:val="en-GB"/>
        </w:rPr>
        <w:t xml:space="preserve"> (Vol. 63, Issue 3). Prentice Hall. https://doi.org/10.1016/0006-3207(93)90732-g</w:t>
      </w:r>
    </w:p>
    <w:p w14:paraId="67DEFB15" w14:textId="77777777" w:rsidR="00B6480F" w:rsidRPr="00800BAE" w:rsidRDefault="00B6480F" w:rsidP="00B6480F">
      <w:pPr>
        <w:widowControl w:val="0"/>
        <w:autoSpaceDE w:val="0"/>
        <w:autoSpaceDN w:val="0"/>
        <w:adjustRightInd w:val="0"/>
        <w:spacing w:line="240" w:lineRule="auto"/>
        <w:ind w:left="480" w:hanging="480"/>
        <w:rPr>
          <w:rFonts w:ascii="Calibri" w:hAnsi="Calibri" w:cs="Calibri"/>
          <w:noProof/>
          <w:szCs w:val="24"/>
          <w:lang w:val="en-GB"/>
        </w:rPr>
      </w:pPr>
      <w:r w:rsidRPr="00800BAE">
        <w:rPr>
          <w:rFonts w:ascii="Calibri" w:hAnsi="Calibri" w:cs="Calibri"/>
          <w:noProof/>
          <w:szCs w:val="24"/>
          <w:lang w:val="en-GB"/>
        </w:rPr>
        <w:t xml:space="preserve">IPCC. (2007). </w:t>
      </w:r>
      <w:r w:rsidRPr="00800BAE">
        <w:rPr>
          <w:rFonts w:ascii="Calibri" w:hAnsi="Calibri" w:cs="Calibri"/>
          <w:i/>
          <w:iCs/>
          <w:noProof/>
          <w:szCs w:val="24"/>
          <w:lang w:val="en-GB"/>
        </w:rPr>
        <w:t>Climate Change 2007: Impacts, Adaptation and Vulnerability</w:t>
      </w:r>
      <w:r w:rsidRPr="00800BAE">
        <w:rPr>
          <w:rFonts w:ascii="Calibri" w:hAnsi="Calibri" w:cs="Calibri"/>
          <w:noProof/>
          <w:szCs w:val="24"/>
          <w:lang w:val="en-GB"/>
        </w:rPr>
        <w:t>.</w:t>
      </w:r>
    </w:p>
    <w:p w14:paraId="705337AE" w14:textId="77777777" w:rsidR="00B6480F" w:rsidRPr="00800BAE" w:rsidRDefault="00B6480F" w:rsidP="00B6480F">
      <w:pPr>
        <w:widowControl w:val="0"/>
        <w:autoSpaceDE w:val="0"/>
        <w:autoSpaceDN w:val="0"/>
        <w:adjustRightInd w:val="0"/>
        <w:spacing w:line="240" w:lineRule="auto"/>
        <w:ind w:left="480" w:hanging="480"/>
        <w:rPr>
          <w:rFonts w:ascii="Calibri" w:hAnsi="Calibri" w:cs="Calibri"/>
          <w:noProof/>
          <w:szCs w:val="24"/>
          <w:lang w:val="en-GB"/>
        </w:rPr>
      </w:pPr>
      <w:r w:rsidRPr="00800BAE">
        <w:rPr>
          <w:rFonts w:ascii="Calibri" w:hAnsi="Calibri" w:cs="Calibri"/>
          <w:noProof/>
          <w:szCs w:val="24"/>
          <w:lang w:val="en-GB"/>
        </w:rPr>
        <w:t xml:space="preserve">Iwashita, D. K., Litton, C. M., &amp; Giardina, C. P. (2013). Coarse woody debris carbon storage across a mean annual temperature gradient in tropical montane wet forest. </w:t>
      </w:r>
      <w:r w:rsidRPr="00800BAE">
        <w:rPr>
          <w:rFonts w:ascii="Calibri" w:hAnsi="Calibri" w:cs="Calibri"/>
          <w:i/>
          <w:iCs/>
          <w:noProof/>
          <w:szCs w:val="24"/>
          <w:lang w:val="en-GB"/>
        </w:rPr>
        <w:t>Forest Ecology and Management</w:t>
      </w:r>
      <w:r w:rsidRPr="00800BAE">
        <w:rPr>
          <w:rFonts w:ascii="Calibri" w:hAnsi="Calibri" w:cs="Calibri"/>
          <w:noProof/>
          <w:szCs w:val="24"/>
          <w:lang w:val="en-GB"/>
        </w:rPr>
        <w:t xml:space="preserve">, </w:t>
      </w:r>
      <w:r w:rsidRPr="00800BAE">
        <w:rPr>
          <w:rFonts w:ascii="Calibri" w:hAnsi="Calibri" w:cs="Calibri"/>
          <w:i/>
          <w:iCs/>
          <w:noProof/>
          <w:szCs w:val="24"/>
          <w:lang w:val="en-GB"/>
        </w:rPr>
        <w:t>291</w:t>
      </w:r>
      <w:r w:rsidRPr="00800BAE">
        <w:rPr>
          <w:rFonts w:ascii="Calibri" w:hAnsi="Calibri" w:cs="Calibri"/>
          <w:noProof/>
          <w:szCs w:val="24"/>
          <w:lang w:val="en-GB"/>
        </w:rPr>
        <w:t>, 336–343. https://doi.org/10.1016/j.foreco.2012.11.043</w:t>
      </w:r>
    </w:p>
    <w:p w14:paraId="438C135C" w14:textId="77777777" w:rsidR="00B6480F" w:rsidRPr="00800BAE" w:rsidRDefault="00B6480F" w:rsidP="00B6480F">
      <w:pPr>
        <w:widowControl w:val="0"/>
        <w:autoSpaceDE w:val="0"/>
        <w:autoSpaceDN w:val="0"/>
        <w:adjustRightInd w:val="0"/>
        <w:spacing w:line="240" w:lineRule="auto"/>
        <w:ind w:left="480" w:hanging="480"/>
        <w:rPr>
          <w:rFonts w:ascii="Calibri" w:hAnsi="Calibri" w:cs="Calibri"/>
          <w:noProof/>
          <w:szCs w:val="24"/>
          <w:lang w:val="en-GB"/>
        </w:rPr>
      </w:pPr>
      <w:r w:rsidRPr="00800BAE">
        <w:rPr>
          <w:rFonts w:ascii="Calibri" w:hAnsi="Calibri" w:cs="Calibri"/>
          <w:noProof/>
          <w:szCs w:val="24"/>
          <w:lang w:val="en-GB"/>
        </w:rPr>
        <w:t xml:space="preserve">Kahl, T., Mund, M., Bauhus, J., &amp; Schulze, E. D. (2012). Dissolved organic carbon from European beech logs: Patterns of input to and retention by surface soil. </w:t>
      </w:r>
      <w:r w:rsidRPr="00800BAE">
        <w:rPr>
          <w:rFonts w:ascii="Calibri" w:hAnsi="Calibri" w:cs="Calibri"/>
          <w:i/>
          <w:iCs/>
          <w:noProof/>
          <w:szCs w:val="24"/>
          <w:lang w:val="en-GB"/>
        </w:rPr>
        <w:t>Ecoscience</w:t>
      </w:r>
      <w:r w:rsidRPr="00800BAE">
        <w:rPr>
          <w:rFonts w:ascii="Calibri" w:hAnsi="Calibri" w:cs="Calibri"/>
          <w:noProof/>
          <w:szCs w:val="24"/>
          <w:lang w:val="en-GB"/>
        </w:rPr>
        <w:t xml:space="preserve">, </w:t>
      </w:r>
      <w:r w:rsidRPr="00800BAE">
        <w:rPr>
          <w:rFonts w:ascii="Calibri" w:hAnsi="Calibri" w:cs="Calibri"/>
          <w:i/>
          <w:iCs/>
          <w:noProof/>
          <w:szCs w:val="24"/>
          <w:lang w:val="en-GB"/>
        </w:rPr>
        <w:t>19</w:t>
      </w:r>
      <w:r w:rsidRPr="00800BAE">
        <w:rPr>
          <w:rFonts w:ascii="Calibri" w:hAnsi="Calibri" w:cs="Calibri"/>
          <w:noProof/>
          <w:szCs w:val="24"/>
          <w:lang w:val="en-GB"/>
        </w:rPr>
        <w:t>(4), 364–373. https://doi.org/10.2980/19-4-3501</w:t>
      </w:r>
    </w:p>
    <w:p w14:paraId="6FCF81B7" w14:textId="77777777" w:rsidR="00B6480F" w:rsidRPr="00800BAE" w:rsidRDefault="00B6480F" w:rsidP="00B6480F">
      <w:pPr>
        <w:widowControl w:val="0"/>
        <w:autoSpaceDE w:val="0"/>
        <w:autoSpaceDN w:val="0"/>
        <w:adjustRightInd w:val="0"/>
        <w:spacing w:line="240" w:lineRule="auto"/>
        <w:ind w:left="480" w:hanging="480"/>
        <w:rPr>
          <w:rFonts w:ascii="Calibri" w:hAnsi="Calibri" w:cs="Calibri"/>
          <w:noProof/>
          <w:szCs w:val="24"/>
          <w:lang w:val="en-GB"/>
        </w:rPr>
      </w:pPr>
      <w:r w:rsidRPr="00800BAE">
        <w:rPr>
          <w:rFonts w:ascii="Calibri" w:hAnsi="Calibri" w:cs="Calibri"/>
          <w:noProof/>
          <w:szCs w:val="24"/>
          <w:lang w:val="en-GB"/>
        </w:rPr>
        <w:t xml:space="preserve">Knorr, W., Prentice, I. C., House, J. I., &amp; Holland, E. A. (2005). Long-term sensitivity of soil carbon turnover to warming. </w:t>
      </w:r>
      <w:r w:rsidRPr="00800BAE">
        <w:rPr>
          <w:rFonts w:ascii="Calibri" w:hAnsi="Calibri" w:cs="Calibri"/>
          <w:i/>
          <w:iCs/>
          <w:noProof/>
          <w:szCs w:val="24"/>
          <w:lang w:val="en-GB"/>
        </w:rPr>
        <w:t>Nature</w:t>
      </w:r>
      <w:r w:rsidRPr="00800BAE">
        <w:rPr>
          <w:rFonts w:ascii="Calibri" w:hAnsi="Calibri" w:cs="Calibri"/>
          <w:noProof/>
          <w:szCs w:val="24"/>
          <w:lang w:val="en-GB"/>
        </w:rPr>
        <w:t xml:space="preserve">, </w:t>
      </w:r>
      <w:r w:rsidRPr="00800BAE">
        <w:rPr>
          <w:rFonts w:ascii="Calibri" w:hAnsi="Calibri" w:cs="Calibri"/>
          <w:i/>
          <w:iCs/>
          <w:noProof/>
          <w:szCs w:val="24"/>
          <w:lang w:val="en-GB"/>
        </w:rPr>
        <w:t>433</w:t>
      </w:r>
      <w:r w:rsidRPr="00800BAE">
        <w:rPr>
          <w:rFonts w:ascii="Calibri" w:hAnsi="Calibri" w:cs="Calibri"/>
          <w:noProof/>
          <w:szCs w:val="24"/>
          <w:lang w:val="en-GB"/>
        </w:rPr>
        <w:t>(7023), 298–301. https://doi.org/10.1038/nature03226</w:t>
      </w:r>
    </w:p>
    <w:p w14:paraId="06B04CC2" w14:textId="77777777" w:rsidR="00B6480F" w:rsidRPr="00800BAE" w:rsidRDefault="00B6480F" w:rsidP="00B6480F">
      <w:pPr>
        <w:widowControl w:val="0"/>
        <w:autoSpaceDE w:val="0"/>
        <w:autoSpaceDN w:val="0"/>
        <w:adjustRightInd w:val="0"/>
        <w:spacing w:line="240" w:lineRule="auto"/>
        <w:ind w:left="480" w:hanging="480"/>
        <w:rPr>
          <w:rFonts w:ascii="Calibri" w:hAnsi="Calibri" w:cs="Calibri"/>
          <w:noProof/>
          <w:szCs w:val="24"/>
          <w:lang w:val="en-GB"/>
        </w:rPr>
      </w:pPr>
      <w:r w:rsidRPr="00B6480F">
        <w:rPr>
          <w:rFonts w:ascii="Calibri" w:hAnsi="Calibri" w:cs="Calibri"/>
          <w:noProof/>
          <w:szCs w:val="24"/>
        </w:rPr>
        <w:t xml:space="preserve">Mäkinen, H., Hynynen, J., Siitonen, J., &amp; Sievänen, R. (2006). </w:t>
      </w:r>
      <w:r w:rsidRPr="00800BAE">
        <w:rPr>
          <w:rFonts w:ascii="Calibri" w:hAnsi="Calibri" w:cs="Calibri"/>
          <w:noProof/>
          <w:szCs w:val="24"/>
          <w:lang w:val="en-GB"/>
        </w:rPr>
        <w:t xml:space="preserve">Predicting the decomposition of scots pine, norway spruce, and birch stems in Finland. </w:t>
      </w:r>
      <w:r w:rsidRPr="00800BAE">
        <w:rPr>
          <w:rFonts w:ascii="Calibri" w:hAnsi="Calibri" w:cs="Calibri"/>
          <w:i/>
          <w:iCs/>
          <w:noProof/>
          <w:szCs w:val="24"/>
          <w:lang w:val="en-GB"/>
        </w:rPr>
        <w:t>Ecological Applications</w:t>
      </w:r>
      <w:r w:rsidRPr="00800BAE">
        <w:rPr>
          <w:rFonts w:ascii="Calibri" w:hAnsi="Calibri" w:cs="Calibri"/>
          <w:noProof/>
          <w:szCs w:val="24"/>
          <w:lang w:val="en-GB"/>
        </w:rPr>
        <w:t xml:space="preserve">, </w:t>
      </w:r>
      <w:r w:rsidRPr="00800BAE">
        <w:rPr>
          <w:rFonts w:ascii="Calibri" w:hAnsi="Calibri" w:cs="Calibri"/>
          <w:i/>
          <w:iCs/>
          <w:noProof/>
          <w:szCs w:val="24"/>
          <w:lang w:val="en-GB"/>
        </w:rPr>
        <w:t>16</w:t>
      </w:r>
      <w:r w:rsidRPr="00800BAE">
        <w:rPr>
          <w:rFonts w:ascii="Calibri" w:hAnsi="Calibri" w:cs="Calibri"/>
          <w:noProof/>
          <w:szCs w:val="24"/>
          <w:lang w:val="en-GB"/>
        </w:rPr>
        <w:t>(5), 1865–1879. https://doi.org/10.1890/1051-0761(2006)016[1865:PTDOSP]2.0.CO;2</w:t>
      </w:r>
    </w:p>
    <w:p w14:paraId="347D6AF2" w14:textId="77777777" w:rsidR="00B6480F" w:rsidRPr="00800BAE" w:rsidRDefault="00B6480F" w:rsidP="00B6480F">
      <w:pPr>
        <w:widowControl w:val="0"/>
        <w:autoSpaceDE w:val="0"/>
        <w:autoSpaceDN w:val="0"/>
        <w:adjustRightInd w:val="0"/>
        <w:spacing w:line="240" w:lineRule="auto"/>
        <w:ind w:left="480" w:hanging="480"/>
        <w:rPr>
          <w:rFonts w:ascii="Calibri" w:hAnsi="Calibri" w:cs="Calibri"/>
          <w:noProof/>
          <w:szCs w:val="24"/>
          <w:lang w:val="en-GB"/>
        </w:rPr>
      </w:pPr>
      <w:r w:rsidRPr="00800BAE">
        <w:rPr>
          <w:rFonts w:ascii="Calibri" w:hAnsi="Calibri" w:cs="Calibri"/>
          <w:noProof/>
          <w:szCs w:val="24"/>
          <w:lang w:val="en-GB"/>
        </w:rPr>
        <w:t xml:space="preserve">Marra, J. L., &amp; Edmonds, R. L. (1994). Coarse woody debris and forest floor respiration in an old-growth coniferous forest on the Olympic Peninsula, Washington, USA. </w:t>
      </w:r>
      <w:r w:rsidRPr="00800BAE">
        <w:rPr>
          <w:rFonts w:ascii="Calibri" w:hAnsi="Calibri" w:cs="Calibri"/>
          <w:i/>
          <w:iCs/>
          <w:noProof/>
          <w:szCs w:val="24"/>
          <w:lang w:val="en-GB"/>
        </w:rPr>
        <w:t>Canadian Journal of Forest Research</w:t>
      </w:r>
      <w:r w:rsidRPr="00800BAE">
        <w:rPr>
          <w:rFonts w:ascii="Calibri" w:hAnsi="Calibri" w:cs="Calibri"/>
          <w:noProof/>
          <w:szCs w:val="24"/>
          <w:lang w:val="en-GB"/>
        </w:rPr>
        <w:t xml:space="preserve">, </w:t>
      </w:r>
      <w:r w:rsidRPr="00800BAE">
        <w:rPr>
          <w:rFonts w:ascii="Calibri" w:hAnsi="Calibri" w:cs="Calibri"/>
          <w:i/>
          <w:iCs/>
          <w:noProof/>
          <w:szCs w:val="24"/>
          <w:lang w:val="en-GB"/>
        </w:rPr>
        <w:t>24</w:t>
      </w:r>
      <w:r w:rsidRPr="00800BAE">
        <w:rPr>
          <w:rFonts w:ascii="Calibri" w:hAnsi="Calibri" w:cs="Calibri"/>
          <w:noProof/>
          <w:szCs w:val="24"/>
          <w:lang w:val="en-GB"/>
        </w:rPr>
        <w:t>(9), 1811–1817. https://doi.org/10.1139/x94-234</w:t>
      </w:r>
    </w:p>
    <w:p w14:paraId="4A7C8FCB" w14:textId="77777777" w:rsidR="00B6480F" w:rsidRPr="00800BAE" w:rsidRDefault="00B6480F" w:rsidP="00B6480F">
      <w:pPr>
        <w:widowControl w:val="0"/>
        <w:autoSpaceDE w:val="0"/>
        <w:autoSpaceDN w:val="0"/>
        <w:adjustRightInd w:val="0"/>
        <w:spacing w:line="240" w:lineRule="auto"/>
        <w:ind w:left="480" w:hanging="480"/>
        <w:rPr>
          <w:rFonts w:ascii="Calibri" w:hAnsi="Calibri" w:cs="Calibri"/>
          <w:noProof/>
          <w:szCs w:val="24"/>
          <w:lang w:val="en-GB"/>
        </w:rPr>
      </w:pPr>
      <w:r w:rsidRPr="00800BAE">
        <w:rPr>
          <w:rFonts w:ascii="Calibri" w:hAnsi="Calibri" w:cs="Calibri"/>
          <w:noProof/>
          <w:szCs w:val="24"/>
          <w:lang w:val="en-GB"/>
        </w:rPr>
        <w:t xml:space="preserve">Meyer, P., &amp; Schmidt, M. (2011). Accumulation of dead wood in abandoned beech (Fagus sylvatica L.) forests in northwestern Germany. </w:t>
      </w:r>
      <w:r w:rsidRPr="00800BAE">
        <w:rPr>
          <w:rFonts w:ascii="Calibri" w:hAnsi="Calibri" w:cs="Calibri"/>
          <w:i/>
          <w:iCs/>
          <w:noProof/>
          <w:szCs w:val="24"/>
          <w:lang w:val="en-GB"/>
        </w:rPr>
        <w:t>Forest Ecology and Management</w:t>
      </w:r>
      <w:r w:rsidRPr="00800BAE">
        <w:rPr>
          <w:rFonts w:ascii="Calibri" w:hAnsi="Calibri" w:cs="Calibri"/>
          <w:noProof/>
          <w:szCs w:val="24"/>
          <w:lang w:val="en-GB"/>
        </w:rPr>
        <w:t xml:space="preserve">, </w:t>
      </w:r>
      <w:r w:rsidRPr="00800BAE">
        <w:rPr>
          <w:rFonts w:ascii="Calibri" w:hAnsi="Calibri" w:cs="Calibri"/>
          <w:i/>
          <w:iCs/>
          <w:noProof/>
          <w:szCs w:val="24"/>
          <w:lang w:val="en-GB"/>
        </w:rPr>
        <w:t>261</w:t>
      </w:r>
      <w:r w:rsidRPr="00800BAE">
        <w:rPr>
          <w:rFonts w:ascii="Calibri" w:hAnsi="Calibri" w:cs="Calibri"/>
          <w:noProof/>
          <w:szCs w:val="24"/>
          <w:lang w:val="en-GB"/>
        </w:rPr>
        <w:t>(3), 342–352. https://doi.org/10.1016/j.foreco.2010.08.037</w:t>
      </w:r>
    </w:p>
    <w:p w14:paraId="27A53C55" w14:textId="77777777" w:rsidR="00B6480F" w:rsidRPr="00800BAE" w:rsidRDefault="00B6480F" w:rsidP="00B6480F">
      <w:pPr>
        <w:widowControl w:val="0"/>
        <w:autoSpaceDE w:val="0"/>
        <w:autoSpaceDN w:val="0"/>
        <w:adjustRightInd w:val="0"/>
        <w:spacing w:line="240" w:lineRule="auto"/>
        <w:ind w:left="480" w:hanging="480"/>
        <w:rPr>
          <w:rFonts w:ascii="Calibri" w:hAnsi="Calibri" w:cs="Calibri"/>
          <w:noProof/>
          <w:szCs w:val="24"/>
          <w:lang w:val="en-GB"/>
        </w:rPr>
      </w:pPr>
      <w:r w:rsidRPr="00800BAE">
        <w:rPr>
          <w:rFonts w:ascii="Calibri" w:hAnsi="Calibri" w:cs="Calibri"/>
          <w:noProof/>
          <w:szCs w:val="24"/>
          <w:lang w:val="en-GB"/>
        </w:rPr>
        <w:t xml:space="preserve">Olesen, P. O., Roulund, H., &amp; Kongelige Veterinær- og Landbohøjskole. Arboretet. (1971). </w:t>
      </w:r>
      <w:r w:rsidRPr="00800BAE">
        <w:rPr>
          <w:rFonts w:ascii="Calibri" w:hAnsi="Calibri" w:cs="Calibri"/>
          <w:i/>
          <w:iCs/>
          <w:noProof/>
          <w:szCs w:val="24"/>
          <w:lang w:val="en-GB"/>
        </w:rPr>
        <w:t>Forest tree improvement</w:t>
      </w:r>
      <w:r w:rsidRPr="00800BAE">
        <w:rPr>
          <w:rFonts w:ascii="Calibri" w:hAnsi="Calibri" w:cs="Calibri"/>
          <w:noProof/>
          <w:szCs w:val="24"/>
          <w:lang w:val="en-GB"/>
        </w:rPr>
        <w:t>.</w:t>
      </w:r>
    </w:p>
    <w:p w14:paraId="09085DB4" w14:textId="77777777" w:rsidR="00B6480F" w:rsidRPr="00800BAE" w:rsidRDefault="00B6480F" w:rsidP="00B6480F">
      <w:pPr>
        <w:widowControl w:val="0"/>
        <w:autoSpaceDE w:val="0"/>
        <w:autoSpaceDN w:val="0"/>
        <w:adjustRightInd w:val="0"/>
        <w:spacing w:line="240" w:lineRule="auto"/>
        <w:ind w:left="480" w:hanging="480"/>
        <w:rPr>
          <w:rFonts w:ascii="Calibri" w:hAnsi="Calibri" w:cs="Calibri"/>
          <w:noProof/>
          <w:szCs w:val="24"/>
          <w:lang w:val="en-GB"/>
        </w:rPr>
      </w:pPr>
      <w:r w:rsidRPr="00800BAE">
        <w:rPr>
          <w:rFonts w:ascii="Calibri" w:hAnsi="Calibri" w:cs="Calibri"/>
          <w:noProof/>
          <w:szCs w:val="24"/>
          <w:lang w:val="en-GB"/>
        </w:rPr>
        <w:t xml:space="preserve">Parisi, F., Pioli, S., Lombardi, F., Fravolini, G., Marchetti, M., &amp; Tognetti, R. (2018). Linking deadwood traits with saproxylic invertebrates and fungi in European forests – A review. </w:t>
      </w:r>
      <w:r w:rsidRPr="00800BAE">
        <w:rPr>
          <w:rFonts w:ascii="Calibri" w:hAnsi="Calibri" w:cs="Calibri"/>
          <w:i/>
          <w:iCs/>
          <w:noProof/>
          <w:szCs w:val="24"/>
          <w:lang w:val="en-GB"/>
        </w:rPr>
        <w:lastRenderedPageBreak/>
        <w:t>IForest</w:t>
      </w:r>
      <w:r w:rsidRPr="00800BAE">
        <w:rPr>
          <w:rFonts w:ascii="Calibri" w:hAnsi="Calibri" w:cs="Calibri"/>
          <w:noProof/>
          <w:szCs w:val="24"/>
          <w:lang w:val="en-GB"/>
        </w:rPr>
        <w:t xml:space="preserve">, </w:t>
      </w:r>
      <w:r w:rsidRPr="00800BAE">
        <w:rPr>
          <w:rFonts w:ascii="Calibri" w:hAnsi="Calibri" w:cs="Calibri"/>
          <w:i/>
          <w:iCs/>
          <w:noProof/>
          <w:szCs w:val="24"/>
          <w:lang w:val="en-GB"/>
        </w:rPr>
        <w:t>11</w:t>
      </w:r>
      <w:r w:rsidRPr="00800BAE">
        <w:rPr>
          <w:rFonts w:ascii="Calibri" w:hAnsi="Calibri" w:cs="Calibri"/>
          <w:noProof/>
          <w:szCs w:val="24"/>
          <w:lang w:val="en-GB"/>
        </w:rPr>
        <w:t>(3), 423–436. https://doi.org/10.3832/ifor2670-011</w:t>
      </w:r>
    </w:p>
    <w:p w14:paraId="20FF672F" w14:textId="77777777" w:rsidR="00B6480F" w:rsidRPr="00800BAE" w:rsidRDefault="00B6480F" w:rsidP="00B6480F">
      <w:pPr>
        <w:widowControl w:val="0"/>
        <w:autoSpaceDE w:val="0"/>
        <w:autoSpaceDN w:val="0"/>
        <w:adjustRightInd w:val="0"/>
        <w:spacing w:line="240" w:lineRule="auto"/>
        <w:ind w:left="480" w:hanging="480"/>
        <w:rPr>
          <w:rFonts w:ascii="Calibri" w:hAnsi="Calibri" w:cs="Calibri"/>
          <w:noProof/>
          <w:szCs w:val="24"/>
          <w:lang w:val="en-GB"/>
        </w:rPr>
      </w:pPr>
      <w:r w:rsidRPr="00800BAE">
        <w:rPr>
          <w:rFonts w:ascii="Calibri" w:hAnsi="Calibri" w:cs="Calibri"/>
          <w:noProof/>
          <w:szCs w:val="24"/>
          <w:lang w:val="en-GB"/>
        </w:rPr>
        <w:t xml:space="preserve">Petritan, I. C., Commarmot, B., Hobi, M. L., Petritan, A. M., Bigler, C., Abrudan, I. V., &amp; Rigling, A. (2015). Structural patterns of beech and silver fir suggest stability and resilience of the virgin forest Sinca in the Southern Carpathians, Romania. </w:t>
      </w:r>
      <w:r w:rsidRPr="00800BAE">
        <w:rPr>
          <w:rFonts w:ascii="Calibri" w:hAnsi="Calibri" w:cs="Calibri"/>
          <w:i/>
          <w:iCs/>
          <w:noProof/>
          <w:szCs w:val="24"/>
          <w:lang w:val="en-GB"/>
        </w:rPr>
        <w:t>Forest Ecology and Management</w:t>
      </w:r>
      <w:r w:rsidRPr="00800BAE">
        <w:rPr>
          <w:rFonts w:ascii="Calibri" w:hAnsi="Calibri" w:cs="Calibri"/>
          <w:noProof/>
          <w:szCs w:val="24"/>
          <w:lang w:val="en-GB"/>
        </w:rPr>
        <w:t xml:space="preserve">, </w:t>
      </w:r>
      <w:r w:rsidRPr="00800BAE">
        <w:rPr>
          <w:rFonts w:ascii="Calibri" w:hAnsi="Calibri" w:cs="Calibri"/>
          <w:i/>
          <w:iCs/>
          <w:noProof/>
          <w:szCs w:val="24"/>
          <w:lang w:val="en-GB"/>
        </w:rPr>
        <w:t>356</w:t>
      </w:r>
      <w:r w:rsidRPr="00800BAE">
        <w:rPr>
          <w:rFonts w:ascii="Calibri" w:hAnsi="Calibri" w:cs="Calibri"/>
          <w:noProof/>
          <w:szCs w:val="24"/>
          <w:lang w:val="en-GB"/>
        </w:rPr>
        <w:t>(July 2015), 184–195. https://doi.org/10.1016/j.foreco.2015.07.015</w:t>
      </w:r>
    </w:p>
    <w:p w14:paraId="012630AC" w14:textId="77777777" w:rsidR="00B6480F" w:rsidRPr="00800BAE" w:rsidRDefault="00B6480F" w:rsidP="00B6480F">
      <w:pPr>
        <w:widowControl w:val="0"/>
        <w:autoSpaceDE w:val="0"/>
        <w:autoSpaceDN w:val="0"/>
        <w:adjustRightInd w:val="0"/>
        <w:spacing w:line="240" w:lineRule="auto"/>
        <w:ind w:left="480" w:hanging="480"/>
        <w:rPr>
          <w:rFonts w:ascii="Calibri" w:hAnsi="Calibri" w:cs="Calibri"/>
          <w:noProof/>
          <w:szCs w:val="24"/>
          <w:lang w:val="en-GB"/>
        </w:rPr>
      </w:pPr>
      <w:r w:rsidRPr="00800BAE">
        <w:rPr>
          <w:rFonts w:ascii="Calibri" w:hAnsi="Calibri" w:cs="Calibri"/>
          <w:noProof/>
          <w:szCs w:val="24"/>
          <w:lang w:val="en-GB"/>
        </w:rPr>
        <w:t xml:space="preserve">Russell, M. B., Woodall, C. W., Fraver, S., D’Amato, A. W., Domke, G. M., &amp; Skog, K. E. (2014). Residence Times and Decay Rates of Downed Woody Debris Biomass/Carbon in Eastern US Forests. </w:t>
      </w:r>
      <w:r w:rsidRPr="00800BAE">
        <w:rPr>
          <w:rFonts w:ascii="Calibri" w:hAnsi="Calibri" w:cs="Calibri"/>
          <w:i/>
          <w:iCs/>
          <w:noProof/>
          <w:szCs w:val="24"/>
          <w:lang w:val="en-GB"/>
        </w:rPr>
        <w:t>Ecosystems</w:t>
      </w:r>
      <w:r w:rsidRPr="00800BAE">
        <w:rPr>
          <w:rFonts w:ascii="Calibri" w:hAnsi="Calibri" w:cs="Calibri"/>
          <w:noProof/>
          <w:szCs w:val="24"/>
          <w:lang w:val="en-GB"/>
        </w:rPr>
        <w:t xml:space="preserve">, </w:t>
      </w:r>
      <w:r w:rsidRPr="00800BAE">
        <w:rPr>
          <w:rFonts w:ascii="Calibri" w:hAnsi="Calibri" w:cs="Calibri"/>
          <w:i/>
          <w:iCs/>
          <w:noProof/>
          <w:szCs w:val="24"/>
          <w:lang w:val="en-GB"/>
        </w:rPr>
        <w:t>17</w:t>
      </w:r>
      <w:r w:rsidRPr="00800BAE">
        <w:rPr>
          <w:rFonts w:ascii="Calibri" w:hAnsi="Calibri" w:cs="Calibri"/>
          <w:noProof/>
          <w:szCs w:val="24"/>
          <w:lang w:val="en-GB"/>
        </w:rPr>
        <w:t>(5), 765–777. https://doi.org/10.1007/s10021-014-9757-5</w:t>
      </w:r>
    </w:p>
    <w:p w14:paraId="3125EB9C" w14:textId="77777777" w:rsidR="00B6480F" w:rsidRPr="00800BAE" w:rsidRDefault="00B6480F" w:rsidP="00B6480F">
      <w:pPr>
        <w:widowControl w:val="0"/>
        <w:autoSpaceDE w:val="0"/>
        <w:autoSpaceDN w:val="0"/>
        <w:adjustRightInd w:val="0"/>
        <w:spacing w:line="240" w:lineRule="auto"/>
        <w:ind w:left="480" w:hanging="480"/>
        <w:rPr>
          <w:rFonts w:ascii="Calibri" w:hAnsi="Calibri" w:cs="Calibri"/>
          <w:noProof/>
          <w:szCs w:val="24"/>
          <w:lang w:val="en-GB"/>
        </w:rPr>
      </w:pPr>
      <w:r w:rsidRPr="00800BAE">
        <w:rPr>
          <w:rFonts w:ascii="Calibri" w:hAnsi="Calibri" w:cs="Calibri"/>
          <w:noProof/>
          <w:szCs w:val="24"/>
          <w:lang w:val="en-GB"/>
        </w:rPr>
        <w:t xml:space="preserve">Seibold, S., Rammer, W., Hothorn, T., Seidl, R., Ulyshen, M. D., Lorz, J., Cadotte, M. W., Lindenmayer, D. B., Adhikari, Y. P., Aragón, R., Bae, S., Baldrian, P., Barimani Varandi, H., Barlow, J., Bässler, C., Beauchêne, J., Berenguer, E., Bergamin, R. S., Birkemoe, T., … Müller, J. (2021). The contribution of insects to global forest deadwood decomposition. </w:t>
      </w:r>
      <w:r w:rsidRPr="00800BAE">
        <w:rPr>
          <w:rFonts w:ascii="Calibri" w:hAnsi="Calibri" w:cs="Calibri"/>
          <w:i/>
          <w:iCs/>
          <w:noProof/>
          <w:szCs w:val="24"/>
          <w:lang w:val="en-GB"/>
        </w:rPr>
        <w:t>Nature</w:t>
      </w:r>
      <w:r w:rsidRPr="00800BAE">
        <w:rPr>
          <w:rFonts w:ascii="Calibri" w:hAnsi="Calibri" w:cs="Calibri"/>
          <w:noProof/>
          <w:szCs w:val="24"/>
          <w:lang w:val="en-GB"/>
        </w:rPr>
        <w:t xml:space="preserve">, </w:t>
      </w:r>
      <w:r w:rsidRPr="00800BAE">
        <w:rPr>
          <w:rFonts w:ascii="Calibri" w:hAnsi="Calibri" w:cs="Calibri"/>
          <w:i/>
          <w:iCs/>
          <w:noProof/>
          <w:szCs w:val="24"/>
          <w:lang w:val="en-GB"/>
        </w:rPr>
        <w:t>597</w:t>
      </w:r>
      <w:r w:rsidRPr="00800BAE">
        <w:rPr>
          <w:rFonts w:ascii="Calibri" w:hAnsi="Calibri" w:cs="Calibri"/>
          <w:noProof/>
          <w:szCs w:val="24"/>
          <w:lang w:val="en-GB"/>
        </w:rPr>
        <w:t>(7874), 77–81. https://doi.org/10.1038/s41586-021-03740-8</w:t>
      </w:r>
    </w:p>
    <w:p w14:paraId="16CC9133" w14:textId="77777777" w:rsidR="00B6480F" w:rsidRPr="00800BAE" w:rsidRDefault="00B6480F" w:rsidP="00B6480F">
      <w:pPr>
        <w:widowControl w:val="0"/>
        <w:autoSpaceDE w:val="0"/>
        <w:autoSpaceDN w:val="0"/>
        <w:adjustRightInd w:val="0"/>
        <w:spacing w:line="240" w:lineRule="auto"/>
        <w:ind w:left="480" w:hanging="480"/>
        <w:rPr>
          <w:rFonts w:ascii="Calibri" w:hAnsi="Calibri" w:cs="Calibri"/>
          <w:noProof/>
          <w:szCs w:val="24"/>
          <w:lang w:val="en-GB"/>
        </w:rPr>
      </w:pPr>
      <w:r w:rsidRPr="00800BAE">
        <w:rPr>
          <w:rFonts w:ascii="Calibri" w:hAnsi="Calibri" w:cs="Calibri"/>
          <w:noProof/>
          <w:szCs w:val="24"/>
          <w:lang w:val="en-GB"/>
        </w:rPr>
        <w:t xml:space="preserve">Šēnhofa, S., Šnepsts, G., Bičkovskis, K., Jaunslaviete, I., Liepa, L., Straupe, I., &amp; Jansons, Ā. (2021). Availability and structure of coarse woody debris in hemiboreal mature to old-growth aspen stands and its implications for forest carbon pool. </w:t>
      </w:r>
      <w:r w:rsidRPr="00800BAE">
        <w:rPr>
          <w:rFonts w:ascii="Calibri" w:hAnsi="Calibri" w:cs="Calibri"/>
          <w:i/>
          <w:iCs/>
          <w:noProof/>
          <w:szCs w:val="24"/>
          <w:lang w:val="en-GB"/>
        </w:rPr>
        <w:t>Forests</w:t>
      </w:r>
      <w:r w:rsidRPr="00800BAE">
        <w:rPr>
          <w:rFonts w:ascii="Calibri" w:hAnsi="Calibri" w:cs="Calibri"/>
          <w:noProof/>
          <w:szCs w:val="24"/>
          <w:lang w:val="en-GB"/>
        </w:rPr>
        <w:t xml:space="preserve">, </w:t>
      </w:r>
      <w:r w:rsidRPr="00800BAE">
        <w:rPr>
          <w:rFonts w:ascii="Calibri" w:hAnsi="Calibri" w:cs="Calibri"/>
          <w:i/>
          <w:iCs/>
          <w:noProof/>
          <w:szCs w:val="24"/>
          <w:lang w:val="en-GB"/>
        </w:rPr>
        <w:t>12</w:t>
      </w:r>
      <w:r w:rsidRPr="00800BAE">
        <w:rPr>
          <w:rFonts w:ascii="Calibri" w:hAnsi="Calibri" w:cs="Calibri"/>
          <w:noProof/>
          <w:szCs w:val="24"/>
          <w:lang w:val="en-GB"/>
        </w:rPr>
        <w:t>(7), 1–16. https://doi.org/10.3390/f12070901</w:t>
      </w:r>
    </w:p>
    <w:p w14:paraId="40EB021E" w14:textId="77777777" w:rsidR="00B6480F" w:rsidRPr="00800BAE" w:rsidRDefault="00B6480F" w:rsidP="00B6480F">
      <w:pPr>
        <w:widowControl w:val="0"/>
        <w:autoSpaceDE w:val="0"/>
        <w:autoSpaceDN w:val="0"/>
        <w:adjustRightInd w:val="0"/>
        <w:spacing w:line="240" w:lineRule="auto"/>
        <w:ind w:left="480" w:hanging="480"/>
        <w:rPr>
          <w:rFonts w:ascii="Calibri" w:hAnsi="Calibri" w:cs="Calibri"/>
          <w:noProof/>
          <w:szCs w:val="24"/>
          <w:lang w:val="en-GB"/>
        </w:rPr>
      </w:pPr>
      <w:r w:rsidRPr="00800BAE">
        <w:rPr>
          <w:rFonts w:ascii="Calibri" w:hAnsi="Calibri" w:cs="Calibri"/>
          <w:noProof/>
          <w:szCs w:val="24"/>
          <w:lang w:val="en-GB"/>
        </w:rPr>
        <w:t xml:space="preserve">Stillhard, J., Hobi, M. L., Brang, P., Brändli, U. B., Korol, M., Pokynchereda, V., &amp; Abegg, M. (2022). Structural changes in a primeval beech forest at the landscape scale. </w:t>
      </w:r>
      <w:r w:rsidRPr="00800BAE">
        <w:rPr>
          <w:rFonts w:ascii="Calibri" w:hAnsi="Calibri" w:cs="Calibri"/>
          <w:i/>
          <w:iCs/>
          <w:noProof/>
          <w:szCs w:val="24"/>
          <w:lang w:val="en-GB"/>
        </w:rPr>
        <w:t>Forest Ecology and Management</w:t>
      </w:r>
      <w:r w:rsidRPr="00800BAE">
        <w:rPr>
          <w:rFonts w:ascii="Calibri" w:hAnsi="Calibri" w:cs="Calibri"/>
          <w:noProof/>
          <w:szCs w:val="24"/>
          <w:lang w:val="en-GB"/>
        </w:rPr>
        <w:t xml:space="preserve">, </w:t>
      </w:r>
      <w:r w:rsidRPr="00800BAE">
        <w:rPr>
          <w:rFonts w:ascii="Calibri" w:hAnsi="Calibri" w:cs="Calibri"/>
          <w:i/>
          <w:iCs/>
          <w:noProof/>
          <w:szCs w:val="24"/>
          <w:lang w:val="en-GB"/>
        </w:rPr>
        <w:t>504</w:t>
      </w:r>
      <w:r w:rsidRPr="00800BAE">
        <w:rPr>
          <w:rFonts w:ascii="Calibri" w:hAnsi="Calibri" w:cs="Calibri"/>
          <w:noProof/>
          <w:szCs w:val="24"/>
          <w:lang w:val="en-GB"/>
        </w:rPr>
        <w:t>, 119836. https://doi.org/10.1016/J.FORECO.2021.119836</w:t>
      </w:r>
    </w:p>
    <w:p w14:paraId="12BD1E04" w14:textId="77777777" w:rsidR="00B6480F" w:rsidRPr="00B6480F" w:rsidRDefault="00B6480F" w:rsidP="00B6480F">
      <w:pPr>
        <w:widowControl w:val="0"/>
        <w:autoSpaceDE w:val="0"/>
        <w:autoSpaceDN w:val="0"/>
        <w:adjustRightInd w:val="0"/>
        <w:spacing w:line="240" w:lineRule="auto"/>
        <w:ind w:left="480" w:hanging="480"/>
        <w:rPr>
          <w:rFonts w:ascii="Calibri" w:hAnsi="Calibri" w:cs="Calibri"/>
          <w:noProof/>
        </w:rPr>
      </w:pPr>
      <w:r w:rsidRPr="00800BAE">
        <w:rPr>
          <w:rFonts w:ascii="Calibri" w:hAnsi="Calibri" w:cs="Calibri"/>
          <w:noProof/>
          <w:szCs w:val="24"/>
          <w:lang w:val="en-GB"/>
        </w:rPr>
        <w:t xml:space="preserve">Weedon, J. T., Cornwell, W. K., Cornelissen, J. H. C., Zanne, A. E., Wirth, C., &amp; Coomes, D. A. (2009). Global meta-analysis of wood decomposition rates: A role for trait variation among tree species? </w:t>
      </w:r>
      <w:r w:rsidRPr="00B6480F">
        <w:rPr>
          <w:rFonts w:ascii="Calibri" w:hAnsi="Calibri" w:cs="Calibri"/>
          <w:i/>
          <w:iCs/>
          <w:noProof/>
          <w:szCs w:val="24"/>
        </w:rPr>
        <w:t>Ecology Letters</w:t>
      </w:r>
      <w:r w:rsidRPr="00B6480F">
        <w:rPr>
          <w:rFonts w:ascii="Calibri" w:hAnsi="Calibri" w:cs="Calibri"/>
          <w:noProof/>
          <w:szCs w:val="24"/>
        </w:rPr>
        <w:t xml:space="preserve">, </w:t>
      </w:r>
      <w:r w:rsidRPr="00B6480F">
        <w:rPr>
          <w:rFonts w:ascii="Calibri" w:hAnsi="Calibri" w:cs="Calibri"/>
          <w:i/>
          <w:iCs/>
          <w:noProof/>
          <w:szCs w:val="24"/>
        </w:rPr>
        <w:t>12</w:t>
      </w:r>
      <w:r w:rsidRPr="00B6480F">
        <w:rPr>
          <w:rFonts w:ascii="Calibri" w:hAnsi="Calibri" w:cs="Calibri"/>
          <w:noProof/>
          <w:szCs w:val="24"/>
        </w:rPr>
        <w:t>(1), 45–56. https://doi.org/10.1111/j.1461-0248.2008.01259.x</w:t>
      </w:r>
    </w:p>
    <w:p w14:paraId="08CF4F25" w14:textId="4798F4CF" w:rsidR="00BA776B" w:rsidRPr="00BA776B" w:rsidRDefault="00EE3860" w:rsidP="00BA776B">
      <w:pPr>
        <w:rPr>
          <w:lang w:val="en-GB"/>
        </w:rPr>
      </w:pPr>
      <w:r>
        <w:rPr>
          <w:lang w:val="en-GB"/>
        </w:rPr>
        <w:fldChar w:fldCharType="end"/>
      </w:r>
    </w:p>
    <w:sectPr w:rsidR="00BA776B" w:rsidRPr="00BA776B">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vier Buezo" w:date="2022-01-21T12:39:00Z" w:initials="JB">
    <w:p w14:paraId="34397F06" w14:textId="77777777" w:rsidR="00AA674B" w:rsidRDefault="005E3BFF">
      <w:pPr>
        <w:pStyle w:val="CommentText"/>
      </w:pPr>
      <w:r>
        <w:rPr>
          <w:rStyle w:val="CommentReference"/>
        </w:rPr>
        <w:annotationRef/>
      </w:r>
      <w:r>
        <w:t>Idea para mirar en sinca. La gran cantidad de madera muerta puede hacer que el bosque de sinca sea tan resiliente como lo es ahora.</w:t>
      </w:r>
      <w:r w:rsidR="006150DE">
        <w:t xml:space="preserve"> Sistema de extracción  de 1 por 1 + </w:t>
      </w:r>
      <w:r w:rsidR="00A7394E">
        <w:t>Deadwood vs</w:t>
      </w:r>
      <w:r w:rsidR="006150DE">
        <w:t xml:space="preserve"> matarrasa como forma d</w:t>
      </w:r>
      <w:r w:rsidR="00A7394E">
        <w:t xml:space="preserve">e conservación y resistencia a sequías etc… </w:t>
      </w:r>
    </w:p>
    <w:p w14:paraId="2E65A923" w14:textId="77777777" w:rsidR="00AA674B" w:rsidRDefault="00AA674B">
      <w:pPr>
        <w:pStyle w:val="CommentText"/>
      </w:pPr>
    </w:p>
    <w:p w14:paraId="3562AF79" w14:textId="77777777" w:rsidR="005E3BFF" w:rsidRDefault="00AA674B">
      <w:pPr>
        <w:pStyle w:val="CommentText"/>
        <w:rPr>
          <w:sz w:val="65"/>
          <w:szCs w:val="65"/>
          <w:shd w:val="clear" w:color="auto" w:fill="FFFFFF"/>
          <w:lang w:val="en-GB"/>
        </w:rPr>
      </w:pPr>
      <w:r w:rsidRPr="00AA674B">
        <w:rPr>
          <w:sz w:val="85"/>
          <w:szCs w:val="85"/>
          <w:shd w:val="clear" w:color="auto" w:fill="FFFFFF"/>
          <w:lang w:val="en-GB"/>
        </w:rPr>
        <w:t>Dead wood in European beech (Fagus sylvatica) forest reserves</w:t>
      </w:r>
      <w:r w:rsidRPr="00AA674B">
        <w:rPr>
          <w:sz w:val="65"/>
          <w:szCs w:val="65"/>
          <w:shd w:val="clear" w:color="auto" w:fill="FFFFFF"/>
          <w:lang w:val="en-GB"/>
        </w:rPr>
        <w:t>Morten Christensen</w:t>
      </w:r>
      <w:r w:rsidRPr="00AA674B">
        <w:rPr>
          <w:sz w:val="43"/>
          <w:szCs w:val="43"/>
          <w:shd w:val="clear" w:color="auto" w:fill="FFFFFF"/>
          <w:lang w:val="en-GB"/>
        </w:rPr>
        <w:t>a</w:t>
      </w:r>
      <w:r w:rsidRPr="00AA674B">
        <w:rPr>
          <w:sz w:val="65"/>
          <w:szCs w:val="65"/>
          <w:shd w:val="clear" w:color="auto" w:fill="FFFFFF"/>
          <w:lang w:val="en-GB"/>
        </w:rPr>
        <w:t>, Katrine Hahn</w:t>
      </w:r>
      <w:r w:rsidRPr="00AA674B">
        <w:rPr>
          <w:sz w:val="43"/>
          <w:szCs w:val="43"/>
          <w:shd w:val="clear" w:color="auto" w:fill="FFFFFF"/>
          <w:lang w:val="en-GB"/>
        </w:rPr>
        <w:t>a,</w:t>
      </w:r>
      <w:r w:rsidRPr="00AA674B">
        <w:rPr>
          <w:sz w:val="65"/>
          <w:szCs w:val="65"/>
          <w:shd w:val="clear" w:color="auto" w:fill="FFFFFF"/>
          <w:lang w:val="en-GB"/>
        </w:rPr>
        <w:t>*, Edward P. Mountford</w:t>
      </w:r>
      <w:r w:rsidRPr="00AA674B">
        <w:rPr>
          <w:sz w:val="43"/>
          <w:szCs w:val="43"/>
          <w:shd w:val="clear" w:color="auto" w:fill="FFFFFF"/>
          <w:lang w:val="en-GB"/>
        </w:rPr>
        <w:t>b</w:t>
      </w:r>
      <w:r w:rsidRPr="00AA674B">
        <w:rPr>
          <w:sz w:val="65"/>
          <w:szCs w:val="65"/>
          <w:shd w:val="clear" w:color="auto" w:fill="FFFFFF"/>
          <w:lang w:val="en-GB"/>
        </w:rPr>
        <w:t>,Pe ́ter O ́dor</w:t>
      </w:r>
      <w:r w:rsidRPr="00AA674B">
        <w:rPr>
          <w:sz w:val="43"/>
          <w:szCs w:val="43"/>
          <w:shd w:val="clear" w:color="auto" w:fill="FFFFFF"/>
          <w:lang w:val="en-GB"/>
        </w:rPr>
        <w:t>c</w:t>
      </w:r>
      <w:r w:rsidRPr="00AA674B">
        <w:rPr>
          <w:sz w:val="65"/>
          <w:szCs w:val="65"/>
          <w:shd w:val="clear" w:color="auto" w:fill="FFFFFF"/>
          <w:lang w:val="en-GB"/>
        </w:rPr>
        <w:t>,Tibor Standova ́r</w:t>
      </w:r>
      <w:r w:rsidRPr="00AA674B">
        <w:rPr>
          <w:sz w:val="43"/>
          <w:szCs w:val="43"/>
          <w:shd w:val="clear" w:color="auto" w:fill="FFFFFF"/>
          <w:lang w:val="en-GB"/>
        </w:rPr>
        <w:t>c</w:t>
      </w:r>
      <w:r w:rsidRPr="00AA674B">
        <w:rPr>
          <w:sz w:val="65"/>
          <w:szCs w:val="65"/>
          <w:shd w:val="clear" w:color="auto" w:fill="FFFFFF"/>
          <w:lang w:val="en-GB"/>
        </w:rPr>
        <w:t>, Dusan Rozenbergar</w:t>
      </w:r>
      <w:r w:rsidRPr="00AA674B">
        <w:rPr>
          <w:sz w:val="43"/>
          <w:szCs w:val="43"/>
          <w:shd w:val="clear" w:color="auto" w:fill="FFFFFF"/>
          <w:lang w:val="en-GB"/>
        </w:rPr>
        <w:t>d</w:t>
      </w:r>
      <w:r w:rsidRPr="00AA674B">
        <w:rPr>
          <w:sz w:val="65"/>
          <w:szCs w:val="65"/>
          <w:shd w:val="clear" w:color="auto" w:fill="FFFFFF"/>
          <w:lang w:val="en-GB"/>
        </w:rPr>
        <w:t>, Jurij Diaci</w:t>
      </w:r>
      <w:r w:rsidRPr="00AA674B">
        <w:rPr>
          <w:sz w:val="43"/>
          <w:szCs w:val="43"/>
          <w:shd w:val="clear" w:color="auto" w:fill="FFFFFF"/>
          <w:lang w:val="en-GB"/>
        </w:rPr>
        <w:t>d</w:t>
      </w:r>
      <w:r w:rsidRPr="00AA674B">
        <w:rPr>
          <w:sz w:val="65"/>
          <w:szCs w:val="65"/>
          <w:shd w:val="clear" w:color="auto" w:fill="FFFFFF"/>
          <w:lang w:val="en-GB"/>
        </w:rPr>
        <w:t>, Sander Wijdeven</w:t>
      </w:r>
      <w:r w:rsidRPr="00AA674B">
        <w:rPr>
          <w:sz w:val="43"/>
          <w:szCs w:val="43"/>
          <w:shd w:val="clear" w:color="auto" w:fill="FFFFFF"/>
          <w:lang w:val="en-GB"/>
        </w:rPr>
        <w:t>e</w:t>
      </w:r>
      <w:r w:rsidRPr="00AA674B">
        <w:rPr>
          <w:sz w:val="65"/>
          <w:szCs w:val="65"/>
          <w:shd w:val="clear" w:color="auto" w:fill="FFFFFF"/>
          <w:lang w:val="en-GB"/>
        </w:rPr>
        <w:t>,Peter Meyer</w:t>
      </w:r>
      <w:r w:rsidRPr="00AA674B">
        <w:rPr>
          <w:sz w:val="43"/>
          <w:szCs w:val="43"/>
          <w:shd w:val="clear" w:color="auto" w:fill="FFFFFF"/>
          <w:lang w:val="en-GB"/>
        </w:rPr>
        <w:t>f</w:t>
      </w:r>
      <w:r w:rsidRPr="00AA674B">
        <w:rPr>
          <w:sz w:val="65"/>
          <w:szCs w:val="65"/>
          <w:shd w:val="clear" w:color="auto" w:fill="FFFFFF"/>
          <w:lang w:val="en-GB"/>
        </w:rPr>
        <w:t>, Susanne Winter</w:t>
      </w:r>
      <w:r w:rsidRPr="00AA674B">
        <w:rPr>
          <w:sz w:val="43"/>
          <w:szCs w:val="43"/>
          <w:shd w:val="clear" w:color="auto" w:fill="FFFFFF"/>
          <w:lang w:val="en-GB"/>
        </w:rPr>
        <w:t>g</w:t>
      </w:r>
      <w:r w:rsidRPr="00AA674B">
        <w:rPr>
          <w:sz w:val="65"/>
          <w:szCs w:val="65"/>
          <w:shd w:val="clear" w:color="auto" w:fill="FFFFFF"/>
          <w:lang w:val="en-GB"/>
        </w:rPr>
        <w:t>, Tomas Vrska</w:t>
      </w:r>
    </w:p>
    <w:p w14:paraId="61F04139" w14:textId="77777777" w:rsidR="004E5A47" w:rsidRDefault="004E5A47">
      <w:pPr>
        <w:pStyle w:val="CommentText"/>
        <w:rPr>
          <w:sz w:val="65"/>
          <w:szCs w:val="65"/>
          <w:shd w:val="clear" w:color="auto" w:fill="FFFFFF"/>
          <w:lang w:val="en-GB"/>
        </w:rPr>
      </w:pPr>
    </w:p>
    <w:p w14:paraId="5648E727" w14:textId="0DC79DBE" w:rsidR="004E5A47" w:rsidRPr="004E5A47" w:rsidRDefault="004E5A47">
      <w:pPr>
        <w:pStyle w:val="CommentText"/>
      </w:pPr>
      <w:r w:rsidRPr="004E5A47">
        <w:rPr>
          <w:sz w:val="65"/>
          <w:szCs w:val="65"/>
          <w:shd w:val="clear" w:color="auto" w:fill="FFFFFF"/>
        </w:rPr>
        <w:t>Para Jorge: Mortalidad d</w:t>
      </w:r>
      <w:r>
        <w:rPr>
          <w:sz w:val="65"/>
          <w:szCs w:val="65"/>
          <w:shd w:val="clear" w:color="auto" w:fill="FFFFFF"/>
        </w:rPr>
        <w:t xml:space="preserve">e arboles dependiente de nutrientes en el suelo. Aislamiento de arboles por acción humana </w:t>
      </w:r>
      <w:r w:rsidR="000C1D05">
        <w:rPr>
          <w:sz w:val="65"/>
          <w:szCs w:val="65"/>
          <w:shd w:val="clear" w:color="auto" w:fill="FFFFFF"/>
        </w:rPr>
        <w:t>o procesos naturales, reducción del suelo y mayor lavado de los nutrientes.</w:t>
      </w:r>
      <w:r w:rsidR="009E5850">
        <w:rPr>
          <w:sz w:val="65"/>
          <w:szCs w:val="65"/>
          <w:shd w:val="clear" w:color="auto" w:fill="FFFFFF"/>
        </w:rPr>
        <w:t xml:space="preserve"> Menor oxigenación – Desnitrificación – genes del nitrógeno en el suelo.</w:t>
      </w:r>
      <w:r w:rsidR="000C1D05">
        <w:rPr>
          <w:sz w:val="65"/>
          <w:szCs w:val="65"/>
          <w:shd w:val="clear" w:color="auto" w:fill="FFFFFF"/>
        </w:rPr>
        <w:t>.</w:t>
      </w:r>
    </w:p>
  </w:comment>
  <w:comment w:id="1" w:author="Javier Buezo" w:date="2022-01-21T12:45:00Z" w:initials="JB">
    <w:p w14:paraId="05C87220" w14:textId="4945CD7C" w:rsidR="008243EA" w:rsidRDefault="008243EA">
      <w:pPr>
        <w:pStyle w:val="CommentText"/>
      </w:pPr>
      <w:r>
        <w:rPr>
          <w:rStyle w:val="CommentReference"/>
        </w:rPr>
        <w:annotationRef/>
      </w:r>
      <w:r>
        <w:rPr>
          <w:sz w:val="40"/>
          <w:szCs w:val="40"/>
          <w:shd w:val="clear" w:color="auto" w:fill="FFFFFF"/>
        </w:rPr>
        <w:t xml:space="preserve">MCPFE, 2003. </w:t>
      </w:r>
      <w:r w:rsidRPr="008243EA">
        <w:rPr>
          <w:sz w:val="40"/>
          <w:szCs w:val="40"/>
          <w:shd w:val="clear" w:color="auto" w:fill="FFFFFF"/>
          <w:lang w:val="en-GB"/>
        </w:rPr>
        <w:t xml:space="preserve">Improved Pan-European Indicators for SustainableForest  Management  as  adopted  by  the  MCPFE  Expert  LevelMeeting 7–8 October 2002. </w:t>
      </w:r>
      <w:r>
        <w:rPr>
          <w:sz w:val="40"/>
          <w:szCs w:val="40"/>
          <w:shd w:val="clear" w:color="auto" w:fill="FFFFFF"/>
        </w:rPr>
        <w:t>Vienna, Austria, p. 6</w:t>
      </w:r>
    </w:p>
  </w:comment>
  <w:comment w:id="2" w:author="Javier Buezo" w:date="2022-01-20T12:21:00Z" w:initials="JB">
    <w:p w14:paraId="6375CE32" w14:textId="41F40C52" w:rsidR="006C4864" w:rsidRDefault="006C4864">
      <w:pPr>
        <w:pStyle w:val="CommentText"/>
      </w:pPr>
      <w:r>
        <w:rPr>
          <w:rStyle w:val="CommentReference"/>
        </w:rPr>
        <w:annotationRef/>
      </w:r>
      <w:r>
        <w:t>Revisar</w:t>
      </w:r>
    </w:p>
  </w:comment>
  <w:comment w:id="3" w:author="Javier Buezo" w:date="2022-01-20T12:19:00Z" w:initials="JB">
    <w:p w14:paraId="5C10275A" w14:textId="367BF8EE" w:rsidR="00DE5021" w:rsidRPr="0005019A" w:rsidRDefault="00DE5021">
      <w:pPr>
        <w:pStyle w:val="CommentText"/>
        <w:rPr>
          <w:lang w:val="en-US"/>
        </w:rPr>
      </w:pPr>
      <w:r>
        <w:rPr>
          <w:rStyle w:val="CommentReference"/>
        </w:rPr>
        <w:annotationRef/>
      </w:r>
      <w:r>
        <w:t xml:space="preserve">Hay mejores palabras para esta. Tengo una en la punta de la lengua. </w:t>
      </w:r>
      <w:r w:rsidRPr="0005019A">
        <w:rPr>
          <w:lang w:val="en-US"/>
        </w:rPr>
        <w:t>Atomized?</w:t>
      </w:r>
    </w:p>
  </w:comment>
  <w:comment w:id="4" w:author="Javier Buezo" w:date="2022-01-20T13:08:00Z" w:initials="JB">
    <w:p w14:paraId="6AD22F9F" w14:textId="77777777" w:rsidR="00C32A1A" w:rsidRPr="0071767D" w:rsidRDefault="00C32A1A" w:rsidP="00C32A1A">
      <w:pPr>
        <w:pStyle w:val="CommentText"/>
      </w:pPr>
      <w:r>
        <w:rPr>
          <w:rStyle w:val="CommentReference"/>
        </w:rPr>
        <w:annotationRef/>
      </w:r>
      <w:r w:rsidRPr="0005019A">
        <w:rPr>
          <w:lang w:val="en-US"/>
        </w:rPr>
        <w:t xml:space="preserve">IPCC (2007). Climate Change 2007: Impacts, Adaptation and Vulnera- bility. Contribution ofWorking Group II to the Fourth Assessment Report of the Intergovernmental Panel on Climate Change. </w:t>
      </w:r>
      <w:r w:rsidRPr="0071767D">
        <w:t>Cambridge Uni- versity Press, Cambridge, UK</w:t>
      </w:r>
    </w:p>
    <w:p w14:paraId="364DC4FE" w14:textId="1C79D030" w:rsidR="00C32A1A" w:rsidRPr="0071767D" w:rsidRDefault="00C32A1A">
      <w:pPr>
        <w:pStyle w:val="CommentText"/>
      </w:pPr>
    </w:p>
  </w:comment>
  <w:comment w:id="5" w:author="Javier Buezo" w:date="2022-01-20T13:21:00Z" w:initials="JB">
    <w:p w14:paraId="5F39FC5C" w14:textId="36F5B2B8" w:rsidR="00A35E8E" w:rsidRPr="00CF09B4" w:rsidRDefault="00A35E8E">
      <w:pPr>
        <w:pStyle w:val="CommentText"/>
      </w:pPr>
      <w:r>
        <w:rPr>
          <w:rStyle w:val="CommentReference"/>
        </w:rPr>
        <w:annotationRef/>
      </w:r>
      <w:r w:rsidRPr="00CF09B4">
        <w:t>Ponemos mapa?</w:t>
      </w:r>
    </w:p>
  </w:comment>
  <w:comment w:id="6" w:author="Javier Buezo" w:date="2022-01-20T13:24:00Z" w:initials="JB">
    <w:p w14:paraId="322C66A7" w14:textId="4E07D9B7" w:rsidR="00A90544" w:rsidRDefault="00A90544">
      <w:pPr>
        <w:pStyle w:val="CommentText"/>
      </w:pPr>
      <w:r>
        <w:rPr>
          <w:rStyle w:val="CommentReference"/>
        </w:rPr>
        <w:annotationRef/>
      </w:r>
      <w:r>
        <w:t xml:space="preserve">Cuando fue declarado </w:t>
      </w:r>
      <w:r w:rsidR="00CF09B4">
        <w:t>patrimonio por la unesco?</w:t>
      </w:r>
    </w:p>
  </w:comment>
  <w:comment w:id="7" w:author="Javier Buezo" w:date="2022-01-26T15:39:00Z" w:initials="JB">
    <w:p w14:paraId="0846FD8B" w14:textId="754DF2DA" w:rsidR="00F52F7A" w:rsidRPr="00800BAE" w:rsidRDefault="00F52F7A">
      <w:pPr>
        <w:pStyle w:val="CommentText"/>
        <w:rPr>
          <w:lang w:val="en-GB"/>
        </w:rPr>
      </w:pPr>
      <w:r>
        <w:rPr>
          <w:rStyle w:val="CommentReference"/>
        </w:rPr>
        <w:annotationRef/>
      </w:r>
      <w:r w:rsidRPr="00800BAE">
        <w:rPr>
          <w:lang w:val="en-GB"/>
        </w:rPr>
        <w:t xml:space="preserve">Abreviatura arriba. </w:t>
      </w:r>
    </w:p>
  </w:comment>
  <w:comment w:id="8" w:author="Javier Buezo" w:date="2022-06-02T10:57:00Z" w:initials="JB">
    <w:p w14:paraId="1676992B" w14:textId="721E7562" w:rsidR="00B6480F" w:rsidRPr="00B6480F" w:rsidRDefault="00B6480F">
      <w:pPr>
        <w:pStyle w:val="CommentText"/>
        <w:rPr>
          <w:lang w:val="en-GB"/>
        </w:rPr>
      </w:pPr>
      <w:r>
        <w:rPr>
          <w:rStyle w:val="CommentReference"/>
        </w:rPr>
        <w:annotationRef/>
      </w:r>
      <w:r w:rsidRPr="00B6480F">
        <w:rPr>
          <w:sz w:val="67"/>
          <w:szCs w:val="67"/>
          <w:shd w:val="clear" w:color="auto" w:fill="FFFFFF"/>
          <w:lang w:val="en-GB"/>
        </w:rPr>
        <w:t>Dead wood basic density, and the concentration of carbon and nitrogenfor main tree species in managed hemiboreal forests</w:t>
      </w:r>
    </w:p>
  </w:comment>
  <w:comment w:id="9" w:author="Javier Buezo" w:date="2022-01-20T15:37:00Z" w:initials="JB">
    <w:p w14:paraId="0092B8B5" w14:textId="1848C71E" w:rsidR="003C7793" w:rsidRPr="003C7793" w:rsidRDefault="003C7793">
      <w:pPr>
        <w:pStyle w:val="CommentText"/>
        <w:rPr>
          <w:lang w:val="en-US"/>
        </w:rPr>
      </w:pPr>
      <w:r>
        <w:rPr>
          <w:rStyle w:val="CommentReference"/>
        </w:rPr>
        <w:annotationRef/>
      </w:r>
      <w:r w:rsidRPr="00800BAE">
        <w:rPr>
          <w:lang w:val="en-GB"/>
        </w:rPr>
        <w:t xml:space="preserve">Estimated by eye? </w:t>
      </w:r>
      <w:r>
        <w:rPr>
          <w:lang w:val="en-US"/>
        </w:rPr>
        <w:t>How? Se explioca?</w:t>
      </w:r>
    </w:p>
  </w:comment>
  <w:comment w:id="10" w:author="Javier Buezo" w:date="2022-01-19T17:03:00Z" w:initials="JB">
    <w:p w14:paraId="11331269" w14:textId="6B0DD378" w:rsidR="00B90F6A" w:rsidRPr="00B90F6A" w:rsidRDefault="00B90F6A">
      <w:pPr>
        <w:pStyle w:val="CommentText"/>
        <w:rPr>
          <w:lang w:val="en-GB"/>
        </w:rPr>
      </w:pPr>
      <w:r>
        <w:rPr>
          <w:rStyle w:val="CommentReference"/>
        </w:rPr>
        <w:annotationRef/>
      </w:r>
      <w:r w:rsidRPr="00B90F6A">
        <w:rPr>
          <w:lang w:val="en-GB"/>
        </w:rPr>
        <w:t>Were selected for a specific r</w:t>
      </w:r>
      <w:r>
        <w:rPr>
          <w:lang w:val="en-GB"/>
        </w:rPr>
        <w:t>eason?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648E727" w15:done="0"/>
  <w15:commentEx w15:paraId="05C87220" w15:done="0"/>
  <w15:commentEx w15:paraId="6375CE32" w15:done="0"/>
  <w15:commentEx w15:paraId="5C10275A" w15:done="0"/>
  <w15:commentEx w15:paraId="364DC4FE" w15:done="0"/>
  <w15:commentEx w15:paraId="5F39FC5C" w15:done="0"/>
  <w15:commentEx w15:paraId="322C66A7" w15:done="0"/>
  <w15:commentEx w15:paraId="0846FD8B" w15:done="0"/>
  <w15:commentEx w15:paraId="1676992B" w15:done="0"/>
  <w15:commentEx w15:paraId="0092B8B5" w15:done="0"/>
  <w15:commentEx w15:paraId="113312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952801" w16cex:dateUtc="2022-01-21T11:39:00Z"/>
  <w16cex:commentExtensible w16cex:durableId="25952987" w16cex:dateUtc="2022-01-21T11:45:00Z"/>
  <w16cex:commentExtensible w16cex:durableId="2593D249" w16cex:dateUtc="2022-01-20T11:21:00Z"/>
  <w16cex:commentExtensible w16cex:durableId="2593D1CC" w16cex:dateUtc="2022-01-20T11:19:00Z"/>
  <w16cex:commentExtensible w16cex:durableId="2593DD6A" w16cex:dateUtc="2022-01-20T12:08:00Z"/>
  <w16cex:commentExtensible w16cex:durableId="2593E073" w16cex:dateUtc="2022-01-20T12:21:00Z"/>
  <w16cex:commentExtensible w16cex:durableId="2593E102" w16cex:dateUtc="2022-01-20T12:24:00Z"/>
  <w16cex:commentExtensible w16cex:durableId="259BE9CB" w16cex:dateUtc="2022-01-26T14:39:00Z"/>
  <w16cex:commentExtensible w16cex:durableId="26431605" w16cex:dateUtc="2022-06-02T08:57:00Z"/>
  <w16cex:commentExtensible w16cex:durableId="2594002A" w16cex:dateUtc="2022-01-20T14:37:00Z"/>
  <w16cex:commentExtensible w16cex:durableId="2592C2FA" w16cex:dateUtc="2022-01-19T16: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648E727" w16cid:durableId="25952801"/>
  <w16cid:commentId w16cid:paraId="05C87220" w16cid:durableId="25952987"/>
  <w16cid:commentId w16cid:paraId="6375CE32" w16cid:durableId="2593D249"/>
  <w16cid:commentId w16cid:paraId="5C10275A" w16cid:durableId="2593D1CC"/>
  <w16cid:commentId w16cid:paraId="364DC4FE" w16cid:durableId="2593DD6A"/>
  <w16cid:commentId w16cid:paraId="5F39FC5C" w16cid:durableId="2593E073"/>
  <w16cid:commentId w16cid:paraId="322C66A7" w16cid:durableId="2593E102"/>
  <w16cid:commentId w16cid:paraId="0846FD8B" w16cid:durableId="259BE9CB"/>
  <w16cid:commentId w16cid:paraId="1676992B" w16cid:durableId="26431605"/>
  <w16cid:commentId w16cid:paraId="0092B8B5" w16cid:durableId="2594002A"/>
  <w16cid:commentId w16cid:paraId="11331269" w16cid:durableId="2592C2F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vier Buezo">
    <w15:presenceInfo w15:providerId="None" w15:userId="Javier Buez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32E"/>
    <w:rsid w:val="0001743A"/>
    <w:rsid w:val="00027B74"/>
    <w:rsid w:val="0005019A"/>
    <w:rsid w:val="00093225"/>
    <w:rsid w:val="000A00F9"/>
    <w:rsid w:val="000A3710"/>
    <w:rsid w:val="000A632E"/>
    <w:rsid w:val="000A7B4D"/>
    <w:rsid w:val="000C1D05"/>
    <w:rsid w:val="000E5E15"/>
    <w:rsid w:val="00104508"/>
    <w:rsid w:val="001120C6"/>
    <w:rsid w:val="00120AA8"/>
    <w:rsid w:val="00127FE2"/>
    <w:rsid w:val="00142D3C"/>
    <w:rsid w:val="0015265A"/>
    <w:rsid w:val="001607A8"/>
    <w:rsid w:val="001612F4"/>
    <w:rsid w:val="00162D59"/>
    <w:rsid w:val="00163937"/>
    <w:rsid w:val="00172415"/>
    <w:rsid w:val="001948E5"/>
    <w:rsid w:val="001A3CD0"/>
    <w:rsid w:val="001C6302"/>
    <w:rsid w:val="001D3532"/>
    <w:rsid w:val="001D76FC"/>
    <w:rsid w:val="001F640A"/>
    <w:rsid w:val="00207E73"/>
    <w:rsid w:val="00231AA4"/>
    <w:rsid w:val="00233921"/>
    <w:rsid w:val="00233F11"/>
    <w:rsid w:val="00242FB9"/>
    <w:rsid w:val="00243A9D"/>
    <w:rsid w:val="00260477"/>
    <w:rsid w:val="00260562"/>
    <w:rsid w:val="00263F41"/>
    <w:rsid w:val="00272ADE"/>
    <w:rsid w:val="002804DB"/>
    <w:rsid w:val="00283F5E"/>
    <w:rsid w:val="00284166"/>
    <w:rsid w:val="002A3F54"/>
    <w:rsid w:val="002A488F"/>
    <w:rsid w:val="002A54C9"/>
    <w:rsid w:val="002B05E7"/>
    <w:rsid w:val="002B6D18"/>
    <w:rsid w:val="002B708B"/>
    <w:rsid w:val="002C6F85"/>
    <w:rsid w:val="002D006A"/>
    <w:rsid w:val="002D14B1"/>
    <w:rsid w:val="002D7675"/>
    <w:rsid w:val="002E1E8C"/>
    <w:rsid w:val="002E59A0"/>
    <w:rsid w:val="002F26E4"/>
    <w:rsid w:val="0032161E"/>
    <w:rsid w:val="003219D2"/>
    <w:rsid w:val="003272D6"/>
    <w:rsid w:val="00330C70"/>
    <w:rsid w:val="00334A00"/>
    <w:rsid w:val="003412F4"/>
    <w:rsid w:val="003756A0"/>
    <w:rsid w:val="00376768"/>
    <w:rsid w:val="003841AA"/>
    <w:rsid w:val="003917CA"/>
    <w:rsid w:val="003A0244"/>
    <w:rsid w:val="003B1AE9"/>
    <w:rsid w:val="003B76AC"/>
    <w:rsid w:val="003C7793"/>
    <w:rsid w:val="003D237E"/>
    <w:rsid w:val="003D5EDE"/>
    <w:rsid w:val="003E45F0"/>
    <w:rsid w:val="003E4C58"/>
    <w:rsid w:val="004013B3"/>
    <w:rsid w:val="00410478"/>
    <w:rsid w:val="00410CEF"/>
    <w:rsid w:val="00427969"/>
    <w:rsid w:val="00437729"/>
    <w:rsid w:val="00443625"/>
    <w:rsid w:val="00496F50"/>
    <w:rsid w:val="004B3E83"/>
    <w:rsid w:val="004C1067"/>
    <w:rsid w:val="004E5A47"/>
    <w:rsid w:val="004E5AFE"/>
    <w:rsid w:val="00503BD2"/>
    <w:rsid w:val="00520F6F"/>
    <w:rsid w:val="00545F2D"/>
    <w:rsid w:val="0054681E"/>
    <w:rsid w:val="00560EA9"/>
    <w:rsid w:val="00561BEE"/>
    <w:rsid w:val="00565EA8"/>
    <w:rsid w:val="00581A6C"/>
    <w:rsid w:val="005825F4"/>
    <w:rsid w:val="00593CFD"/>
    <w:rsid w:val="005A209C"/>
    <w:rsid w:val="005A228D"/>
    <w:rsid w:val="005A3A1A"/>
    <w:rsid w:val="005B347B"/>
    <w:rsid w:val="005B4E3A"/>
    <w:rsid w:val="005B5DDD"/>
    <w:rsid w:val="005C16DE"/>
    <w:rsid w:val="005C2075"/>
    <w:rsid w:val="005C5E3D"/>
    <w:rsid w:val="005E3BFF"/>
    <w:rsid w:val="005F3D00"/>
    <w:rsid w:val="006150DE"/>
    <w:rsid w:val="00616FE9"/>
    <w:rsid w:val="00624AA3"/>
    <w:rsid w:val="006273B7"/>
    <w:rsid w:val="006465D5"/>
    <w:rsid w:val="006605B7"/>
    <w:rsid w:val="006801FA"/>
    <w:rsid w:val="00685D51"/>
    <w:rsid w:val="00687D2D"/>
    <w:rsid w:val="006A1025"/>
    <w:rsid w:val="006A57FB"/>
    <w:rsid w:val="006A69B7"/>
    <w:rsid w:val="006B3D06"/>
    <w:rsid w:val="006C4864"/>
    <w:rsid w:val="006D26D8"/>
    <w:rsid w:val="00710776"/>
    <w:rsid w:val="007157CE"/>
    <w:rsid w:val="0071767D"/>
    <w:rsid w:val="00737FE6"/>
    <w:rsid w:val="00740BB9"/>
    <w:rsid w:val="0074726C"/>
    <w:rsid w:val="00765CE4"/>
    <w:rsid w:val="00780949"/>
    <w:rsid w:val="0079368C"/>
    <w:rsid w:val="007D2A23"/>
    <w:rsid w:val="007E514A"/>
    <w:rsid w:val="00800BAE"/>
    <w:rsid w:val="008076B9"/>
    <w:rsid w:val="00814DA5"/>
    <w:rsid w:val="00815329"/>
    <w:rsid w:val="00820F2D"/>
    <w:rsid w:val="008243EA"/>
    <w:rsid w:val="00826139"/>
    <w:rsid w:val="00834078"/>
    <w:rsid w:val="00840059"/>
    <w:rsid w:val="00847D35"/>
    <w:rsid w:val="00863A5C"/>
    <w:rsid w:val="00874B25"/>
    <w:rsid w:val="00891408"/>
    <w:rsid w:val="008A712E"/>
    <w:rsid w:val="008B34B4"/>
    <w:rsid w:val="008C0904"/>
    <w:rsid w:val="008D30DA"/>
    <w:rsid w:val="008E1997"/>
    <w:rsid w:val="0090182E"/>
    <w:rsid w:val="00915CEB"/>
    <w:rsid w:val="009277EB"/>
    <w:rsid w:val="009329C9"/>
    <w:rsid w:val="009420B1"/>
    <w:rsid w:val="00951E31"/>
    <w:rsid w:val="00957089"/>
    <w:rsid w:val="009630F6"/>
    <w:rsid w:val="009658FE"/>
    <w:rsid w:val="00986715"/>
    <w:rsid w:val="00992CFC"/>
    <w:rsid w:val="009E5850"/>
    <w:rsid w:val="00A05CEF"/>
    <w:rsid w:val="00A07108"/>
    <w:rsid w:val="00A073E8"/>
    <w:rsid w:val="00A35E8E"/>
    <w:rsid w:val="00A42309"/>
    <w:rsid w:val="00A53BBC"/>
    <w:rsid w:val="00A574CB"/>
    <w:rsid w:val="00A60FA7"/>
    <w:rsid w:val="00A623D9"/>
    <w:rsid w:val="00A66753"/>
    <w:rsid w:val="00A7394E"/>
    <w:rsid w:val="00A75415"/>
    <w:rsid w:val="00A75798"/>
    <w:rsid w:val="00A90544"/>
    <w:rsid w:val="00A962CA"/>
    <w:rsid w:val="00A97985"/>
    <w:rsid w:val="00AA13BB"/>
    <w:rsid w:val="00AA674B"/>
    <w:rsid w:val="00AC2D63"/>
    <w:rsid w:val="00AC6D1E"/>
    <w:rsid w:val="00AD104F"/>
    <w:rsid w:val="00AD63A3"/>
    <w:rsid w:val="00AD795B"/>
    <w:rsid w:val="00B32C85"/>
    <w:rsid w:val="00B34E4D"/>
    <w:rsid w:val="00B41A4B"/>
    <w:rsid w:val="00B4218E"/>
    <w:rsid w:val="00B43A5A"/>
    <w:rsid w:val="00B6480F"/>
    <w:rsid w:val="00B65991"/>
    <w:rsid w:val="00B8330B"/>
    <w:rsid w:val="00B90F6A"/>
    <w:rsid w:val="00BA776B"/>
    <w:rsid w:val="00BB2145"/>
    <w:rsid w:val="00BB5200"/>
    <w:rsid w:val="00BC25AD"/>
    <w:rsid w:val="00BD3C1E"/>
    <w:rsid w:val="00BE589F"/>
    <w:rsid w:val="00BF0CB4"/>
    <w:rsid w:val="00BF4767"/>
    <w:rsid w:val="00C03F4C"/>
    <w:rsid w:val="00C14953"/>
    <w:rsid w:val="00C169A1"/>
    <w:rsid w:val="00C16C6B"/>
    <w:rsid w:val="00C213BA"/>
    <w:rsid w:val="00C26BB6"/>
    <w:rsid w:val="00C2761F"/>
    <w:rsid w:val="00C3019A"/>
    <w:rsid w:val="00C32A1A"/>
    <w:rsid w:val="00C361D1"/>
    <w:rsid w:val="00C40BC3"/>
    <w:rsid w:val="00C4175F"/>
    <w:rsid w:val="00C53EDA"/>
    <w:rsid w:val="00C54C82"/>
    <w:rsid w:val="00C92338"/>
    <w:rsid w:val="00C92E3A"/>
    <w:rsid w:val="00CB0C15"/>
    <w:rsid w:val="00CB0C24"/>
    <w:rsid w:val="00CB5C8E"/>
    <w:rsid w:val="00CC60A8"/>
    <w:rsid w:val="00CD623B"/>
    <w:rsid w:val="00CE1833"/>
    <w:rsid w:val="00CE35F4"/>
    <w:rsid w:val="00CE5D6B"/>
    <w:rsid w:val="00CE6C68"/>
    <w:rsid w:val="00CF07FD"/>
    <w:rsid w:val="00CF09B4"/>
    <w:rsid w:val="00CF1727"/>
    <w:rsid w:val="00CF189D"/>
    <w:rsid w:val="00CF5FD7"/>
    <w:rsid w:val="00D3168D"/>
    <w:rsid w:val="00D4153C"/>
    <w:rsid w:val="00D540B4"/>
    <w:rsid w:val="00D675DB"/>
    <w:rsid w:val="00D83965"/>
    <w:rsid w:val="00D92F02"/>
    <w:rsid w:val="00D953E1"/>
    <w:rsid w:val="00DA580A"/>
    <w:rsid w:val="00DC0938"/>
    <w:rsid w:val="00DC32A4"/>
    <w:rsid w:val="00DE5021"/>
    <w:rsid w:val="00DF074A"/>
    <w:rsid w:val="00E15601"/>
    <w:rsid w:val="00E25034"/>
    <w:rsid w:val="00E44C53"/>
    <w:rsid w:val="00E4721B"/>
    <w:rsid w:val="00E4735F"/>
    <w:rsid w:val="00E52C95"/>
    <w:rsid w:val="00E541E3"/>
    <w:rsid w:val="00E5590A"/>
    <w:rsid w:val="00E606E1"/>
    <w:rsid w:val="00E87E32"/>
    <w:rsid w:val="00EA0816"/>
    <w:rsid w:val="00EB5295"/>
    <w:rsid w:val="00ED2230"/>
    <w:rsid w:val="00EE3860"/>
    <w:rsid w:val="00EF06E6"/>
    <w:rsid w:val="00EF6A7C"/>
    <w:rsid w:val="00F10BF2"/>
    <w:rsid w:val="00F24C45"/>
    <w:rsid w:val="00F252A0"/>
    <w:rsid w:val="00F255ED"/>
    <w:rsid w:val="00F3367B"/>
    <w:rsid w:val="00F3573C"/>
    <w:rsid w:val="00F5294A"/>
    <w:rsid w:val="00F52F7A"/>
    <w:rsid w:val="00F6122E"/>
    <w:rsid w:val="00F666EA"/>
    <w:rsid w:val="00F7361D"/>
    <w:rsid w:val="00F741B0"/>
    <w:rsid w:val="00F75142"/>
    <w:rsid w:val="00F76ABB"/>
    <w:rsid w:val="00F81A5F"/>
    <w:rsid w:val="00F92066"/>
    <w:rsid w:val="00F9586E"/>
    <w:rsid w:val="00F97DF4"/>
    <w:rsid w:val="00FA69C2"/>
    <w:rsid w:val="00FB6BDE"/>
    <w:rsid w:val="00FC059B"/>
    <w:rsid w:val="00FE34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A1144"/>
  <w15:chartTrackingRefBased/>
  <w15:docId w15:val="{A0B4461F-4587-4985-8EAF-303A76BE3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02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A102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02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A1025"/>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B90F6A"/>
    <w:rPr>
      <w:sz w:val="16"/>
      <w:szCs w:val="16"/>
    </w:rPr>
  </w:style>
  <w:style w:type="paragraph" w:styleId="CommentText">
    <w:name w:val="annotation text"/>
    <w:basedOn w:val="Normal"/>
    <w:link w:val="CommentTextChar"/>
    <w:uiPriority w:val="99"/>
    <w:semiHidden/>
    <w:unhideWhenUsed/>
    <w:rsid w:val="00B90F6A"/>
    <w:pPr>
      <w:spacing w:line="240" w:lineRule="auto"/>
    </w:pPr>
    <w:rPr>
      <w:sz w:val="20"/>
      <w:szCs w:val="20"/>
    </w:rPr>
  </w:style>
  <w:style w:type="character" w:customStyle="1" w:styleId="CommentTextChar">
    <w:name w:val="Comment Text Char"/>
    <w:basedOn w:val="DefaultParagraphFont"/>
    <w:link w:val="CommentText"/>
    <w:uiPriority w:val="99"/>
    <w:semiHidden/>
    <w:rsid w:val="00B90F6A"/>
    <w:rPr>
      <w:sz w:val="20"/>
      <w:szCs w:val="20"/>
    </w:rPr>
  </w:style>
  <w:style w:type="paragraph" w:styleId="CommentSubject">
    <w:name w:val="annotation subject"/>
    <w:basedOn w:val="CommentText"/>
    <w:next w:val="CommentText"/>
    <w:link w:val="CommentSubjectChar"/>
    <w:uiPriority w:val="99"/>
    <w:semiHidden/>
    <w:unhideWhenUsed/>
    <w:rsid w:val="00B90F6A"/>
    <w:rPr>
      <w:b/>
      <w:bCs/>
    </w:rPr>
  </w:style>
  <w:style w:type="character" w:customStyle="1" w:styleId="CommentSubjectChar">
    <w:name w:val="Comment Subject Char"/>
    <w:basedOn w:val="CommentTextChar"/>
    <w:link w:val="CommentSubject"/>
    <w:uiPriority w:val="99"/>
    <w:semiHidden/>
    <w:rsid w:val="00B90F6A"/>
    <w:rPr>
      <w:b/>
      <w:bCs/>
      <w:sz w:val="20"/>
      <w:szCs w:val="20"/>
    </w:rPr>
  </w:style>
  <w:style w:type="table" w:styleId="TableGrid">
    <w:name w:val="Table Grid"/>
    <w:basedOn w:val="TableNormal"/>
    <w:uiPriority w:val="39"/>
    <w:rsid w:val="00BD3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613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449B3-D04B-46EB-BF00-02C36225A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2277</TotalTime>
  <Pages>7</Pages>
  <Words>18642</Words>
  <Characters>102535</Characters>
  <Application>Microsoft Office Word</Application>
  <DocSecurity>0</DocSecurity>
  <Lines>854</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Buezo</dc:creator>
  <cp:keywords/>
  <dc:description/>
  <cp:lastModifiedBy>Javier Buezo</cp:lastModifiedBy>
  <cp:revision>255</cp:revision>
  <dcterms:created xsi:type="dcterms:W3CDTF">2022-01-19T10:31:00Z</dcterms:created>
  <dcterms:modified xsi:type="dcterms:W3CDTF">2022-06-09T15:17:00Z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9663f3c3-12d3-3cf1-a8c7-51063d34b098</vt:lpwstr>
  </property>
  <property fmtid="{D5CDD505-2E9C-101B-9397-08002B2CF9AE}" pid="24" name="Mendeley Citation Style_1">
    <vt:lpwstr>http://www.zotero.org/styles/apa</vt:lpwstr>
  </property>
</Properties>
</file>