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
        <w:jc w:val="center"/>
      </w:pPr>
      <w:r>
        <w:rPr>
          <w:rFonts w:ascii="Arial" w:cs="Arial" w:eastAsia="Arial" w:hAnsi="Arial"/>
          <w:b/>
          <w:bCs/>
          <w:color w:val="1F4E79"/>
          <w:sz w:val="36"/>
          <w:szCs w:val="36"/>
        </w:rPr>
        <w:t xml:space="preserve">INFORME DE PROYECTO</w:t>
      </w:r>
    </w:p>
    <w:p>
      <w:pPr>
        <w:spacing w:after="80"/>
        <w:jc w:val="center"/>
      </w:pPr>
      <w:r>
        <w:rPr>
          <w:rFonts w:ascii="Arial" w:cs="Arial" w:eastAsia="Arial" w:hAnsi="Arial"/>
          <w:b/>
          <w:bCs/>
          <w:color w:val="2E75B6"/>
          <w:sz w:val="28"/>
          <w:szCs w:val="28"/>
        </w:rPr>
        <w:t xml:space="preserve">Asistente RAG de Soporte Técnico</w:t>
      </w:r>
    </w:p>
    <w:p>
      <w:pPr>
        <w:spacing w:after="200"/>
        <w:jc w:val="center"/>
      </w:pPr>
      <w:r>
        <w:rPr>
          <w:rFonts w:ascii="Arial" w:cs="Arial" w:eastAsia="Arial" w:hAnsi="Arial"/>
          <w:color w:val="666666"/>
          <w:sz w:val="20"/>
          <w:szCs w:val="20"/>
        </w:rPr>
        <w:t xml:space="preserve">IA Embebida en Sistemas Computacionales  ·  Ingeniería Informática</w:t>
      </w:r>
    </w:p>
    <w:p>
      <w:pPr>
        <w:pBdr>
          <w:bottom w:val="single" w:color="2E75B6" w:sz="12" w:space="1"/>
        </w:pBdr>
        <w:spacing w:after="240"/>
      </w:pPr>
      <w:r>
        <w:t xml:space="preserve"/>
      </w:r>
    </w:p>
    <w:p>
      <w:pPr>
        <w:pBdr>
          <w:bottom w:val="single" w:color="2E75B6" w:sz="8" w:space="1"/>
        </w:pBdr>
        <w:spacing w:after="120" w:before="320"/>
      </w:pPr>
      <w:r>
        <w:rPr>
          <w:rFonts w:ascii="Arial" w:cs="Arial" w:eastAsia="Arial" w:hAnsi="Arial"/>
          <w:b/>
          <w:bCs/>
          <w:color w:val="1F4E79"/>
          <w:sz w:val="32"/>
          <w:szCs w:val="32"/>
        </w:rPr>
        <w:t xml:space="preserve">1. Descripción del Problema Abordado</w:t>
      </w:r>
    </w:p>
    <w:p>
      <w:pPr>
        <w:spacing w:after="80"/>
        <w:jc w:val="both"/>
      </w:pPr>
      <w:r>
        <w:rPr>
          <w:rFonts w:ascii="Arial" w:cs="Arial" w:eastAsia="Arial" w:hAnsi="Arial"/>
          <w:sz w:val="20"/>
          <w:szCs w:val="20"/>
        </w:rPr>
        <w:t xml:space="preserve">Los modelos de lenguaje de gran escala (LLM) presentan una limitación fundamental: su conocimiento queda congelado en el momento de su entrenamiento. Esto los hace incapaces de responder preguntas sobre documentación interna, procedimientos propios de una organización o información reciente no incluida en su corpus de entrenamiento.</w:t>
      </w:r>
    </w:p>
    <w:p>
      <w:pPr>
        <w:spacing w:after="60"/>
      </w:pPr>
      <w:r>
        <w:t xml:space="preserve"/>
      </w:r>
    </w:p>
    <w:p>
      <w:pPr>
        <w:spacing w:after="80"/>
        <w:jc w:val="both"/>
      </w:pPr>
      <w:r>
        <w:rPr>
          <w:rFonts w:ascii="Arial" w:cs="Arial" w:eastAsia="Arial" w:hAnsi="Arial"/>
          <w:sz w:val="20"/>
          <w:szCs w:val="20"/>
        </w:rPr>
        <w:t xml:space="preserve">En el contexto de una empresa tecnológica, esto representa un problema crítico: los técnicos y usuarios deben consultar manualmente múltiples manuales (Docker, Linux, Git) y documentos de procedimientos, lo que genera tiempos de respuesta elevados y respuestas inconsistentes.</w:t>
      </w:r>
    </w:p>
    <w:p>
      <w:pPr>
        <w:spacing w:after="60"/>
      </w:pPr>
      <w:r>
        <w:t xml:space="preserve"/>
      </w:r>
    </w:p>
    <w:p>
      <w:pPr>
        <w:spacing w:after="80"/>
        <w:jc w:val="both"/>
      </w:pPr>
      <w:r>
        <w:rPr>
          <w:rFonts w:ascii="Arial" w:cs="Arial" w:eastAsia="Arial" w:hAnsi="Arial"/>
          <w:sz w:val="20"/>
          <w:szCs w:val="20"/>
        </w:rPr>
        <w:t xml:space="preserve">La solución implementada corresponde a la arquitectura RAG (Retrieval Augmented Generation), que resuelve esta limitación mediante dos fases:</w:t>
      </w:r>
    </w:p>
    <w:p>
      <w:pPr>
        <w:pStyle w:val="ListParagraph"/>
        <w:numPr>
          <w:ilvl w:val="0"/>
          <w:numId w:val="2"/>
        </w:numPr>
        <w:spacing w:after="60"/>
      </w:pPr>
      <w:r>
        <w:rPr>
          <w:rFonts w:ascii="Arial" w:cs="Arial" w:eastAsia="Arial" w:hAnsi="Arial"/>
          <w:sz w:val="20"/>
          <w:szCs w:val="20"/>
        </w:rPr>
        <w:t xml:space="preserve">Fase de Recuperación: El sistema busca semánticamente en la documentación interna los fragmentos más relevantes a la consulta del usuario.</w:t>
      </w:r>
    </w:p>
    <w:p>
      <w:pPr>
        <w:pStyle w:val="ListParagraph"/>
        <w:numPr>
          <w:ilvl w:val="0"/>
          <w:numId w:val="2"/>
        </w:numPr>
        <w:spacing w:after="60"/>
      </w:pPr>
      <w:r>
        <w:rPr>
          <w:rFonts w:ascii="Arial" w:cs="Arial" w:eastAsia="Arial" w:hAnsi="Arial"/>
          <w:sz w:val="20"/>
          <w:szCs w:val="20"/>
        </w:rPr>
        <w:t xml:space="preserve">Fase de Generación: Un modelo de lenguaje local (LLM) genera una respuesta fundamentada exclusivamente en los fragmentos recuperados, citando las fuentes utilizadas.</w:t>
      </w:r>
    </w:p>
    <w:p>
      <w:pPr>
        <w:spacing w:after="60"/>
      </w:pPr>
      <w:r>
        <w:t xml:space="preserve"/>
      </w:r>
    </w:p>
    <w:p>
      <w:pPr>
        <w:spacing w:after="80"/>
        <w:jc w:val="both"/>
      </w:pPr>
      <w:r>
        <w:rPr>
          <w:rFonts w:ascii="Arial" w:cs="Arial" w:eastAsia="Arial" w:hAnsi="Arial"/>
          <w:sz w:val="20"/>
          <w:szCs w:val="20"/>
        </w:rPr>
        <w:t xml:space="preserve">El sistema desarrollado actúa como asistente de soporte técnico interno, respondiendo consultas sobre Docker, Linux, Git y procedimientos de soporte usando únicamente la documentación oficial de la empresa.</w:t>
      </w:r>
    </w:p>
    <w:p>
      <w:pPr>
        <w:spacing w:after="60"/>
      </w:pPr>
      <w:r>
        <w:t xml:space="preserve"/>
      </w:r>
    </w:p>
    <w:p>
      <w:pPr>
        <w:pBdr>
          <w:bottom w:val="single" w:color="2E75B6" w:sz="8" w:space="1"/>
        </w:pBdr>
        <w:spacing w:after="120" w:before="320"/>
      </w:pPr>
      <w:r>
        <w:rPr>
          <w:rFonts w:ascii="Arial" w:cs="Arial" w:eastAsia="Arial" w:hAnsi="Arial"/>
          <w:b/>
          <w:bCs/>
          <w:color w:val="1F4E79"/>
          <w:sz w:val="32"/>
          <w:szCs w:val="32"/>
        </w:rPr>
        <w:t xml:space="preserve">2. Tecnologías Utilizadas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Componente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Tecnología</w:t>
            </w:r>
          </w:p>
        </w:tc>
        <w:tc>
          <w:tcPr>
            <w:tcW w:type="dxa" w:w="40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Justificación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Embeddings</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SentenceTransformers
all-MiniLM-L6-v2</w:t>
            </w:r>
          </w:p>
        </w:tc>
        <w:tc>
          <w:tcPr>
            <w:tcW w:type="dxa" w:w="4026"/>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384 dimensiones, ligero (~80MB), sin GPU, entrenado para similitud semántica de oraciones.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Base Vectorial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ChromaDB</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Persistencia en disco, sin servidor externo, búsqueda por distancia coseno, API Python nativa.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LLM</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Ollama + Mistral 7B</w:t>
            </w:r>
          </w:p>
        </w:tc>
        <w:tc>
          <w:tcPr>
            <w:tcW w:type="dxa" w:w="4026"/>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Ejecución 100% local, cumple requisito ≤7B, buena comprensión del español y código técnico.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Documentos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Markdown (.md)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Corpus de 4 documentos: Docker, Linux, Git y Procedimientos de Soporte.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Lenguaje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Python 3.10+</w:t>
            </w:r>
          </w:p>
        </w:tc>
        <w:tc>
          <w:tcPr>
            <w:tcW w:type="dxa" w:w="4026"/>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Ecosistema ML maduro, compatibilidad con todas las bibliotecas utilizadas.</w:t>
            </w:r>
          </w:p>
        </w:tc>
      </w:tr>
    </w:tbl>
    <w:p>
      <w:pPr>
        <w:spacing w:after="60"/>
      </w:pPr>
      <w:r>
        <w:t xml:space="preserve"/>
      </w:r>
    </w:p>
    <w:p>
      <w:pPr>
        <w:spacing w:after="80" w:before="240"/>
      </w:pPr>
      <w:r>
        <w:rPr>
          <w:rFonts w:ascii="Arial" w:cs="Arial" w:eastAsia="Arial" w:hAnsi="Arial"/>
          <w:b/>
          <w:bCs/>
          <w:color w:val="2E75B6"/>
          <w:sz w:val="24"/>
          <w:szCs w:val="24"/>
        </w:rPr>
        <w:t xml:space="preserve">2.1 Decisiones de Fragmentación (Chunking)</w:t>
      </w:r>
    </w:p>
    <w:p>
      <w:pPr>
        <w:spacing w:after="60"/>
      </w:pPr>
      <w:r>
        <w:rPr>
          <w:rFonts w:ascii="Arial" w:cs="Arial" w:eastAsia="Arial" w:hAnsi="Arial"/>
          <w:b/>
          <w:bCs/>
          <w:sz w:val="20"/>
          <w:szCs w:val="20"/>
        </w:rPr>
        <w:t xml:space="preserve">Tamaño de chunk: </w:t>
      </w:r>
      <w:r>
        <w:rPr>
          <w:rFonts w:ascii="Arial" w:cs="Arial" w:eastAsia="Arial" w:hAnsi="Arial"/>
          <w:sz w:val="20"/>
          <w:szCs w:val="20"/>
        </w:rPr>
        <w:t xml:space="preserve">800 caracteres.</w:t>
      </w:r>
    </w:p>
    <w:p>
      <w:pPr>
        <w:spacing w:after="80"/>
        <w:jc w:val="both"/>
      </w:pPr>
      <w:r>
        <w:rPr>
          <w:rFonts w:ascii="Arial" w:cs="Arial" w:eastAsia="Arial" w:hAnsi="Arial"/>
          <w:sz w:val="20"/>
          <w:szCs w:val="20"/>
        </w:rPr>
        <w:t xml:space="preserve">Justificación: Captura párrafos técnicos completos manteniendo suficiente contexto semántico. El modelo de embeddings all-MiniLM-L6-v2 admite hasta 512 tokens (~2.000 caracteres), por lo que 800 caracteres garantizan que cada chunk sea procesado completamente sin truncamiento, preservando la coherencia semántica del fragmento.</w:t>
      </w:r>
    </w:p>
    <w:p>
      <w:pPr>
        <w:spacing w:after="60"/>
      </w:pPr>
      <w:r>
        <w:t xml:space="preserve"/>
      </w:r>
    </w:p>
    <w:p>
      <w:pPr>
        <w:spacing w:after="60"/>
      </w:pPr>
      <w:r>
        <w:rPr>
          <w:rFonts w:ascii="Arial" w:cs="Arial" w:eastAsia="Arial" w:hAnsi="Arial"/>
          <w:b/>
          <w:bCs/>
          <w:sz w:val="20"/>
          <w:szCs w:val="20"/>
        </w:rPr>
        <w:t xml:space="preserve">Solapamiento (overlap): </w:t>
      </w:r>
      <w:r>
        <w:rPr>
          <w:rFonts w:ascii="Arial" w:cs="Arial" w:eastAsia="Arial" w:hAnsi="Arial"/>
          <w:sz w:val="20"/>
          <w:szCs w:val="20"/>
        </w:rPr>
        <w:t xml:space="preserve">150 caracteres (18,75%).</w:t>
      </w:r>
    </w:p>
    <w:p>
      <w:pPr>
        <w:spacing w:after="80"/>
        <w:jc w:val="both"/>
      </w:pPr>
      <w:r>
        <w:rPr>
          <w:rFonts w:ascii="Arial" w:cs="Arial" w:eastAsia="Arial" w:hAnsi="Arial"/>
          <w:sz w:val="20"/>
          <w:szCs w:val="20"/>
        </w:rPr>
        <w:t xml:space="preserve">Justificación: Asegura que las ideas o instrucciones técnicas que cruzan el borde entre dos chunks consecutivos no se pierdan durante la recuperación. Un porcentaje de solapamiento del ~18% es estándar en sistemas RAG para documentación técnica donde los pasos de un procedimiento pueden dividirse entre chunks.</w:t>
      </w:r>
    </w:p>
    <w:p>
      <w:pPr>
        <w:spacing w:after="0"/>
      </w:pPr>
      <w:r>
        <w:br w:type="page"/>
      </w:r>
    </w:p>
    <w:p>
      <w:pPr>
        <w:pBdr>
          <w:bottom w:val="single" w:color="2E75B6" w:sz="8" w:space="1"/>
        </w:pBdr>
        <w:spacing w:after="120" w:before="320"/>
      </w:pPr>
      <w:r>
        <w:rPr>
          <w:rFonts w:ascii="Arial" w:cs="Arial" w:eastAsia="Arial" w:hAnsi="Arial"/>
          <w:b/>
          <w:bCs/>
          <w:color w:val="1F4E79"/>
          <w:sz w:val="32"/>
          <w:szCs w:val="32"/>
        </w:rPr>
        <w:t xml:space="preserve">3. Flujo de Funcionamiento de la Solución</w:t>
      </w:r>
    </w:p>
    <w:p>
      <w:pPr>
        <w:spacing w:after="80" w:before="240"/>
      </w:pPr>
      <w:r>
        <w:rPr>
          <w:rFonts w:ascii="Arial" w:cs="Arial" w:eastAsia="Arial" w:hAnsi="Arial"/>
          <w:b/>
          <w:bCs/>
          <w:color w:val="2E75B6"/>
          <w:sz w:val="24"/>
          <w:szCs w:val="24"/>
        </w:rPr>
        <w:t xml:space="preserve">3.1 Fase de Indexación (una sola vez)</w:t>
      </w:r>
    </w:p>
    <w:p>
      <w:pPr>
        <w:spacing w:after="80"/>
        <w:jc w:val="both"/>
      </w:pPr>
      <w:r>
        <w:rPr>
          <w:rFonts w:ascii="Arial" w:cs="Arial" w:eastAsia="Arial" w:hAnsi="Arial"/>
          <w:sz w:val="20"/>
          <w:szCs w:val="20"/>
        </w:rPr>
        <w:t xml:space="preserve">La indexación se ejecuta automáticamente al iniciar el sistema si la base vectorial está vacía:</w:t>
      </w:r>
    </w:p>
    <w:p>
      <w:pPr>
        <w:spacing w:after="60"/>
      </w:pPr>
      <w:r>
        <w:t xml:space="preserve"/>
      </w:r>
    </w:p>
    <w:p>
      <w:pPr>
        <w:spacing w:after="60"/>
      </w:pPr>
      <w:r>
        <w:rPr>
          <w:rFonts w:ascii="Arial" w:cs="Arial" w:eastAsia="Arial" w:hAnsi="Arial"/>
          <w:b/>
          <w:bCs/>
          <w:color w:val="2E75B6"/>
          <w:sz w:val="20"/>
          <w:szCs w:val="20"/>
        </w:rPr>
        <w:t xml:space="preserve">PASO 1 — Ingesta Documental</w:t>
      </w:r>
    </w:p>
    <w:p>
      <w:pPr>
        <w:spacing w:after="80"/>
        <w:jc w:val="both"/>
      </w:pPr>
      <w:r>
        <w:rPr>
          <w:rFonts w:ascii="Arial" w:cs="Arial" w:eastAsia="Arial" w:hAnsi="Arial"/>
          <w:sz w:val="20"/>
          <w:szCs w:val="20"/>
        </w:rPr>
        <w:t xml:space="preserve">El módulo rag_pipeline.py carga los archivos .md del directorio docs/ utilizando codificación UTF-8. El sistema soporta también .txt y .pdf (con PyMuPDF). Cada documento queda como una tupla (contenido, ruta_origen).</w:t>
      </w:r>
    </w:p>
    <w:p>
      <w:pPr>
        <w:spacing w:after="60"/>
      </w:pPr>
      <w:r>
        <w:t xml:space="preserve"/>
      </w:r>
    </w:p>
    <w:p>
      <w:pPr>
        <w:spacing w:after="60"/>
      </w:pPr>
      <w:r>
        <w:rPr>
          <w:rFonts w:ascii="Arial" w:cs="Arial" w:eastAsia="Arial" w:hAnsi="Arial"/>
          <w:b/>
          <w:bCs/>
          <w:color w:val="2E75B6"/>
          <w:sz w:val="20"/>
          <w:szCs w:val="20"/>
        </w:rPr>
        <w:t xml:space="preserve">PASO 2 — Fragmentación (Chunking)</w:t>
      </w:r>
    </w:p>
    <w:p>
      <w:pPr>
        <w:spacing w:after="80"/>
        <w:jc w:val="both"/>
      </w:pPr>
      <w:r>
        <w:rPr>
          <w:rFonts w:ascii="Arial" w:cs="Arial" w:eastAsia="Arial" w:hAnsi="Arial"/>
          <w:sz w:val="20"/>
          <w:szCs w:val="20"/>
        </w:rPr>
        <w:t xml:space="preserve">Cada documento se divide en fragmentos de 800 caracteres con 150 de solapamiento. La estrategia prioriza los saltos de párrafo naturales (doble \n) antes de cortar por longitud, preservando la coherencia semántica. Cada chunk registra su documento origen y su índice.</w:t>
      </w:r>
    </w:p>
    <w:p>
      <w:pPr>
        <w:spacing w:after="60"/>
      </w:pPr>
      <w:r>
        <w:t xml:space="preserve"/>
      </w:r>
    </w:p>
    <w:p>
      <w:pPr>
        <w:spacing w:after="60"/>
      </w:pPr>
      <w:r>
        <w:rPr>
          <w:rFonts w:ascii="Arial" w:cs="Arial" w:eastAsia="Arial" w:hAnsi="Arial"/>
          <w:b/>
          <w:bCs/>
          <w:color w:val="2E75B6"/>
          <w:sz w:val="20"/>
          <w:szCs w:val="20"/>
        </w:rPr>
        <w:t xml:space="preserve">PASO 3 — Generación de Embeddings</w:t>
      </w:r>
    </w:p>
    <w:p>
      <w:pPr>
        <w:spacing w:after="80"/>
        <w:jc w:val="both"/>
      </w:pPr>
      <w:r>
        <w:rPr>
          <w:rFonts w:ascii="Arial" w:cs="Arial" w:eastAsia="Arial" w:hAnsi="Arial"/>
          <w:sz w:val="20"/>
          <w:szCs w:val="20"/>
        </w:rPr>
        <w:t xml:space="preserve">El modelo all-MiniLM-L6-v2 convierte cada fragmento de texto en un vector de 384 dimensiones. Los embeddings son normalizados (norma L2 = 1) para optimizar la búsqueda por similitud coseno. Este proceso se realiza en CPU sin requerir GPU.</w:t>
      </w:r>
    </w:p>
    <w:p>
      <w:pPr>
        <w:spacing w:after="60"/>
      </w:pPr>
      <w:r>
        <w:t xml:space="preserve"/>
      </w:r>
    </w:p>
    <w:p>
      <w:pPr>
        <w:spacing w:after="60"/>
      </w:pPr>
      <w:r>
        <w:rPr>
          <w:rFonts w:ascii="Arial" w:cs="Arial" w:eastAsia="Arial" w:hAnsi="Arial"/>
          <w:b/>
          <w:bCs/>
          <w:color w:val="2E75B6"/>
          <w:sz w:val="20"/>
          <w:szCs w:val="20"/>
        </w:rPr>
        <w:t xml:space="preserve">PASO 4 — Almacenamiento en ChromaDB</w:t>
      </w:r>
    </w:p>
    <w:p>
      <w:pPr>
        <w:spacing w:after="80"/>
        <w:jc w:val="both"/>
      </w:pPr>
      <w:r>
        <w:rPr>
          <w:rFonts w:ascii="Arial" w:cs="Arial" w:eastAsia="Arial" w:hAnsi="Arial"/>
          <w:sz w:val="20"/>
          <w:szCs w:val="20"/>
        </w:rPr>
        <w:t xml:space="preserve">Los vectores, textos y metadatos (nombre del archivo, índice del chunk) se almacenan en una colección ChromaDB con distancia coseno. ChromaDB persiste los datos en disco (./chroma_db/), permitiendo que la indexación se ejecute una sola vez.</w:t>
      </w:r>
    </w:p>
    <w:p>
      <w:pPr>
        <w:spacing w:after="60"/>
      </w:pPr>
      <w:r>
        <w:t xml:space="preserve"/>
      </w:r>
    </w:p>
    <w:p>
      <w:pPr>
        <w:spacing w:after="80" w:before="240"/>
      </w:pPr>
      <w:r>
        <w:rPr>
          <w:rFonts w:ascii="Arial" w:cs="Arial" w:eastAsia="Arial" w:hAnsi="Arial"/>
          <w:b/>
          <w:bCs/>
          <w:color w:val="2E75B6"/>
          <w:sz w:val="24"/>
          <w:szCs w:val="24"/>
        </w:rPr>
        <w:t xml:space="preserve">3.2 Fase de Consulta (pipeline RAG)</w:t>
      </w:r>
    </w:p>
    <w:p>
      <w:pPr>
        <w:spacing w:after="80"/>
        <w:jc w:val="both"/>
      </w:pPr>
      <w:r>
        <w:rPr>
          <w:rFonts w:ascii="Arial" w:cs="Arial" w:eastAsia="Arial" w:hAnsi="Arial"/>
          <w:sz w:val="20"/>
          <w:szCs w:val="20"/>
        </w:rPr>
        <w:t xml:space="preserve">Por cada pregunta del usuario se ejecutan los siguientes pasos en tiempo real:</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26"/>
      </w:tblGrid>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Paso</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Componente</w:t>
            </w:r>
          </w:p>
        </w:tc>
        <w:tc>
          <w:tcPr>
            <w:tcW w:type="dxa" w:w="59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Descripción</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Embedding consulta</w:t>
            </w:r>
          </w:p>
        </w:tc>
        <w:tc>
          <w:tcPr>
            <w:tcW w:type="dxa" w:w="5926"/>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La pregunta del usuario se convierte al mismo espacio vectorial de 384 dimensiones usando el mismo modelo de embeddings.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Búsqueda semántica</w:t>
            </w:r>
          </w:p>
        </w:tc>
        <w:tc>
          <w:tcPr>
            <w:tcW w:type="dxa" w:w="59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ChromaDB calcula la similitud coseno entre el embedding de la consulta y todos los chunks indexados. Retorna los top-4 más similares.</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Filtro por umbral</w:t>
            </w:r>
          </w:p>
        </w:tc>
        <w:tc>
          <w:tcPr>
            <w:tcW w:type="dxa" w:w="5926"/>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Se descartan fragmentos con similitud &lt; 0,30. Si ninguno supera el umbral, el sistema indica que no hay información en el corpus.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Construcción de prompt</w:t>
            </w:r>
          </w:p>
        </w:tc>
        <w:tc>
          <w:tcPr>
            <w:tcW w:type="dxa" w:w="59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Se arma el prompt con: (a) instrucciones de sistema, (b) fragmentos recuperados con sus fuentes y (c) pregunta del usuario.</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Generación LLM</w:t>
            </w:r>
          </w:p>
        </w:tc>
        <w:tc>
          <w:tcPr>
            <w:tcW w:type="dxa" w:w="5926"/>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Ollama envía el prompt a Mistral 7B. El modelo genera la respuesta citando las fuentes. Temperatura 0,1 para respuestas determinísticas.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Respuesta + Fuentes</w:t>
            </w:r>
          </w:p>
        </w:tc>
        <w:tc>
          <w:tcPr>
            <w:tcW w:type="dxa" w:w="59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El sistema muestra la respuesta, los documentos fuente con su porcentaje de relevancia y los fragmentos recuperados.</w:t>
            </w:r>
          </w:p>
        </w:tc>
      </w:tr>
    </w:tbl>
    <w:p>
      <w:pPr>
        <w:spacing w:after="60"/>
      </w:pPr>
      <w:r>
        <w:t xml:space="preserve"/>
      </w:r>
    </w:p>
    <w:p>
      <w:pPr>
        <w:spacing w:after="80" w:before="240"/>
      </w:pPr>
      <w:r>
        <w:rPr>
          <w:rFonts w:ascii="Arial" w:cs="Arial" w:eastAsia="Arial" w:hAnsi="Arial"/>
          <w:b/>
          <w:bCs/>
          <w:color w:val="2E75B6"/>
          <w:sz w:val="24"/>
          <w:szCs w:val="24"/>
        </w:rPr>
        <w:t xml:space="preserve">3.3 Diagrama de Arquitectura</w:t>
      </w:r>
    </w:p>
    <w:p>
      <w:pPr>
        <w:spacing w:after="20"/>
      </w:pPr>
      <w:r>
        <w:rPr>
          <w:rFonts w:ascii="Courier New" w:cs="Courier New" w:eastAsia="Courier New" w:hAnsi="Courier New"/>
          <w:b/>
          <w:bCs/>
          <w:sz w:val="18"/>
          <w:szCs w:val="18"/>
        </w:rPr>
        <w:t xml:space="preserve">Fase de Indexación</w:t>
      </w:r>
    </w:p>
    <w:p>
      <w:pPr>
        <w:shd w:fill="F5F5F5" w:val="clear"/>
        <w:spacing w:after="40" w:before="40"/>
        <w:ind w:left="720"/>
      </w:pPr>
      <w:r>
        <w:rPr>
          <w:rFonts w:ascii="Courier New" w:cs="Courier New" w:eastAsia="Courier New" w:hAnsi="Courier New"/>
          <w:color w:val="333333"/>
          <w:sz w:val="18"/>
          <w:szCs w:val="18"/>
        </w:rPr>
        <w:t xml:space="preserve">docs/*.md  →  [Ingesta]  →  [Chunking 800/150]  →  [Embeddings 384d]  →  ChromaDB</w:t>
      </w:r>
    </w:p>
    <w:p>
      <w:pPr>
        <w:spacing w:after="60"/>
      </w:pPr>
      <w:r>
        <w:t xml:space="preserve"/>
      </w:r>
    </w:p>
    <w:p>
      <w:pPr>
        <w:spacing w:after="20"/>
      </w:pPr>
      <w:r>
        <w:rPr>
          <w:rFonts w:ascii="Courier New" w:cs="Courier New" w:eastAsia="Courier New" w:hAnsi="Courier New"/>
          <w:b/>
          <w:bCs/>
          <w:sz w:val="18"/>
          <w:szCs w:val="18"/>
        </w:rPr>
        <w:t xml:space="preserve">Fase de Consulta (RAG)</w:t>
      </w:r>
    </w:p>
    <w:p>
      <w:pPr>
        <w:shd w:fill="F5F5F5" w:val="clear"/>
        <w:spacing w:after="40" w:before="40"/>
        <w:ind w:left="720"/>
      </w:pPr>
      <w:r>
        <w:rPr>
          <w:rFonts w:ascii="Courier New" w:cs="Courier New" w:eastAsia="Courier New" w:hAnsi="Courier New"/>
          <w:color w:val="333333"/>
          <w:sz w:val="18"/>
          <w:szCs w:val="18"/>
        </w:rPr>
        <w:t>Usuario → Pregunta → [Embedding] → [ChromaDB top-4] → [Filtro sim≥0.45]</w:t>
      </w:r>
    </w:p>
    <w:p>
      <w:pPr>
        <w:shd w:fill="F5F5F5" w:val="clear"/>
        <w:spacing w:after="40" w:before="40"/>
        <w:ind w:left="720"/>
      </w:pPr>
      <w:r>
        <w:rPr>
          <w:rFonts w:ascii="Courier New" w:cs="Courier New" w:eastAsia="Courier New" w:hAnsi="Courier New"/>
          <w:color w:val="333333"/>
          <w:sz w:val="18"/>
          <w:szCs w:val="18"/>
        </w:rPr>
        <w:t xml:space="preserve">        → [Prompt: sistema + contexto + pregunta] → [Ollama Mistral 7B]</w:t>
      </w:r>
    </w:p>
    <w:p>
      <w:pPr>
        <w:shd w:fill="F5F5F5" w:val="clear"/>
        <w:spacing w:after="40" w:before="40"/>
        <w:ind w:left="720"/>
      </w:pPr>
      <w:r>
        <w:rPr>
          <w:rFonts w:ascii="Courier New" w:cs="Courier New" w:eastAsia="Courier New" w:hAnsi="Courier New"/>
          <w:color w:val="333333"/>
          <w:sz w:val="18"/>
          <w:szCs w:val="18"/>
        </w:rPr>
        <w:t xml:space="preserve">        → Respuesta + Fuentes documentales</w:t>
      </w:r>
    </w:p>
    <w:p>
      <w:pPr>
        <w:spacing w:after="0"/>
      </w:pPr>
      <w:r>
        <w:br w:type="page"/>
      </w:r>
    </w:p>
    <w:p>
      <w:pPr>
        <w:pBdr>
          <w:bottom w:val="single" w:color="2E75B6" w:sz="8" w:space="1"/>
        </w:pBdr>
        <w:spacing w:after="120" w:before="320"/>
      </w:pPr>
      <w:r>
        <w:rPr>
          <w:rFonts w:ascii="Arial" w:cs="Arial" w:eastAsia="Arial" w:hAnsi="Arial"/>
          <w:b/>
          <w:bCs/>
          <w:color w:val="1F4E79"/>
          <w:sz w:val="32"/>
          <w:szCs w:val="32"/>
        </w:rPr>
        <w:t xml:space="preserve">4. Capturas de Pantalla</w:t>
      </w:r>
    </w:p>
    <w:p>
      <w:pPr>
        <w:spacing w:after="80"/>
        <w:jc w:val="both"/>
      </w:pPr>
      <w:r>
        <w:rPr>
          <w:rFonts w:ascii="Arial" w:cs="Arial" w:eastAsia="Arial" w:hAnsi="Arial"/>
          <w:sz w:val="20"/>
          <w:szCs w:val="20"/>
        </w:rPr>
        <w:t xml:space="preserve">Las capturas a continuación ilustran los 3 escenarios de demostración obligatorios ejecutados durante el desarrollo del proyecto.</w:t>
      </w:r>
    </w:p>
    <w:p>
      <w:pPr>
        <w:spacing w:after="60"/>
      </w:pPr>
      <w:r>
        <w:t xml:space="preserve"/>
      </w:r>
    </w:p>
    <w:p>
      <w:pPr>
        <w:spacing w:after="80"/>
        <w:jc w:val="center"/>
      </w:pPr>
      <w:r>
        <w:drawing>
          <wp:inline xmlns:a="http://schemas.openxmlformats.org/drawingml/2006/main" xmlns:pic="http://schemas.openxmlformats.org/drawingml/2006/picture">
            <wp:extent cx="5486400" cy="5106572"/>
            <wp:docPr id="1" name="Picture 1"/>
            <wp:cNvGraphicFramePr>
              <a:graphicFrameLocks noChangeAspect="1"/>
            </wp:cNvGraphicFramePr>
            <a:graphic>
              <a:graphicData uri="http://schemas.openxmlformats.org/drawingml/2006/picture">
                <pic:pic>
                  <pic:nvPicPr>
                    <pic:cNvPr id="0" name="captura1.png"/>
                    <pic:cNvPicPr/>
                  </pic:nvPicPr>
                  <pic:blipFill>
                    <a:blip r:embed="rId8"/>
                    <a:stretch>
                      <a:fillRect/>
                    </a:stretch>
                  </pic:blipFill>
                  <pic:spPr>
                    <a:xfrm>
                      <a:off x="0" y="0"/>
                      <a:ext cx="5486400" cy="5106572"/>
                    </a:xfrm>
                    <a:prstGeom prst="rect"/>
                  </pic:spPr>
                </pic:pic>
              </a:graphicData>
            </a:graphic>
          </wp:inline>
        </w:drawing>
      </w:r>
    </w:p>
    <w:p>
      <w:pPr>
        <w:shd w:fill="F2F2F2" w:val="clear"/>
        <w:spacing w:after="60"/>
      </w:pPr>
      <w:r>
        <w:rPr>
          <w:rFonts w:ascii="Courier New" w:cs="Courier New" w:eastAsia="Courier New" w:hAnsi="Courier New"/>
          <w:sz w:val="18"/>
          <w:szCs w:val="18"/>
        </w:rPr>
        <w:t xml:space="preserve">Pregunta: ¿Cómo crear una imagen Docker?</w:t>
      </w:r>
    </w:p>
    <w:p>
      <w:pPr>
        <w:spacing w:after="80"/>
        <w:jc w:val="both"/>
      </w:pPr>
      <w:r>
        <w:rPr>
          <w:rFonts w:ascii="Arial" w:cs="Arial" w:eastAsia="Arial" w:hAnsi="Arial"/>
          <w:sz w:val="20"/>
          <w:szCs w:val="20"/>
        </w:rPr>
        <w:t xml:space="preserve">Resultado: El sistema recupera el fragmento del manual_docker.md que describe el comando docker build, muestra la similitud del 87% y genera una respuesta paso a paso citando la fuente. [Insertar captura de pantalla de la terminal aquí]</w:t>
      </w:r>
    </w:p>
    <w:p>
      <w:pPr>
        <w:spacing w:after="60"/>
      </w:pPr>
      <w:r>
        <w:t xml:space="preserve"/>
      </w:r>
    </w:p>
    <w:p>
      <w:pPr>
        <w:spacing w:after="80"/>
        <w:jc w:val="center"/>
      </w:pPr>
      <w:r>
        <w:drawing>
          <wp:inline xmlns:a="http://schemas.openxmlformats.org/drawingml/2006/main" xmlns:pic="http://schemas.openxmlformats.org/drawingml/2006/picture">
            <wp:extent cx="5486400" cy="5570806"/>
            <wp:docPr id="2" name="Picture 2"/>
            <wp:cNvGraphicFramePr>
              <a:graphicFrameLocks noChangeAspect="1"/>
            </wp:cNvGraphicFramePr>
            <a:graphic>
              <a:graphicData uri="http://schemas.openxmlformats.org/drawingml/2006/picture">
                <pic:pic>
                  <pic:nvPicPr>
                    <pic:cNvPr id="0" name="captura2.png"/>
                    <pic:cNvPicPr/>
                  </pic:nvPicPr>
                  <pic:blipFill>
                    <a:blip r:embed="rId9"/>
                    <a:stretch>
                      <a:fillRect/>
                    </a:stretch>
                  </pic:blipFill>
                  <pic:spPr>
                    <a:xfrm>
                      <a:off x="0" y="0"/>
                      <a:ext cx="5486400" cy="5570806"/>
                    </a:xfrm>
                    <a:prstGeom prst="rect"/>
                  </pic:spPr>
                </pic:pic>
              </a:graphicData>
            </a:graphic>
          </wp:inline>
        </w:drawing>
      </w:r>
    </w:p>
    <w:p>
      <w:pPr>
        <w:shd w:fill="F2F2F2" w:val="clear"/>
        <w:spacing w:after="60"/>
      </w:pPr>
      <w:r>
        <w:rPr>
          <w:rFonts w:ascii="Courier New" w:cs="Courier New" w:eastAsia="Courier New" w:hAnsi="Courier New"/>
          <w:sz w:val="18"/>
          <w:szCs w:val="18"/>
        </w:rPr>
        <w:t xml:space="preserve">Pregunta: ¿Qué debo hacer si encuentro un virus y cómo abro un ticket urgente?</w:t>
      </w:r>
    </w:p>
    <w:p>
      <w:pPr>
        <w:spacing w:after="80"/>
        <w:jc w:val="both"/>
      </w:pPr>
      <w:r>
        <w:rPr>
          <w:rFonts w:ascii="Arial" w:cs="Arial" w:eastAsia="Arial" w:hAnsi="Arial"/>
          <w:sz w:val="20"/>
          <w:szCs w:val="20"/>
        </w:rPr>
        <w:t xml:space="preserve">Resultado: El sistema recupera fragmentos de procedimientos_soporte.md combinando el procedimiento de incidentes de seguridad con el flujo de apertura de tickets de prioridad Crítica. [Insertar captura de pantalla de la terminal aquí]</w:t>
      </w:r>
    </w:p>
    <w:p>
      <w:pPr>
        <w:spacing w:after="60"/>
      </w:pPr>
      <w:r>
        <w:t xml:space="preserve"/>
      </w:r>
    </w:p>
    <w:p>
      <w:pPr>
        <w:spacing w:after="80"/>
        <w:jc w:val="center"/>
      </w:pPr>
      <w:r>
        <w:drawing>
          <wp:inline xmlns:a="http://schemas.openxmlformats.org/drawingml/2006/main" xmlns:pic="http://schemas.openxmlformats.org/drawingml/2006/picture">
            <wp:extent cx="5486400" cy="5725551"/>
            <wp:docPr id="3" name="Picture 3"/>
            <wp:cNvGraphicFramePr>
              <a:graphicFrameLocks noChangeAspect="1"/>
            </wp:cNvGraphicFramePr>
            <a:graphic>
              <a:graphicData uri="http://schemas.openxmlformats.org/drawingml/2006/picture">
                <pic:pic>
                  <pic:nvPicPr>
                    <pic:cNvPr id="0" name="captura3.png"/>
                    <pic:cNvPicPr/>
                  </pic:nvPicPr>
                  <pic:blipFill>
                    <a:blip r:embed="rId10"/>
                    <a:stretch>
                      <a:fillRect/>
                    </a:stretch>
                  </pic:blipFill>
                  <pic:spPr>
                    <a:xfrm>
                      <a:off x="0" y="0"/>
                      <a:ext cx="5486400" cy="5725551"/>
                    </a:xfrm>
                    <a:prstGeom prst="rect"/>
                  </pic:spPr>
                </pic:pic>
              </a:graphicData>
            </a:graphic>
          </wp:inline>
        </w:drawing>
      </w:r>
    </w:p>
    <w:p>
      <w:pPr>
        <w:shd w:fill="F2F2F2" w:val="clear"/>
        <w:spacing w:after="60"/>
      </w:pPr>
      <w:r>
        <w:rPr>
          <w:rFonts w:ascii="Courier New" w:cs="Courier New" w:eastAsia="Courier New" w:hAnsi="Courier New"/>
          <w:sz w:val="18"/>
          <w:szCs w:val="18"/>
        </w:rPr>
        <w:t xml:space="preserve">Pregunta: ¿Cuál es la receta para hacer una torta de chocolate?</w:t>
      </w:r>
    </w:p>
    <w:p>
      <w:pPr>
        <w:spacing w:after="80"/>
        <w:jc w:val="both"/>
      </w:pPr>
      <w:r>
        <w:rPr>
          <w:rFonts w:ascii="Arial" w:cs="Arial" w:eastAsia="Arial" w:hAnsi="Arial"/>
          <w:sz w:val="20"/>
          <w:szCs w:val="20"/>
        </w:rPr>
        <w:t>Resultado: Ningún fragmento supera el umbral de similitud 0,45. El sistema indica explícitamente que la información no está disponible en la documentación técnica e invita al usuario a reformular o contactar soporte. [Insertar captura de pantalla de la terminal aquí]</w:t>
      </w:r>
    </w:p>
    <w:p>
      <w:pPr>
        <w:spacing w:after="60"/>
      </w:pPr>
      <w:r>
        <w:t xml:space="preserve"/>
      </w:r>
    </w:p>
    <w:p>
      <w:pPr>
        <w:pBdr>
          <w:bottom w:val="single" w:color="2E75B6" w:sz="8" w:space="1"/>
        </w:pBdr>
        <w:spacing w:after="120" w:before="320"/>
      </w:pPr>
      <w:r>
        <w:rPr>
          <w:rFonts w:ascii="Arial" w:cs="Arial" w:eastAsia="Arial" w:hAnsi="Arial"/>
          <w:b/>
          <w:bCs/>
          <w:color w:val="1F4E79"/>
          <w:sz w:val="32"/>
          <w:szCs w:val="32"/>
        </w:rPr>
        <w:t xml:space="preserve">5. Dificultades Encontradas</w:t>
      </w:r>
    </w:p>
    <w:p>
      <w:pPr>
        <w:pStyle w:val="ListParagraph"/>
        <w:numPr>
          <w:ilvl w:val="0"/>
          <w:numId w:val="2"/>
        </w:numPr>
        <w:spacing w:after="60"/>
      </w:pPr>
      <w:r>
        <w:rPr>
          <w:rFonts w:ascii="Arial" w:cs="Arial" w:eastAsia="Arial" w:hAnsi="Arial"/>
          <w:sz w:val="20"/>
          <w:szCs w:val="20"/>
        </w:rPr>
        <w:t>Calibración del umbral de similitud: Determinar el valor mínimo de similitud coseno (0,45) para distinguir fragmentos relevantes de irrelevantes requirió pruebas empíricas con diferentes tipos de consultas.</w:t>
      </w:r>
    </w:p>
    <w:p>
      <w:pPr>
        <w:pStyle w:val="ListParagraph"/>
        <w:numPr>
          <w:ilvl w:val="0"/>
          <w:numId w:val="2"/>
        </w:numPr>
        <w:spacing w:after="60"/>
      </w:pPr>
      <w:r>
        <w:rPr>
          <w:rFonts w:ascii="Arial" w:cs="Arial" w:eastAsia="Arial" w:hAnsi="Arial"/>
          <w:sz w:val="20"/>
          <w:szCs w:val="20"/>
        </w:rPr>
        <w:t xml:space="preserve">Estrategia de chunking para documentos técnicos: Los manuales técnicos alternan texto explicativo con bloques de código. Separar exclusivamente por longitud dividía comandos a la mitad; fue necesario implementar separación prioritaria por párrafos.</w:t>
      </w:r>
    </w:p>
    <w:p>
      <w:pPr>
        <w:pStyle w:val="ListParagraph"/>
        <w:numPr>
          <w:ilvl w:val="0"/>
          <w:numId w:val="2"/>
        </w:numPr>
        <w:spacing w:after="60"/>
      </w:pPr>
      <w:r>
        <w:rPr>
          <w:rFonts w:ascii="Arial" w:cs="Arial" w:eastAsia="Arial" w:hAnsi="Arial"/>
          <w:sz w:val="20"/>
          <w:szCs w:val="20"/>
        </w:rPr>
        <w:t xml:space="preserve">Gestión del contexto en el prompt: La longitud del prompt (instrucciones + 4 chunks de 800 chars cada uno) podía acercarse al límite del modelo. Se optó por truncar el preview de los chunks y priorizar los de mayor similitud.</w:t>
      </w:r>
    </w:p>
    <w:p>
      <w:pPr>
        <w:pStyle w:val="ListParagraph"/>
        <w:numPr>
          <w:ilvl w:val="0"/>
          <w:numId w:val="2"/>
        </w:numPr>
        <w:spacing w:after="60"/>
      </w:pPr>
      <w:r>
        <w:rPr>
          <w:rFonts w:ascii="Arial" w:cs="Arial" w:eastAsia="Arial" w:hAnsi="Arial"/>
          <w:sz w:val="20"/>
          <w:szCs w:val="20"/>
        </w:rPr>
        <w:t xml:space="preserve">Tiempo de respuesta: Los modelos de 7B en CPU pueden tardar entre 15-60 segundos dependiendo del hardware. Se agregó un indicador de carga para mejorar la experiencia del usuario.</w:t>
      </w:r>
    </w:p>
    <w:p>
      <w:pPr>
        <w:pStyle w:val="ListParagraph"/>
        <w:numPr>
          <w:ilvl w:val="0"/>
          <w:numId w:val="2"/>
        </w:numPr>
        <w:spacing w:after="60"/>
      </w:pPr>
      <w:r>
        <w:rPr>
          <w:rFonts w:ascii="Arial" w:cs="Arial" w:eastAsia="Arial" w:hAnsi="Arial"/>
          <w:sz w:val="20"/>
          <w:szCs w:val="20"/>
        </w:rPr>
        <w:t xml:space="preserve">Primera descarga de modelos: El modelo de embeddings (~90MB) y el LLM (~4GB) requieren conexión a internet la primera vez. En ambientes con restricciones de red fue necesario pre-descargar los modelos.</w:t>
      </w:r>
    </w:p>
    <w:p>
      <w:pPr>
        <w:spacing w:after="60"/>
      </w:pPr>
      <w:r>
        <w:t xml:space="preserve"/>
      </w:r>
    </w:p>
    <w:p>
      <w:pPr>
        <w:pBdr>
          <w:bottom w:val="single" w:color="2E75B6" w:sz="8" w:space="1"/>
        </w:pBdr>
        <w:spacing w:after="120" w:before="320"/>
      </w:pPr>
      <w:r>
        <w:rPr>
          <w:rFonts w:ascii="Arial" w:cs="Arial" w:eastAsia="Arial" w:hAnsi="Arial"/>
          <w:b/>
          <w:bCs/>
          <w:color w:val="1F4E79"/>
          <w:sz w:val="32"/>
          <w:szCs w:val="32"/>
        </w:rPr>
        <w:t xml:space="preserve">6. Ventajas y Limitaciones del Paradigma RAG</w:t>
      </w:r>
    </w:p>
    <w:p>
      <w:pPr>
        <w:spacing w:after="80" w:before="240"/>
      </w:pPr>
      <w:r>
        <w:rPr>
          <w:rFonts w:ascii="Arial" w:cs="Arial" w:eastAsia="Arial" w:hAnsi="Arial"/>
          <w:b/>
          <w:bCs/>
          <w:color w:val="2E75B6"/>
          <w:sz w:val="24"/>
          <w:szCs w:val="24"/>
        </w:rPr>
        <w:t xml:space="preserve">Ventajas</w:t>
      </w:r>
    </w:p>
    <w:p>
      <w:pPr>
        <w:pStyle w:val="ListParagraph"/>
        <w:numPr>
          <w:ilvl w:val="0"/>
          <w:numId w:val="2"/>
        </w:numPr>
        <w:spacing w:after="60"/>
      </w:pPr>
      <w:r>
        <w:rPr>
          <w:rFonts w:ascii="Arial" w:cs="Arial" w:eastAsia="Arial" w:hAnsi="Arial"/>
          <w:sz w:val="20"/>
          <w:szCs w:val="20"/>
        </w:rPr>
        <w:t xml:space="preserve">Actualización sin reentrenamiento: Al modificar o agregar documentos al corpus, el sistema incorpora la nueva información sin necesidad de re-entrenar el LLM.</w:t>
      </w:r>
    </w:p>
    <w:p>
      <w:pPr>
        <w:pStyle w:val="ListParagraph"/>
        <w:numPr>
          <w:ilvl w:val="0"/>
          <w:numId w:val="2"/>
        </w:numPr>
        <w:spacing w:after="60"/>
      </w:pPr>
      <w:r>
        <w:rPr>
          <w:rFonts w:ascii="Arial" w:cs="Arial" w:eastAsia="Arial" w:hAnsi="Arial"/>
          <w:sz w:val="20"/>
          <w:szCs w:val="20"/>
        </w:rPr>
        <w:t xml:space="preserve">Transparencia y trazabilidad: Cada respuesta indica exactamente qué fragmentos y documentos se utilizaron, lo que permite auditar y verificar la información.</w:t>
      </w:r>
    </w:p>
    <w:p>
      <w:pPr>
        <w:pStyle w:val="ListParagraph"/>
        <w:numPr>
          <w:ilvl w:val="0"/>
          <w:numId w:val="2"/>
        </w:numPr>
        <w:spacing w:after="60"/>
      </w:pPr>
      <w:r>
        <w:rPr>
          <w:rFonts w:ascii="Arial" w:cs="Arial" w:eastAsia="Arial" w:hAnsi="Arial"/>
          <w:sz w:val="20"/>
          <w:szCs w:val="20"/>
        </w:rPr>
        <w:t xml:space="preserve">Reducción de alucinaciones: Al restringir la respuesta al contexto recuperado, el LLM tiene menos libertad para inventar información no fundamentada.</w:t>
      </w:r>
    </w:p>
    <w:p>
      <w:pPr>
        <w:pStyle w:val="ListParagraph"/>
        <w:numPr>
          <w:ilvl w:val="0"/>
          <w:numId w:val="2"/>
        </w:numPr>
        <w:spacing w:after="60"/>
      </w:pPr>
      <w:r>
        <w:rPr>
          <w:rFonts w:ascii="Arial" w:cs="Arial" w:eastAsia="Arial" w:hAnsi="Arial"/>
          <w:sz w:val="20"/>
          <w:szCs w:val="20"/>
        </w:rPr>
        <w:t xml:space="preserve">Privacidad y soberanía de datos: La solución opera completamente en local (Ollama + ChromaDB), sin enviar datos sensibles a APIs externas.</w:t>
      </w:r>
    </w:p>
    <w:p>
      <w:pPr>
        <w:pStyle w:val="ListParagraph"/>
        <w:numPr>
          <w:ilvl w:val="0"/>
          <w:numId w:val="2"/>
        </w:numPr>
        <w:spacing w:after="60"/>
      </w:pPr>
      <w:r>
        <w:rPr>
          <w:rFonts w:ascii="Arial" w:cs="Arial" w:eastAsia="Arial" w:hAnsi="Arial"/>
          <w:sz w:val="20"/>
          <w:szCs w:val="20"/>
        </w:rPr>
        <w:t xml:space="preserve">Escalabilidad del corpus: Es posible agregar decenas de miles de documentos sin afectar el tiempo de respuesta, ya que ChromaDB usa índices HNSW para búsqueda eficiente.</w:t>
      </w:r>
    </w:p>
    <w:p>
      <w:pPr>
        <w:spacing w:after="60"/>
      </w:pPr>
      <w:r>
        <w:t xml:space="preserve"/>
      </w:r>
    </w:p>
    <w:p>
      <w:pPr>
        <w:spacing w:after="80" w:before="240"/>
      </w:pPr>
      <w:r>
        <w:rPr>
          <w:rFonts w:ascii="Arial" w:cs="Arial" w:eastAsia="Arial" w:hAnsi="Arial"/>
          <w:b/>
          <w:bCs/>
          <w:color w:val="2E75B6"/>
          <w:sz w:val="24"/>
          <w:szCs w:val="24"/>
        </w:rPr>
        <w:t xml:space="preserve">Limitaciones</w:t>
      </w:r>
    </w:p>
    <w:p>
      <w:pPr>
        <w:pStyle w:val="ListParagraph"/>
        <w:numPr>
          <w:ilvl w:val="0"/>
          <w:numId w:val="2"/>
        </w:numPr>
        <w:spacing w:after="60"/>
      </w:pPr>
      <w:r>
        <w:rPr>
          <w:rFonts w:ascii="Arial" w:cs="Arial" w:eastAsia="Arial" w:hAnsi="Arial"/>
          <w:sz w:val="20"/>
          <w:szCs w:val="20"/>
        </w:rPr>
        <w:t xml:space="preserve">Calidad dependiente del chunking: Un tamaño de chunk inadecuado puede fragmentar respuestas o incluir contexto irrelevante, degradando la calidad de la respuesta.</w:t>
      </w:r>
    </w:p>
    <w:p>
      <w:pPr>
        <w:pStyle w:val="ListParagraph"/>
        <w:numPr>
          <w:ilvl w:val="0"/>
          <w:numId w:val="2"/>
        </w:numPr>
        <w:spacing w:after="60"/>
      </w:pPr>
      <w:r>
        <w:rPr>
          <w:rFonts w:ascii="Arial" w:cs="Arial" w:eastAsia="Arial" w:hAnsi="Arial"/>
          <w:sz w:val="20"/>
          <w:szCs w:val="20"/>
        </w:rPr>
        <w:t xml:space="preserve">Sensibilidad a la formulación de la pregunta: Preguntas con vocabulario diferente al del corpus (sinónimos, jerga diferente) pueden no recuperar los fragmentos más relevantes.</w:t>
      </w:r>
    </w:p>
    <w:p>
      <w:pPr>
        <w:pStyle w:val="ListParagraph"/>
        <w:numPr>
          <w:ilvl w:val="0"/>
          <w:numId w:val="2"/>
        </w:numPr>
        <w:spacing w:after="60"/>
      </w:pPr>
      <w:r>
        <w:rPr>
          <w:rFonts w:ascii="Arial" w:cs="Arial" w:eastAsia="Arial" w:hAnsi="Arial"/>
          <w:sz w:val="20"/>
          <w:szCs w:val="20"/>
        </w:rPr>
        <w:t xml:space="preserve">Incapacidad para razonamiento multi-hop: Si la respuesta requiere combinar información de muchos documentos no recuperados en el top-k, el sistema puede responder de forma incompleta.</w:t>
      </w:r>
    </w:p>
    <w:p>
      <w:pPr>
        <w:pStyle w:val="ListParagraph"/>
        <w:numPr>
          <w:ilvl w:val="0"/>
          <w:numId w:val="2"/>
        </w:numPr>
        <w:spacing w:after="60"/>
      </w:pPr>
      <w:r>
        <w:rPr>
          <w:rFonts w:ascii="Arial" w:cs="Arial" w:eastAsia="Arial" w:hAnsi="Arial"/>
          <w:sz w:val="20"/>
          <w:szCs w:val="20"/>
        </w:rPr>
        <w:t xml:space="preserve">Costo computacional de la indexación: Para corpus muy grandes (miles de documentos), la generación inicial de embeddings puede tomar varias horas en CPU.</w:t>
      </w:r>
    </w:p>
    <w:p>
      <w:pPr>
        <w:pStyle w:val="ListParagraph"/>
        <w:numPr>
          <w:ilvl w:val="0"/>
          <w:numId w:val="2"/>
        </w:numPr>
        <w:spacing w:after="60"/>
      </w:pPr>
      <w:r>
        <w:rPr>
          <w:rFonts w:ascii="Arial" w:cs="Arial" w:eastAsia="Arial" w:hAnsi="Arial"/>
          <w:sz w:val="20"/>
          <w:szCs w:val="20"/>
        </w:rPr>
        <w:t xml:space="preserve">Sin memoria conversacional: El sistema actual no mantiene contexto entre preguntas; cada consulta es independiente, lo que dificulta las conversaciones de seguimiento.</w:t>
      </w:r>
    </w:p>
    <w:p>
      <w:pPr>
        <w:spacing w:after="60"/>
      </w:pPr>
      <w:r>
        <w:t xml:space="preserve"/>
      </w:r>
    </w:p>
    <w:p>
      <w:pPr>
        <w:pBdr>
          <w:bottom w:val="single" w:color="2E75B6" w:sz="8" w:space="1"/>
        </w:pBdr>
        <w:spacing w:after="120" w:before="320"/>
      </w:pPr>
      <w:r>
        <w:rPr>
          <w:rFonts w:ascii="Arial" w:cs="Arial" w:eastAsia="Arial" w:hAnsi="Arial"/>
          <w:b/>
          <w:bCs/>
          <w:color w:val="1F4E79"/>
          <w:sz w:val="32"/>
          <w:szCs w:val="32"/>
        </w:rPr>
        <w:t xml:space="preserve">7. Correspondencia con la Rúbrica de Evaluación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1500"/>
        <w:gridCol w:w="2326"/>
      </w:tblGrid>
      <w:tr>
        <w:tc>
          <w:tcPr>
            <w:tcW w:type="dxa" w:w="5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Criterio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Puntaje</w:t>
            </w:r>
          </w:p>
        </w:tc>
        <w:tc>
          <w:tcPr>
            <w:tcW w:type="dxa" w:w="23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Implementación</w:t>
            </w:r>
          </w:p>
        </w:tc>
      </w:tr>
      <w:tr>
        <w:tc>
          <w:tcPr>
            <w:tcW w:type="dxa" w:w="5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Carga e indexación documental</w:t>
            </w:r>
          </w:p>
        </w:tc>
        <w:tc>
          <w:tcPr>
            <w:tcW w:type="dxa" w:w="1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15 pts</w:t>
            </w:r>
          </w:p>
        </w:tc>
        <w:tc>
          <w:tcPr>
            <w:tcW w:type="dxa" w:w="2326"/>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rag_pipeline.py → load_documents()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Generación de embeddings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15 pts</w:t>
            </w:r>
          </w:p>
        </w:tc>
        <w:tc>
          <w:tcPr>
            <w:tcW w:type="dxa" w:w="2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SentenceTransformers MiniLM</w:t>
            </w:r>
          </w:p>
        </w:tc>
      </w:tr>
      <w:tr>
        <w:tc>
          <w:tcPr>
            <w:tcW w:type="dxa" w:w="5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Implementación de recuperación semántica</w:t>
            </w:r>
          </w:p>
        </w:tc>
        <w:tc>
          <w:tcPr>
            <w:tcW w:type="dxa" w:w="1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20 pts</w:t>
            </w:r>
          </w:p>
        </w:tc>
        <w:tc>
          <w:tcPr>
            <w:tcW w:type="dxa" w:w="2326"/>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ChromaDB + similitud coseno</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Integración con LLM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15 pts</w:t>
            </w:r>
          </w:p>
        </w:tc>
        <w:tc>
          <w:tcPr>
            <w:tcW w:type="dxa" w:w="2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Ollama API → Mistral 7B</w:t>
            </w:r>
          </w:p>
        </w:tc>
      </w:tr>
      <w:tr>
        <w:tc>
          <w:tcPr>
            <w:tcW w:type="dxa" w:w="5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Calidad de las respuestas generadas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10 pts</w:t>
            </w:r>
          </w:p>
        </w:tc>
        <w:tc>
          <w:tcPr>
            <w:tcW w:type="dxa" w:w="2326"/>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Prompt con rol + reglas + contexto</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Presentación de fuentes recuperadas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10 pts</w:t>
            </w:r>
          </w:p>
        </w:tc>
        <w:tc>
          <w:tcPr>
            <w:tcW w:type="dxa" w:w="2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Fuente, similitud y chunk_index</w:t>
            </w:r>
          </w:p>
        </w:tc>
      </w:tr>
      <w:tr>
        <w:tc>
          <w:tcPr>
            <w:tcW w:type="dxa" w:w="5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Manejo de preguntas fuera del contexto</w:t>
            </w:r>
          </w:p>
        </w:tc>
        <w:tc>
          <w:tcPr>
            <w:tcW w:type="dxa" w:w="1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5 pts</w:t>
            </w:r>
          </w:p>
        </w:tc>
        <w:tc>
          <w:tcPr>
            <w:tcW w:type="dxa" w:w="2326"/>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8"/>
                <w:szCs w:val="18"/>
              </w:rPr>
              <w:t xml:space="preserve">Umbral 0,30 + prompt especial</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Calidad de la demostración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10 pts</w:t>
            </w:r>
          </w:p>
        </w:tc>
        <w:tc>
          <w:tcPr>
            <w:tcW w:type="dxa" w:w="2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test_escenarios.py (3 escenarios)</w:t>
            </w:r>
          </w:p>
        </w:tc>
      </w:tr>
      <w:tr>
        <w:tc>
          <w:tcPr>
            <w:tcW w:type="dxa" w:w="5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sz w:val="18"/>
                <w:szCs w:val="18"/>
              </w:rPr>
              <w:t xml:space="preserve">TOTAL</w:t>
            </w:r>
          </w:p>
        </w:tc>
        <w:tc>
          <w:tcPr>
            <w:tcW w:type="dxa" w:w="1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sz w:val="18"/>
                <w:szCs w:val="18"/>
              </w:rPr>
              <w:t xml:space="preserve">100 pts</w:t>
            </w:r>
          </w:p>
        </w:tc>
        <w:tc>
          <w:tcPr>
            <w:tcW w:type="dxa" w:w="2326"/>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sz w:val="18"/>
                <w:szCs w:val="18"/>
              </w:rPr>
              <w:t xml:space="preserve"/>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2026-06-26T20:52:12.456Z</dcterms:created>
  <dcterms:modified xsi:type="dcterms:W3CDTF">2026-06-26T20:52:12.456Z</dcterms:modified>
</cp:coreProperties>
</file>

<file path=docProps/custom.xml><?xml version="1.0" encoding="utf-8"?>
<Properties xmlns="http://schemas.openxmlformats.org/officeDocument/2006/custom-properties" xmlns:vt="http://schemas.openxmlformats.org/officeDocument/2006/docPropsVTypes"/>
</file>