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2DF9" w14:textId="77777777" w:rsidR="00A20880" w:rsidRDefault="00A20880"/>
    <w:p w14:paraId="4C3D9FEB" w14:textId="77777777" w:rsidR="00A3199F" w:rsidRPr="005405BA" w:rsidRDefault="00000000">
      <w:pPr>
        <w:pStyle w:val="Ttulo"/>
        <w:jc w:val="center"/>
        <w:rPr>
          <w:lang w:val="es-CL"/>
        </w:rPr>
      </w:pPr>
      <w:r w:rsidRPr="005405BA">
        <w:rPr>
          <w:lang w:val="es-CL"/>
        </w:rPr>
        <w:t xml:space="preserve">Informe Final de Cierre del Proyecto </w:t>
      </w:r>
      <w:proofErr w:type="spellStart"/>
      <w:r w:rsidRPr="005405BA">
        <w:rPr>
          <w:lang w:val="es-CL"/>
        </w:rPr>
        <w:t>InventPro</w:t>
      </w:r>
      <w:proofErr w:type="spellEnd"/>
    </w:p>
    <w:p w14:paraId="732CDAF3" w14:textId="77777777" w:rsidR="00A3199F" w:rsidRPr="005405BA" w:rsidRDefault="00000000">
      <w:pPr>
        <w:pStyle w:val="Subttulo"/>
        <w:jc w:val="center"/>
        <w:rPr>
          <w:lang w:val="es-CL"/>
        </w:rPr>
      </w:pPr>
      <w:r w:rsidRPr="005405BA">
        <w:rPr>
          <w:lang w:val="es-CL"/>
        </w:rPr>
        <w:t xml:space="preserve">Proyecto: </w:t>
      </w:r>
      <w:proofErr w:type="spellStart"/>
      <w:r w:rsidRPr="005405BA">
        <w:rPr>
          <w:lang w:val="es-CL"/>
        </w:rPr>
        <w:t>InventPro</w:t>
      </w:r>
      <w:proofErr w:type="spellEnd"/>
      <w:r w:rsidRPr="005405BA">
        <w:rPr>
          <w:lang w:val="es-CL"/>
        </w:rPr>
        <w:t xml:space="preserve"> – Sistema de Gestión de Inventario y Órdenes de Compra</w:t>
      </w:r>
    </w:p>
    <w:p w14:paraId="1AD8A1A7" w14:textId="616D6A77" w:rsidR="00A3199F" w:rsidRPr="005405BA" w:rsidRDefault="00000000">
      <w:pPr>
        <w:pStyle w:val="Subttulo"/>
        <w:jc w:val="center"/>
        <w:rPr>
          <w:lang w:val="es-CL"/>
        </w:rPr>
      </w:pPr>
      <w:r w:rsidRPr="005405BA">
        <w:rPr>
          <w:lang w:val="es-CL"/>
        </w:rPr>
        <w:t>Cliente:</w:t>
      </w:r>
      <w:r w:rsidR="005405BA" w:rsidRPr="005405BA">
        <w:rPr>
          <w:rFonts w:eastAsiaTheme="minorEastAsia" w:cs="Arial"/>
          <w:color w:val="000000"/>
          <w:spacing w:val="0"/>
          <w:sz w:val="22"/>
          <w:szCs w:val="24"/>
          <w:lang w:val="es-CL"/>
        </w:rPr>
        <w:t xml:space="preserve"> </w:t>
      </w:r>
      <w:r w:rsidR="005405BA" w:rsidRPr="005405BA">
        <w:rPr>
          <w:lang w:val="es-CL"/>
        </w:rPr>
        <w:t xml:space="preserve">Comercial XYZ </w:t>
      </w:r>
      <w:proofErr w:type="spellStart"/>
      <w:r w:rsidR="005405BA" w:rsidRPr="005405BA">
        <w:rPr>
          <w:lang w:val="es-CL"/>
        </w:rPr>
        <w:t>Ltda</w:t>
      </w:r>
      <w:proofErr w:type="spellEnd"/>
      <w:r w:rsidR="005405BA">
        <w:rPr>
          <w:lang w:val="es-CL"/>
        </w:rPr>
        <w:t xml:space="preserve"> </w:t>
      </w:r>
      <w:r w:rsidRPr="005405BA">
        <w:rPr>
          <w:lang w:val="es-CL"/>
        </w:rPr>
        <w:t>– Sede Puente Alto</w:t>
      </w:r>
    </w:p>
    <w:p w14:paraId="03BE4370" w14:textId="73531236" w:rsidR="00A3199F" w:rsidRPr="005405BA" w:rsidRDefault="00000000">
      <w:pPr>
        <w:pStyle w:val="Subttulo"/>
        <w:jc w:val="center"/>
        <w:rPr>
          <w:lang w:val="es-CL"/>
        </w:rPr>
      </w:pPr>
      <w:r w:rsidRPr="005405BA">
        <w:rPr>
          <w:lang w:val="es-CL"/>
        </w:rPr>
        <w:t xml:space="preserve">Fecha: </w:t>
      </w:r>
      <w:r w:rsidR="005405BA">
        <w:rPr>
          <w:lang w:val="es-CL"/>
        </w:rPr>
        <w:t>03</w:t>
      </w:r>
      <w:r w:rsidRPr="005405BA">
        <w:rPr>
          <w:lang w:val="es-CL"/>
        </w:rPr>
        <w:t>/1</w:t>
      </w:r>
      <w:r w:rsidR="005405BA">
        <w:rPr>
          <w:lang w:val="es-CL"/>
        </w:rPr>
        <w:t>2</w:t>
      </w:r>
      <w:r w:rsidRPr="005405BA">
        <w:rPr>
          <w:lang w:val="es-CL"/>
        </w:rPr>
        <w:t>/2025</w:t>
      </w:r>
    </w:p>
    <w:p w14:paraId="352DC2E8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br w:type="page"/>
      </w:r>
    </w:p>
    <w:p w14:paraId="379AFFFF" w14:textId="77777777" w:rsidR="00A3199F" w:rsidRPr="005405BA" w:rsidRDefault="00000000">
      <w:pPr>
        <w:pStyle w:val="Ttulo1"/>
        <w:jc w:val="center"/>
        <w:rPr>
          <w:lang w:val="es-CL"/>
        </w:rPr>
      </w:pPr>
      <w:r w:rsidRPr="005405BA">
        <w:rPr>
          <w:lang w:val="es-CL"/>
        </w:rPr>
        <w:lastRenderedPageBreak/>
        <w:t>Tabla de Contenidos</w:t>
      </w:r>
    </w:p>
    <w:p w14:paraId="505B9893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Introducción</w:t>
      </w:r>
    </w:p>
    <w:p w14:paraId="64F92F6B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Uso del Informe de Cierre de Proyecto</w:t>
      </w:r>
    </w:p>
    <w:p w14:paraId="469D0AEA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Sección 1 – Información General</w:t>
      </w:r>
    </w:p>
    <w:p w14:paraId="11B89431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Sección 2 – Lista de Verificación de Aceptación Final</w:t>
      </w:r>
    </w:p>
    <w:p w14:paraId="7119E5D4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Sección 3 – Lista de Verificación de los Artefactos del Proyecto</w:t>
      </w:r>
    </w:p>
    <w:p w14:paraId="0992E18B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Sección 4 – Recursos</w:t>
      </w:r>
    </w:p>
    <w:p w14:paraId="62E337C8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Sección 5 – Lecciones Aprendidas</w:t>
      </w:r>
    </w:p>
    <w:p w14:paraId="41DFECE4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Sección 6 – Planes Post-Implantación</w:t>
      </w:r>
    </w:p>
    <w:p w14:paraId="468FBC9F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Sección 7 – No Conformidades Abiertas</w:t>
      </w:r>
    </w:p>
    <w:p w14:paraId="1343F8C8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br w:type="page"/>
      </w:r>
    </w:p>
    <w:p w14:paraId="31ABBC0A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lastRenderedPageBreak/>
        <w:t>Introducción</w:t>
      </w:r>
    </w:p>
    <w:p w14:paraId="2459ABFE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Muchos proyectos TI tienen un enfoque limitado en ejecutar un cierre formal y estructurado del proyecto. Las Gerencias TI y equipos de proyecto muchas veces subestiman el impacto y la utilidad de los datos históricos para la organización. En muchos casos, los artefactos entregables no son archivados consistentemente, impidiendo un mejoramiento continuo y la promoción de la reutilización.</w:t>
      </w:r>
      <w:r w:rsidRPr="005405BA">
        <w:rPr>
          <w:lang w:val="es-CL"/>
        </w:rPr>
        <w:br/>
      </w:r>
      <w:r w:rsidRPr="005405BA">
        <w:rPr>
          <w:lang w:val="es-CL"/>
        </w:rPr>
        <w:br/>
        <w:t xml:space="preserve">En el caso de </w:t>
      </w:r>
      <w:proofErr w:type="spellStart"/>
      <w:r w:rsidRPr="005405BA">
        <w:rPr>
          <w:lang w:val="es-CL"/>
        </w:rPr>
        <w:t>InventPro</w:t>
      </w:r>
      <w:proofErr w:type="spellEnd"/>
      <w:r w:rsidRPr="005405BA">
        <w:rPr>
          <w:lang w:val="es-CL"/>
        </w:rPr>
        <w:t xml:space="preserve"> – Sistema de Gestión de Inventario y Órdenes de Compra para Papeles Duoc (Sede Puente Alto), el cierre formal del proyecto es clave para:</w:t>
      </w:r>
      <w:r w:rsidRPr="005405BA">
        <w:rPr>
          <w:lang w:val="es-CL"/>
        </w:rPr>
        <w:br/>
      </w:r>
      <w:r w:rsidRPr="005405BA">
        <w:rPr>
          <w:lang w:val="es-CL"/>
        </w:rPr>
        <w:br/>
        <w:t>Dejar documentado el estado final del sistema y de la documentación asociada.</w:t>
      </w:r>
      <w:r w:rsidRPr="005405BA">
        <w:rPr>
          <w:lang w:val="es-CL"/>
        </w:rPr>
        <w:br/>
        <w:t>Registrar la aceptación de los entregables por parte del cliente.</w:t>
      </w:r>
      <w:r w:rsidRPr="005405BA">
        <w:rPr>
          <w:lang w:val="es-CL"/>
        </w:rPr>
        <w:br/>
        <w:t>Identificar lecciones aprendidas y no conformidades abiertas que podrán abordarse en futuras fases.</w:t>
      </w:r>
    </w:p>
    <w:p w14:paraId="1F27F961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t>Uso del Informe de Cierre de Proyecto</w:t>
      </w:r>
    </w:p>
    <w:p w14:paraId="5B96CA5D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 xml:space="preserve">El uso de este informe, que se encarga de la aceptación final del sistema </w:t>
      </w:r>
      <w:proofErr w:type="spellStart"/>
      <w:r w:rsidRPr="005405BA">
        <w:rPr>
          <w:lang w:val="es-CL"/>
        </w:rPr>
        <w:t>InventPro</w:t>
      </w:r>
      <w:proofErr w:type="spellEnd"/>
      <w:r w:rsidRPr="005405BA">
        <w:rPr>
          <w:lang w:val="es-CL"/>
        </w:rPr>
        <w:t>, asume que los representantes del cliente han aprobado previamente que el producto está listo para ser utilizado en su contexto (operación inicial/marcha blanca), habiendo revisado previamente los entregables y prototipos implementados.</w:t>
      </w:r>
      <w:r w:rsidRPr="005405BA">
        <w:rPr>
          <w:lang w:val="es-CL"/>
        </w:rPr>
        <w:br/>
      </w:r>
      <w:r w:rsidRPr="005405BA">
        <w:rPr>
          <w:lang w:val="es-CL"/>
        </w:rPr>
        <w:br/>
        <w:t xml:space="preserve">El uso de este informe de cierre del proyecto asume que la información del proyecto ha sido analizada y revisada a lo largo del ciclo de vida </w:t>
      </w:r>
      <w:proofErr w:type="gramStart"/>
      <w:r w:rsidRPr="005405BA">
        <w:rPr>
          <w:lang w:val="es-CL"/>
        </w:rPr>
        <w:t>del mismo</w:t>
      </w:r>
      <w:proofErr w:type="gramEnd"/>
      <w:r w:rsidRPr="005405BA">
        <w:rPr>
          <w:lang w:val="es-CL"/>
        </w:rPr>
        <w:t xml:space="preserve"> (Fase 1 y Fase 2). Los representantes del cliente deben utilizar esta información durante el cierre del proyecto para:</w:t>
      </w:r>
      <w:r w:rsidRPr="005405BA">
        <w:rPr>
          <w:lang w:val="es-CL"/>
        </w:rPr>
        <w:br/>
      </w:r>
      <w:r w:rsidRPr="005405BA">
        <w:rPr>
          <w:lang w:val="es-CL"/>
        </w:rPr>
        <w:br/>
        <w:t>Validar que el alcance comprometido fue cubierto.</w:t>
      </w:r>
      <w:r w:rsidRPr="005405BA">
        <w:rPr>
          <w:lang w:val="es-CL"/>
        </w:rPr>
        <w:br/>
        <w:t>Conocer el estado de los artefactos (documentación de análisis, diseño, pruebas, modelos, etc.).</w:t>
      </w:r>
      <w:r w:rsidRPr="005405BA">
        <w:rPr>
          <w:lang w:val="es-CL"/>
        </w:rPr>
        <w:br/>
        <w:t>Entender qué funcionalidades quedan como potencial de mejora futura.</w:t>
      </w:r>
    </w:p>
    <w:p w14:paraId="42DE409B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t>Sección 1 – Información General</w:t>
      </w:r>
    </w:p>
    <w:p w14:paraId="63614695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 xml:space="preserve">El proyecto </w:t>
      </w:r>
      <w:proofErr w:type="spellStart"/>
      <w:r w:rsidRPr="005405BA">
        <w:rPr>
          <w:lang w:val="es-CL"/>
        </w:rPr>
        <w:t>InventPro</w:t>
      </w:r>
      <w:proofErr w:type="spellEnd"/>
      <w:r w:rsidRPr="005405BA">
        <w:rPr>
          <w:lang w:val="es-CL"/>
        </w:rPr>
        <w:t xml:space="preserve"> tiene como propósito mejorar la gestión de inventario y órdenes de compra de la empresa Papeles Duoc – Sede Puente Alto, una </w:t>
      </w:r>
      <w:proofErr w:type="spellStart"/>
      <w:r w:rsidRPr="005405BA">
        <w:rPr>
          <w:lang w:val="es-CL"/>
        </w:rPr>
        <w:t>PyME</w:t>
      </w:r>
      <w:proofErr w:type="spellEnd"/>
      <w:r w:rsidRPr="005405BA">
        <w:rPr>
          <w:lang w:val="es-CL"/>
        </w:rPr>
        <w:t xml:space="preserve"> que maneja altos volúmenes de productos de papelería y oficina.</w:t>
      </w:r>
      <w:r w:rsidRPr="005405BA">
        <w:rPr>
          <w:lang w:val="es-CL"/>
        </w:rPr>
        <w:br/>
      </w:r>
      <w:r w:rsidRPr="005405BA">
        <w:rPr>
          <w:lang w:val="es-CL"/>
        </w:rPr>
        <w:br/>
        <w:t>En el escenario inicial, la empresa presentaba problemas tales como:</w:t>
      </w:r>
      <w:r w:rsidRPr="005405BA">
        <w:rPr>
          <w:lang w:val="es-CL"/>
        </w:rPr>
        <w:br/>
        <w:t>- Pérdidas por errores de inventario y registros manuales.</w:t>
      </w:r>
      <w:r w:rsidRPr="005405BA">
        <w:rPr>
          <w:lang w:val="es-CL"/>
        </w:rPr>
        <w:br/>
        <w:t>- Falta de trazabilidad clara de entradas y salidas de productos.</w:t>
      </w:r>
      <w:r w:rsidRPr="005405BA">
        <w:rPr>
          <w:lang w:val="es-CL"/>
        </w:rPr>
        <w:br/>
        <w:t>- Dificultad para estimar el impacto económico de las mermas.</w:t>
      </w:r>
      <w:r w:rsidRPr="005405BA">
        <w:rPr>
          <w:lang w:val="es-CL"/>
        </w:rPr>
        <w:br/>
      </w:r>
      <w:r w:rsidRPr="005405BA">
        <w:rPr>
          <w:lang w:val="es-CL"/>
        </w:rPr>
        <w:br/>
      </w:r>
      <w:r w:rsidRPr="005405BA">
        <w:rPr>
          <w:lang w:val="es-CL"/>
        </w:rPr>
        <w:lastRenderedPageBreak/>
        <w:t>El objetivo principal del proyecto es proporcionar una solución de software de gestión de inventario y órdenes de compra, que permita:</w:t>
      </w:r>
      <w:r w:rsidRPr="005405BA">
        <w:rPr>
          <w:lang w:val="es-CL"/>
        </w:rPr>
        <w:br/>
        <w:t>- Registrar productos, clientes y proveedores en una base de datos centralizada.</w:t>
      </w:r>
      <w:r w:rsidRPr="005405BA">
        <w:rPr>
          <w:lang w:val="es-CL"/>
        </w:rPr>
        <w:br/>
        <w:t>- Controlar el stock en tiempo real, con reglas que impiden stock negativo.</w:t>
      </w:r>
      <w:r w:rsidRPr="005405BA">
        <w:rPr>
          <w:lang w:val="es-CL"/>
        </w:rPr>
        <w:br/>
        <w:t>- Registrar órdenes de compra/venta que actualicen automáticamente el inventario.</w:t>
      </w:r>
      <w:r w:rsidRPr="005405BA">
        <w:rPr>
          <w:lang w:val="es-CL"/>
        </w:rPr>
        <w:br/>
        <w:t>- Generar indicadores básicos de gestión (ventas, stock bajo, movimientos).</w:t>
      </w:r>
      <w:r w:rsidRPr="005405BA">
        <w:rPr>
          <w:lang w:val="es-CL"/>
        </w:rPr>
        <w:br/>
        <w:t>- Reducir las pérdidas por errores de inventario, mejorando la rentabilidad del negocio.</w:t>
      </w:r>
    </w:p>
    <w:p w14:paraId="25DDBEE3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t>Sección 2 – Lista de Verificación de Aceptación Final</w:t>
      </w:r>
    </w:p>
    <w:p w14:paraId="46F0CE80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El Cliente certifica que la totalidad de los suministros o servicios reseñados en la presente acta de recepción han sido entregados/terminados y que, habiendo sido sometidos a las pruebas de validación y revisión acordadas, están de acuerdo con las especificaciones formales y demás requisitos establecidos entre las partes, con los siguientes ítems finalizados correctamente:</w:t>
      </w:r>
      <w:r w:rsidRPr="005405BA">
        <w:rPr>
          <w:lang w:val="es-CL"/>
        </w:rPr>
        <w:br/>
      </w:r>
      <w:r w:rsidRPr="005405BA">
        <w:rPr>
          <w:lang w:val="es-CL"/>
        </w:rPr>
        <w:br/>
        <w:t>- Acceso al sistema e inicio de sesión básico</w:t>
      </w:r>
      <w:r w:rsidRPr="005405BA">
        <w:rPr>
          <w:lang w:val="es-CL"/>
        </w:rPr>
        <w:br/>
        <w:t>- Autenticación de usuarios registrados</w:t>
      </w:r>
      <w:r w:rsidRPr="005405BA">
        <w:rPr>
          <w:lang w:val="es-CL"/>
        </w:rPr>
        <w:br/>
        <w:t>- Control de acceso según rol (Administrador / Bodeguero / Usuario)</w:t>
      </w:r>
      <w:r w:rsidRPr="005405BA">
        <w:rPr>
          <w:lang w:val="es-CL"/>
        </w:rPr>
        <w:br/>
        <w:t>- Gestión de inventario</w:t>
      </w:r>
      <w:r w:rsidRPr="005405BA">
        <w:rPr>
          <w:lang w:val="es-CL"/>
        </w:rPr>
        <w:br/>
        <w:t>- Registro y mantenimiento de productos</w:t>
      </w:r>
      <w:r w:rsidRPr="005405BA">
        <w:rPr>
          <w:lang w:val="es-CL"/>
        </w:rPr>
        <w:br/>
        <w:t>- Control de stock con reglas que evitan stock negativo</w:t>
      </w:r>
      <w:r w:rsidRPr="005405BA">
        <w:rPr>
          <w:lang w:val="es-CL"/>
        </w:rPr>
        <w:br/>
        <w:t>- Ajustes manuales de inventario con motivo</w:t>
      </w:r>
      <w:r w:rsidRPr="005405BA">
        <w:rPr>
          <w:lang w:val="es-CL"/>
        </w:rPr>
        <w:br/>
        <w:t>- Gestión de entidades de negocio</w:t>
      </w:r>
      <w:r w:rsidRPr="005405BA">
        <w:rPr>
          <w:lang w:val="es-CL"/>
        </w:rPr>
        <w:br/>
        <w:t>- Mantenedores de clientes</w:t>
      </w:r>
      <w:r w:rsidRPr="005405BA">
        <w:rPr>
          <w:lang w:val="es-CL"/>
        </w:rPr>
        <w:br/>
        <w:t>- Mantenedores de proveedores y categorías de productos</w:t>
      </w:r>
      <w:r w:rsidRPr="005405BA">
        <w:rPr>
          <w:lang w:val="es-CL"/>
        </w:rPr>
        <w:br/>
        <w:t>- Gestión de órdenes</w:t>
      </w:r>
      <w:r w:rsidRPr="005405BA">
        <w:rPr>
          <w:lang w:val="es-CL"/>
        </w:rPr>
        <w:br/>
        <w:t>- Registro de órdenes de compra/venta con detalle de productos y cantidades</w:t>
      </w:r>
      <w:r w:rsidRPr="005405BA">
        <w:rPr>
          <w:lang w:val="es-CL"/>
        </w:rPr>
        <w:br/>
        <w:t>- Actualización automática de stock al confirmar órdenes</w:t>
      </w:r>
      <w:r w:rsidRPr="005405BA">
        <w:rPr>
          <w:lang w:val="es-CL"/>
        </w:rPr>
        <w:br/>
        <w:t>- Visualización de información</w:t>
      </w:r>
      <w:r w:rsidRPr="005405BA">
        <w:rPr>
          <w:lang w:val="es-CL"/>
        </w:rPr>
        <w:br/>
        <w:t>- Listados básicos con búsqueda/paginación</w:t>
      </w:r>
      <w:r w:rsidRPr="005405BA">
        <w:rPr>
          <w:lang w:val="es-CL"/>
        </w:rPr>
        <w:br/>
        <w:t xml:space="preserve">- Alertas de stock bajo en el </w:t>
      </w:r>
      <w:proofErr w:type="spellStart"/>
      <w:r w:rsidRPr="005405BA">
        <w:rPr>
          <w:lang w:val="es-CL"/>
        </w:rPr>
        <w:t>dashboard</w:t>
      </w:r>
      <w:proofErr w:type="spellEnd"/>
      <w:r w:rsidRPr="005405BA">
        <w:rPr>
          <w:lang w:val="es-CL"/>
        </w:rPr>
        <w:t xml:space="preserve"> administrativo</w:t>
      </w:r>
    </w:p>
    <w:p w14:paraId="1F2EDBA5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t>Sección 3 – Lista de Verificación de los Artefactos del Proyecto</w:t>
      </w:r>
    </w:p>
    <w:p w14:paraId="63AD05EE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Fase 1 – Análisis y Diseño</w:t>
      </w:r>
      <w:r w:rsidRPr="005405BA">
        <w:rPr>
          <w:lang w:val="es-CL"/>
        </w:rPr>
        <w:br/>
        <w:t>Artefactos: Acta de Anteproyecto, Carta Gantt, EDT, DAS, Modelos As-</w:t>
      </w:r>
      <w:proofErr w:type="spellStart"/>
      <w:r w:rsidRPr="005405BA">
        <w:rPr>
          <w:lang w:val="es-CL"/>
        </w:rPr>
        <w:t>Is</w:t>
      </w:r>
      <w:proofErr w:type="spellEnd"/>
      <w:r w:rsidRPr="005405BA">
        <w:rPr>
          <w:lang w:val="es-CL"/>
        </w:rPr>
        <w:t xml:space="preserve"> y </w:t>
      </w:r>
      <w:proofErr w:type="spellStart"/>
      <w:r w:rsidRPr="005405BA">
        <w:rPr>
          <w:lang w:val="es-CL"/>
        </w:rPr>
        <w:t>To</w:t>
      </w:r>
      <w:proofErr w:type="spellEnd"/>
      <w:r w:rsidRPr="005405BA">
        <w:rPr>
          <w:lang w:val="es-CL"/>
        </w:rPr>
        <w:t>-Be, Diagramas de Casos de Uso, Casos extendidos, Mockups, Especificación de Requerimientos, Modelo E-R, Modelo Relacional, Diccionario de Datos, Matriz RACI, Matriz de Riesgos, Planes de Calidad, Comunicación, Costos, Adquisiciones.</w:t>
      </w:r>
      <w:r w:rsidRPr="005405BA">
        <w:rPr>
          <w:lang w:val="es-CL"/>
        </w:rPr>
        <w:br/>
        <w:t>Estado: Todos Finalizados.</w:t>
      </w:r>
      <w:r w:rsidRPr="005405BA">
        <w:rPr>
          <w:lang w:val="es-CL"/>
        </w:rPr>
        <w:br/>
      </w:r>
      <w:r w:rsidRPr="005405BA">
        <w:rPr>
          <w:lang w:val="es-CL"/>
        </w:rPr>
        <w:br/>
      </w:r>
      <w:r w:rsidRPr="005405BA">
        <w:rPr>
          <w:lang w:val="es-CL"/>
        </w:rPr>
        <w:lastRenderedPageBreak/>
        <w:t>Fase 2 – Desarrollo, Pruebas y Cierre</w:t>
      </w:r>
      <w:r w:rsidRPr="005405BA">
        <w:rPr>
          <w:lang w:val="es-CL"/>
        </w:rPr>
        <w:br/>
        <w:t>Artefactos: Implementación ambiente, Scripts BD, Matriz de Pruebas, Plan de Pruebas, Minutas, Matriz de seguimiento, Verificación de Alcances, Gestión de Cambios, Plan de Capacitación, Manual de Usuario, Flujo de Caja VAN/TIR, Informe de Avance, Informe de Cierre, Avance del Sistema (Parcial).</w:t>
      </w:r>
    </w:p>
    <w:p w14:paraId="7FC9761D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t>Sección 4 – Recursos</w:t>
      </w:r>
    </w:p>
    <w:p w14:paraId="6EC543FF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 xml:space="preserve">Administrador funcional, Usuario operativo (Bodeguero), Perfil técnico (soporte). Se propone modelo de soporte con </w:t>
      </w:r>
      <w:proofErr w:type="spellStart"/>
      <w:r w:rsidRPr="005405BA">
        <w:rPr>
          <w:lang w:val="es-CL"/>
        </w:rPr>
        <w:t>SLAs</w:t>
      </w:r>
      <w:proofErr w:type="spellEnd"/>
      <w:r w:rsidRPr="005405BA">
        <w:rPr>
          <w:lang w:val="es-CL"/>
        </w:rPr>
        <w:t xml:space="preserve"> en escenario real.</w:t>
      </w:r>
    </w:p>
    <w:p w14:paraId="20CE8B72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t>Sección 5 – Lecciones Aprendidas</w:t>
      </w:r>
    </w:p>
    <w:p w14:paraId="2EC846FE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Integrar modelación del negocio con implementación técnica permitió entender pérdidas por inventario y cómo reducirlas. Especificación detallada ayudó a priorizar. Flujo de caja justificó rentabilidad. Gestión de tiempos evidenció necesidad de mejorar planificación.</w:t>
      </w:r>
    </w:p>
    <w:p w14:paraId="5458490D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t>Sección 6 – Planes Post-Implantación</w:t>
      </w:r>
    </w:p>
    <w:p w14:paraId="59F75C33" w14:textId="77777777" w:rsidR="00A3199F" w:rsidRPr="005405BA" w:rsidRDefault="00000000">
      <w:pPr>
        <w:rPr>
          <w:lang w:val="es-CL"/>
        </w:rPr>
      </w:pPr>
      <w:r w:rsidRPr="005405BA">
        <w:rPr>
          <w:lang w:val="es-CL"/>
        </w:rPr>
        <w:t>Marcha blanca 30 días, revisión semanal de stock, capacitación de refuerzo, lista priorizada de mejoras para Fase 3.</w:t>
      </w:r>
    </w:p>
    <w:p w14:paraId="019900A0" w14:textId="77777777" w:rsidR="00A3199F" w:rsidRPr="005405BA" w:rsidRDefault="00000000">
      <w:pPr>
        <w:pStyle w:val="Ttulo1"/>
        <w:rPr>
          <w:lang w:val="es-CL"/>
        </w:rPr>
      </w:pPr>
      <w:r w:rsidRPr="005405BA">
        <w:rPr>
          <w:lang w:val="es-CL"/>
        </w:rPr>
        <w:t>Sección 7 – No Conformidades Abiertas</w:t>
      </w:r>
    </w:p>
    <w:p w14:paraId="65B9A369" w14:textId="77777777" w:rsidR="00A3199F" w:rsidRDefault="00000000">
      <w:r w:rsidRPr="005405BA">
        <w:rPr>
          <w:lang w:val="es-CL"/>
        </w:rPr>
        <w:t xml:space="preserve">Módulo avanzado de reportes, notificaciones automáticas, centro de notificaciones, monitoreo y operación avanzada. </w:t>
      </w:r>
      <w:r>
        <w:t xml:space="preserve">No </w:t>
      </w:r>
      <w:proofErr w:type="spellStart"/>
      <w:r>
        <w:t>impiden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>, son mejoras futuras.</w:t>
      </w:r>
    </w:p>
    <w:sectPr w:rsidR="00A31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2F4CCB"/>
    <w:rsid w:val="00324B44"/>
    <w:rsid w:val="0036562D"/>
    <w:rsid w:val="004976E0"/>
    <w:rsid w:val="005405BA"/>
    <w:rsid w:val="005A534A"/>
    <w:rsid w:val="00827C87"/>
    <w:rsid w:val="00A20880"/>
    <w:rsid w:val="00A3199F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DE83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unhideWhenUsed/>
    <w:rsid w:val="00827C8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876</Words>
  <Characters>5095</Characters>
  <Application>Microsoft Office Word</Application>
  <DocSecurity>0</DocSecurity>
  <Lines>115</Lines>
  <Paragraphs>37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CLAUDIO . SOTO MOYA</cp:lastModifiedBy>
  <cp:revision>3</cp:revision>
  <dcterms:created xsi:type="dcterms:W3CDTF">2025-06-25T20:44:00Z</dcterms:created>
  <dcterms:modified xsi:type="dcterms:W3CDTF">2025-12-04T01:05:00Z</dcterms:modified>
</cp:coreProperties>
</file>