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14/08/2025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InventPro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Hermosilla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Borotto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Claudio Soto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Presentación oficial del proyecto.</w:t>
            </w:r>
          </w:p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y aprobación del Acta de Constitución.</w:t>
            </w:r>
          </w:p>
          <w:p w:rsidR="00000000" w:rsidDel="00000000" w:rsidP="00000000" w:rsidRDefault="00000000" w:rsidRPr="00000000" w14:paraId="00000038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 responsables por documento.</w:t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572.812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los apartados del Acta: objetivo, alcance, riesgos, stakeholders, hitos y metodología. Se acordó mantener un enfoque iterativo con entregables documentales semanales. Se listaron los anexos exigidos por la cátedra y se ordenó el repositorio de archivos (carpetas para Acta, ERS, EDT/Gantt, Mockups, Minutas).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Acta de constitucion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Cerrar el Acta con: alcance, riesgos y cronograma base definidos.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nomenclatura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Mantener nomenclatura única de archivos y control de versiones.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Anexos obligatorios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Dejar explícito el listado de anexos obligatorios en el Acta.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estructura de carpetas y lineamientos de nombre de archivo.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17/08/2025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Hermosilla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dar formato final al Acta y numeración de secciones.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16/08/2025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Borotto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coherencia entre alcance, hitos y riesgos 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17/08/2025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Claudio Soto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La reunión permitió alinear al equipo con los objetivos del proyecto y aclarar los entregables obligatorios, se destacó la necesidad de mantener orden y consistencia en la documentación desde el inicio.</w:t>
            </w:r>
          </w:p>
        </w:tc>
      </w:tr>
    </w:tbl>
    <w:p w:rsidR="00000000" w:rsidDel="00000000" w:rsidP="00000000" w:rsidRDefault="00000000" w:rsidRPr="00000000" w14:paraId="00000062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hesbqhuym8n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n0to0sw9obz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l0obu6dpte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2cuapdicp7n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x46kwew21nw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7hil8o5rjb5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pcbviaatprq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rhw4qynalpq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slzqmzy6esr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mx1vvt7lzxa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spacing w:after="360" w:lineRule="auto"/>
        <w:rPr>
          <w:rFonts w:ascii="Tahoma" w:cs="Tahoma" w:eastAsia="Tahoma" w:hAnsi="Tahoma"/>
        </w:rPr>
      </w:pPr>
      <w:bookmarkStart w:colFirst="0" w:colLast="0" w:name="_heading=h.ixycyxpwvu9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m1wgol8k13g" w:id="11"/>
      <w:bookmarkEnd w:id="11"/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6F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21/08/2025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InventPro</w:t>
            </w:r>
          </w:p>
        </w:tc>
      </w:tr>
    </w:tbl>
    <w:p w:rsidR="00000000" w:rsidDel="00000000" w:rsidP="00000000" w:rsidRDefault="00000000" w:rsidRPr="00000000" w14:paraId="00000088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48.0" w:type="dxa"/>
        <w:jc w:val="left"/>
        <w:tblInd w:w="-12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89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8D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8E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8F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0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1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Hermosilla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5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Borotto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9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Claudio Soto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D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A2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 Matriz EDT (WBS).</w:t>
              <w:br w:type="textWrapping"/>
              <w:t xml:space="preserve">Armado de Carta Gantt con dependencias.</w:t>
            </w:r>
          </w:p>
          <w:p w:rsidR="00000000" w:rsidDel="00000000" w:rsidP="00000000" w:rsidRDefault="00000000" w:rsidRPr="00000000" w14:paraId="000000A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descompuso el proyecto por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fases/entregables/tareas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(nivel 1–3) en la EDT, asignando responsables. Se definieron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HH estimadas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por tarea y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costo de referencia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En la Gantt se incorporaron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(FS) entre actividades,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hitos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(H0–H5) y fechas tentativas, manteniendo alineación con el Acta.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B1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costos EDT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B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 EDT incluirá columnas de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HH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y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Costo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por tarea, y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totales por fase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B3">
            <w:pPr>
              <w:numPr>
                <w:ilvl w:val="5"/>
                <w:numId w:val="1"/>
              </w:num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dependencias de la carta gantt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B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 Gantt mostrará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dependencias visibles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, hitos y, si es posible,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ruta crítica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B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concordancia en EDT y Gantt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B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EDT y Gantt deberán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coincidir en codificación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C1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C2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dependencias y revisar solapes en Gantt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Hermosilla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C7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ingresar HH y costo estimado en EDT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24/08/2025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C9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Borotto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CA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sdt>
              <w:sdtPr>
                <w:id w:val="-1445034364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verificar consistencia EDT↔Gantt y ajustar hitos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25/08/2025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C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Claudio Soto</w:t>
            </w:r>
          </w:p>
        </w:tc>
      </w:tr>
    </w:tbl>
    <w:p w:rsidR="00000000" w:rsidDel="00000000" w:rsidP="00000000" w:rsidRDefault="00000000" w:rsidRPr="00000000" w14:paraId="000000CD">
      <w:pPr>
        <w:numPr>
          <w:ilvl w:val="1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1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Se identificó la importancia de reflejar dependencias en la Carta Gantt y costos en la EDT, lo que dará mayor realismo a la planificación, se recomendó reforzar la consistencia entre ambos documentos.</w:t>
            </w:r>
          </w:p>
        </w:tc>
      </w:tr>
    </w:tbl>
    <w:p w:rsidR="00000000" w:rsidDel="00000000" w:rsidP="00000000" w:rsidRDefault="00000000" w:rsidRPr="00000000" w14:paraId="000000D0">
      <w:pPr>
        <w:numPr>
          <w:ilvl w:val="1"/>
          <w:numId w:val="1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v3q31ek3cgg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kxszkv3xjdx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n95jbt8trhi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lmplpn9ls0r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wi7htse1h20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f1bopjgr9xl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ervpsa91en2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bkqgkxjj4lk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wsl24nmpb9t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6ka638d1qij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ykthrluet3ob" w:id="22"/>
      <w:bookmarkEnd w:id="22"/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DC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28/08/2025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InventPro</w:t>
            </w:r>
          </w:p>
        </w:tc>
      </w:tr>
    </w:tbl>
    <w:p w:rsidR="00000000" w:rsidDel="00000000" w:rsidP="00000000" w:rsidRDefault="00000000" w:rsidRPr="00000000" w14:paraId="000000F5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48.0" w:type="dxa"/>
        <w:jc w:val="left"/>
        <w:tblInd w:w="-12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6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A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B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C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D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E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Hermosilla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2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Borotto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Claudio Soto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A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0F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del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Informe ERS (IEEE 830)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1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Casos de Uso Extendido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y trazabilidad con ERS.</w:t>
            </w:r>
          </w:p>
          <w:p w:rsidR="00000000" w:rsidDel="00000000" w:rsidP="00000000" w:rsidRDefault="00000000" w:rsidRPr="00000000" w14:paraId="00000112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validó la estructura del ERS: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RF/NF, restricciones, supuestos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y criterios de aceptación. </w:t>
            </w:r>
          </w:p>
          <w:p w:rsidR="00000000" w:rsidDel="00000000" w:rsidP="00000000" w:rsidRDefault="00000000" w:rsidRPr="00000000" w14:paraId="00000117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definió la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matriz de trazabilidad</w:t>
            </w:r>
            <w:sdt>
              <w:sdtPr>
                <w:id w:val="1886720125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(RF ↔ Caso de Uso ↔ Prueba). </w:t>
                </w:r>
              </w:sdtContent>
            </w:sdt>
          </w:p>
          <w:p w:rsidR="00000000" w:rsidDel="00000000" w:rsidP="00000000" w:rsidRDefault="00000000" w:rsidRPr="00000000" w14:paraId="00000118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priorizaron los CU extendidos: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Login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CRUD Productos/Categorías/Proveedores/Clientes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Órdenes (con líneas)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Inventario Manual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y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Reportes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(filtros y formatos).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1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redacción ERS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ERS debe quedar con redacción final y numeración IEEE 830.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3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CU extendidos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Cada CU extendido tendrá: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precondiciones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curso normal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alternos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y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trazabilidad ERS y CU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Entregar matriz de trazabilidad </w:t>
            </w:r>
            <w:sdt>
              <w:sdtPr>
                <w:id w:val="-668699468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ERS↔CU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como anexo.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E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F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1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CU extendidos y diagrama de casos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31/08/2025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3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Hermosilla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cerrar redacción ERS y anexos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30/08/2025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Borotto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7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consistencia RF/NF y trazabilidad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31/08/2025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9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Claudio Soto</w:t>
            </w:r>
          </w:p>
        </w:tc>
      </w:tr>
    </w:tbl>
    <w:p w:rsidR="00000000" w:rsidDel="00000000" w:rsidP="00000000" w:rsidRDefault="00000000" w:rsidRPr="00000000" w14:paraId="0000013A">
      <w:pPr>
        <w:numPr>
          <w:ilvl w:val="1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2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El equipo reconoció la relevancia de la trazabilidad entre requisitos, casos de uso y pruebas, se enfatizó mantener el estándar IEEE 830 para asegurar claridad y alineación académica.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Title"/>
        <w:numPr>
          <w:ilvl w:val="1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5c47y8t4jarl" w:id="23"/>
      <w:bookmarkEnd w:id="23"/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22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166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InventPro</w:t>
            </w:r>
          </w:p>
        </w:tc>
      </w:tr>
    </w:tbl>
    <w:p w:rsidR="00000000" w:rsidDel="00000000" w:rsidP="00000000" w:rsidRDefault="00000000" w:rsidRPr="00000000" w14:paraId="0000017F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348.0" w:type="dxa"/>
        <w:jc w:val="left"/>
        <w:tblInd w:w="-12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0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4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5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6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7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8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Hermosilla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Borotto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0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Claudio Soto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99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Mockups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del sistema.</w:t>
              <w:br w:type="textWrapping"/>
              <w:t xml:space="preserve">Preparación de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Anexos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para entrega.</w:t>
            </w:r>
          </w:p>
        </w:tc>
      </w:tr>
    </w:tbl>
    <w:p w:rsidR="00000000" w:rsidDel="00000000" w:rsidP="00000000" w:rsidRDefault="00000000" w:rsidRPr="00000000" w14:paraId="0000019B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presentaron mockups de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Login, Dashboard, Productos, Órdenes, Inventario Manual y Reportes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Se acordaron ajustes de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etiquetas, validaciones y consistencia visual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MuckUps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Mockups quedan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cerrados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para esta entrega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8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Entrega Anexos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 los anexos se entregan en formato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PDF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con nomenclatura estándar.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A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B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exportar mockups finales y actualizar índice de anexos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Hermosilla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consolidar minutas y compilar anexos en la carpeta de entrega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C3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Borotto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final de forma (ortografía, formato, portada y pies de página)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C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Claudio Soto</w:t>
            </w:r>
          </w:p>
        </w:tc>
      </w:tr>
    </w:tbl>
    <w:p w:rsidR="00000000" w:rsidDel="00000000" w:rsidP="00000000" w:rsidRDefault="00000000" w:rsidRPr="00000000" w14:paraId="000001C7">
      <w:pPr>
        <w:numPr>
          <w:ilvl w:val="1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2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Los mockups fueron validados satisfactoriamente, se resaltó que la documentación ya cubre todos los anexos exigidos y que el proyecto avanza conforme al cronograma planificado.</w:t>
            </w:r>
          </w:p>
        </w:tc>
      </w:tr>
    </w:tbl>
    <w:p w:rsidR="00000000" w:rsidDel="00000000" w:rsidP="00000000" w:rsidRDefault="00000000" w:rsidRPr="00000000" w14:paraId="000001CA">
      <w:pPr>
        <w:numPr>
          <w:ilvl w:val="1"/>
          <w:numId w:val="1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3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4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C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D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E">
    <w:pPr>
      <w:rPr/>
    </w:pPr>
    <w:r w:rsidDel="00000000" w:rsidR="00000000" w:rsidRPr="00000000">
      <w:rPr>
        <w:rtl w:val="0"/>
      </w:rPr>
    </w:r>
  </w:p>
  <w:tbl>
    <w:tblPr>
      <w:tblStyle w:val="Table2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CF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0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1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2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qzP40L6UcSSHCkW8VdIvgLqkCQ==">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