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pvut36q8o1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Hermosilla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7.99999999999983" w:tblpY="0"/>
        <w:tblW w:w="99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90"/>
        <w:gridCol w:w="990"/>
        <w:gridCol w:w="1185"/>
        <w:gridCol w:w="1245"/>
        <w:gridCol w:w="2550"/>
        <w:tblGridChange w:id="0">
          <w:tblGrid>
            <w:gridCol w:w="1935"/>
            <w:gridCol w:w="1020"/>
            <w:gridCol w:w="990"/>
            <w:gridCol w:w="99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ecndfxll7i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y crea soluciones de software innovadoras y de calidad, aplicando el ciclo de vida del software y estándares de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soluciones que satisfagan requerimientos de información con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 y diseña procesos de ingeniería de requisitos, utilizando metodologías modernas y estándares.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Evalúa y gestiona proyectos de TI en contextos tradicionales y ágiles, asegurando cumplimiento de requerimientos.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Diseña soluciones de software integrales, considerando estándares, regulaciones, tecnologías y sostenibilidad.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Aplica pensamiento crítico y analítico en la solución de problemas complejos con metodologías y frameworks adecuados.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C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Evalúa y gestiona proyectos interdisciplinarios fomentando innovación y trabajo colaborativo.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efectivamente en distintos contextos y medios, mostrando ética profesional y apertura al aprendizaje continuo.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una visión trascendente y compromiso con el bien común en su quehacer profesional.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4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RoQCCcgL0DKR2vb/dodkkwm8w==">CgMxLjAyDmgucHB2dXQzNnE4bzEyMg5oLndlY25kZnhsbDdpbjgAciExRG5KU0hXZGJBV3p2LUQwLTZ5MDF6NGplUm43U0pEODE=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