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52" w:rsidRPr="009A4280" w:rsidRDefault="001559D7" w:rsidP="009E4E1A">
      <w:pPr>
        <w:spacing w:line="240" w:lineRule="auto"/>
        <w:jc w:val="center"/>
        <w:rPr>
          <w:rFonts w:ascii="Candara" w:hAnsi="Candara"/>
          <w:b/>
        </w:rPr>
      </w:pPr>
      <w:bookmarkStart w:id="0" w:name="_GoBack"/>
      <w:bookmarkEnd w:id="0"/>
      <w:r w:rsidRPr="009A4280">
        <w:rPr>
          <w:rFonts w:ascii="Candara" w:hAnsi="Candara"/>
          <w:b/>
        </w:rPr>
        <w:t>LA TRAMPA DEL PODER EN LA SEXTA CATEGORÍA</w:t>
      </w:r>
    </w:p>
    <w:p w:rsidR="00614852" w:rsidRPr="009A4280" w:rsidRDefault="00614852" w:rsidP="009E4E1A">
      <w:pPr>
        <w:spacing w:line="240" w:lineRule="auto"/>
        <w:rPr>
          <w:rFonts w:ascii="Candara" w:hAnsi="Candara"/>
        </w:rPr>
      </w:pPr>
    </w:p>
    <w:p w:rsidR="009A4280" w:rsidRPr="009A4280" w:rsidRDefault="009A4280" w:rsidP="009E4E1A">
      <w:pPr>
        <w:spacing w:line="240" w:lineRule="auto"/>
        <w:jc w:val="both"/>
        <w:rPr>
          <w:rFonts w:ascii="Candara" w:hAnsi="Candara"/>
        </w:rPr>
      </w:pPr>
      <w:r w:rsidRPr="009A4280">
        <w:rPr>
          <w:rFonts w:ascii="Candara" w:hAnsi="Candara"/>
        </w:rPr>
        <w:t xml:space="preserve">En Colombia, los distritos y municipios se </w:t>
      </w:r>
      <w:r w:rsidR="006F3BFC">
        <w:rPr>
          <w:rFonts w:ascii="Candara" w:hAnsi="Candara"/>
        </w:rPr>
        <w:t>distribuyen</w:t>
      </w:r>
      <w:r w:rsidRPr="009A4280">
        <w:rPr>
          <w:rFonts w:ascii="Candara" w:hAnsi="Candara"/>
        </w:rPr>
        <w:t xml:space="preserve"> según su población, ingresos o situación geográfica, en siete </w:t>
      </w:r>
      <w:r w:rsidR="006F3BFC">
        <w:rPr>
          <w:rFonts w:ascii="Candara" w:hAnsi="Candara"/>
        </w:rPr>
        <w:t>categorías</w:t>
      </w:r>
      <w:r w:rsidRPr="009A4280">
        <w:rPr>
          <w:rFonts w:ascii="Candara" w:hAnsi="Candara"/>
        </w:rPr>
        <w:t xml:space="preserve">: especial, y de 1 a 6. En sexta se encuentran los municipios más pequeños y de más bajos ingresos. Estos suman 970 de 1.102; esto es el 88% de los municipios del país. En términos de población, en esta categoría viven más colombianos que en ninguna otra, más de 16 millones, según las proyecciones del </w:t>
      </w:r>
      <w:proofErr w:type="spellStart"/>
      <w:r w:rsidRPr="009A4280">
        <w:rPr>
          <w:rFonts w:ascii="Candara" w:hAnsi="Candara"/>
        </w:rPr>
        <w:t>Dane</w:t>
      </w:r>
      <w:proofErr w:type="spellEnd"/>
      <w:r w:rsidRPr="009A4280">
        <w:rPr>
          <w:rFonts w:ascii="Candara" w:hAnsi="Candara"/>
        </w:rPr>
        <w:t>.</w:t>
      </w:r>
    </w:p>
    <w:p w:rsidR="009A4280" w:rsidRPr="009A4280" w:rsidRDefault="009A4280" w:rsidP="009E4E1A">
      <w:pPr>
        <w:spacing w:line="240" w:lineRule="auto"/>
        <w:jc w:val="both"/>
        <w:rPr>
          <w:rFonts w:ascii="Candara" w:hAnsi="Candara"/>
        </w:rPr>
      </w:pPr>
      <w:r w:rsidRPr="009A4280">
        <w:rPr>
          <w:rFonts w:ascii="Candara" w:hAnsi="Candara"/>
        </w:rPr>
        <w:t xml:space="preserve"> </w:t>
      </w:r>
    </w:p>
    <w:p w:rsidR="009A4280" w:rsidRPr="009A4280" w:rsidRDefault="009A4280" w:rsidP="009E4E1A">
      <w:pPr>
        <w:spacing w:line="240" w:lineRule="auto"/>
        <w:ind w:left="1418" w:right="1374"/>
        <w:jc w:val="center"/>
        <w:rPr>
          <w:rFonts w:ascii="Candara" w:hAnsi="Candara"/>
          <w:b/>
        </w:rPr>
      </w:pPr>
      <w:r w:rsidRPr="009A4280">
        <w:rPr>
          <w:rFonts w:ascii="Candara" w:hAnsi="Candara"/>
          <w:b/>
        </w:rPr>
        <w:t>Distribución de población y municipios de Colombia según su categorización, año 2021</w:t>
      </w:r>
    </w:p>
    <w:tbl>
      <w:tblPr>
        <w:tblStyle w:val="a0"/>
        <w:tblW w:w="707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350"/>
        <w:gridCol w:w="1500"/>
        <w:gridCol w:w="1393"/>
        <w:gridCol w:w="1417"/>
        <w:gridCol w:w="1418"/>
      </w:tblGrid>
      <w:tr w:rsidR="009A4280" w:rsidRPr="009A4280" w:rsidTr="009A4280">
        <w:trPr>
          <w:trHeight w:val="705"/>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9A4280" w:rsidRPr="009A4280" w:rsidRDefault="009A4280" w:rsidP="009E4E1A">
            <w:pPr>
              <w:spacing w:line="240" w:lineRule="auto"/>
              <w:jc w:val="center"/>
              <w:rPr>
                <w:rFonts w:ascii="Candara" w:hAnsi="Candara"/>
                <w:b/>
              </w:rPr>
            </w:pPr>
            <w:r w:rsidRPr="009A4280">
              <w:rPr>
                <w:rFonts w:ascii="Candara" w:hAnsi="Candara"/>
                <w:b/>
              </w:rPr>
              <w:t>Categoría</w:t>
            </w:r>
          </w:p>
        </w:tc>
        <w:tc>
          <w:tcPr>
            <w:tcW w:w="1500" w:type="dxa"/>
            <w:tcBorders>
              <w:top w:val="single" w:sz="8" w:space="0" w:color="000000"/>
              <w:left w:val="nil"/>
              <w:bottom w:val="single" w:sz="8" w:space="0" w:color="000000"/>
              <w:right w:val="single" w:sz="8" w:space="0" w:color="000000"/>
            </w:tcBorders>
            <w:shd w:val="clear" w:color="auto" w:fill="FFFFFF"/>
            <w:tcMar>
              <w:top w:w="100" w:type="dxa"/>
              <w:left w:w="80" w:type="dxa"/>
              <w:bottom w:w="100" w:type="dxa"/>
              <w:right w:w="80" w:type="dxa"/>
            </w:tcMar>
          </w:tcPr>
          <w:p w:rsidR="009A4280" w:rsidRPr="009A4280" w:rsidRDefault="009A4280" w:rsidP="009E4E1A">
            <w:pPr>
              <w:spacing w:line="240" w:lineRule="auto"/>
              <w:jc w:val="center"/>
              <w:rPr>
                <w:rFonts w:ascii="Candara" w:hAnsi="Candara"/>
                <w:b/>
              </w:rPr>
            </w:pPr>
            <w:r w:rsidRPr="009A4280">
              <w:rPr>
                <w:rFonts w:ascii="Candara" w:hAnsi="Candara"/>
                <w:b/>
              </w:rPr>
              <w:t>Población</w:t>
            </w:r>
          </w:p>
        </w:tc>
        <w:tc>
          <w:tcPr>
            <w:tcW w:w="1393" w:type="dxa"/>
            <w:tcBorders>
              <w:top w:val="single" w:sz="8" w:space="0" w:color="000000"/>
              <w:left w:val="nil"/>
              <w:bottom w:val="single" w:sz="8" w:space="0" w:color="000000"/>
              <w:right w:val="single" w:sz="8" w:space="0" w:color="000000"/>
            </w:tcBorders>
            <w:shd w:val="clear" w:color="auto" w:fill="FFFFFF"/>
            <w:tcMar>
              <w:top w:w="100" w:type="dxa"/>
              <w:left w:w="80" w:type="dxa"/>
              <w:bottom w:w="100" w:type="dxa"/>
              <w:right w:w="80" w:type="dxa"/>
            </w:tcMar>
          </w:tcPr>
          <w:p w:rsidR="009A4280" w:rsidRPr="009A4280" w:rsidRDefault="009A4280" w:rsidP="009E4E1A">
            <w:pPr>
              <w:spacing w:line="240" w:lineRule="auto"/>
              <w:jc w:val="center"/>
              <w:rPr>
                <w:rFonts w:ascii="Candara" w:hAnsi="Candara"/>
                <w:b/>
              </w:rPr>
            </w:pPr>
            <w:r w:rsidRPr="009A4280">
              <w:rPr>
                <w:rFonts w:ascii="Candara" w:hAnsi="Candara"/>
                <w:b/>
              </w:rPr>
              <w:t>% de Población</w:t>
            </w:r>
          </w:p>
        </w:tc>
        <w:tc>
          <w:tcPr>
            <w:tcW w:w="1417" w:type="dxa"/>
            <w:tcBorders>
              <w:top w:val="single" w:sz="8" w:space="0" w:color="000000"/>
              <w:left w:val="nil"/>
              <w:bottom w:val="single" w:sz="8" w:space="0" w:color="000000"/>
              <w:right w:val="single" w:sz="8" w:space="0" w:color="000000"/>
            </w:tcBorders>
            <w:shd w:val="clear" w:color="auto" w:fill="FFFFFF"/>
            <w:tcMar>
              <w:top w:w="100" w:type="dxa"/>
              <w:left w:w="80" w:type="dxa"/>
              <w:bottom w:w="100" w:type="dxa"/>
              <w:right w:w="80" w:type="dxa"/>
            </w:tcMar>
          </w:tcPr>
          <w:p w:rsidR="009A4280" w:rsidRPr="009A4280" w:rsidRDefault="009A4280" w:rsidP="009E4E1A">
            <w:pPr>
              <w:spacing w:line="240" w:lineRule="auto"/>
              <w:jc w:val="center"/>
              <w:rPr>
                <w:rFonts w:ascii="Candara" w:hAnsi="Candara"/>
                <w:b/>
              </w:rPr>
            </w:pPr>
            <w:r w:rsidRPr="009A4280">
              <w:rPr>
                <w:rFonts w:ascii="Candara" w:hAnsi="Candara"/>
                <w:b/>
              </w:rPr>
              <w:t>Nº de Municipios</w:t>
            </w:r>
          </w:p>
        </w:tc>
        <w:tc>
          <w:tcPr>
            <w:tcW w:w="1418" w:type="dxa"/>
            <w:tcBorders>
              <w:top w:val="single" w:sz="8" w:space="0" w:color="000000"/>
              <w:left w:val="nil"/>
              <w:bottom w:val="single" w:sz="8" w:space="0" w:color="000000"/>
              <w:right w:val="single" w:sz="8" w:space="0" w:color="000000"/>
            </w:tcBorders>
            <w:shd w:val="clear" w:color="auto" w:fill="FFFFFF"/>
            <w:tcMar>
              <w:top w:w="100" w:type="dxa"/>
              <w:left w:w="80" w:type="dxa"/>
              <w:bottom w:w="100" w:type="dxa"/>
              <w:right w:w="80" w:type="dxa"/>
            </w:tcMar>
          </w:tcPr>
          <w:p w:rsidR="009A4280" w:rsidRPr="009A4280" w:rsidRDefault="009A4280" w:rsidP="009E4E1A">
            <w:pPr>
              <w:spacing w:line="240" w:lineRule="auto"/>
              <w:jc w:val="center"/>
              <w:rPr>
                <w:rFonts w:ascii="Candara" w:hAnsi="Candara"/>
                <w:b/>
              </w:rPr>
            </w:pPr>
            <w:r w:rsidRPr="009A4280">
              <w:rPr>
                <w:rFonts w:ascii="Candara" w:hAnsi="Candara"/>
                <w:b/>
              </w:rPr>
              <w:t>% de Municipios</w:t>
            </w:r>
          </w:p>
        </w:tc>
      </w:tr>
      <w:tr w:rsidR="009A4280" w:rsidRPr="009A4280" w:rsidTr="009A4280">
        <w:trPr>
          <w:trHeight w:val="333"/>
          <w:jc w:val="center"/>
        </w:trPr>
        <w:tc>
          <w:tcPr>
            <w:tcW w:w="135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Especial</w:t>
            </w:r>
          </w:p>
        </w:tc>
        <w:tc>
          <w:tcPr>
            <w:tcW w:w="1500"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15.627.412</w:t>
            </w:r>
          </w:p>
        </w:tc>
        <w:tc>
          <w:tcPr>
            <w:tcW w:w="139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30,6</w:t>
            </w:r>
          </w:p>
        </w:tc>
        <w:tc>
          <w:tcPr>
            <w:tcW w:w="1417"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6</w:t>
            </w:r>
          </w:p>
        </w:tc>
        <w:tc>
          <w:tcPr>
            <w:tcW w:w="1418"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0,54</w:t>
            </w:r>
          </w:p>
        </w:tc>
      </w:tr>
      <w:tr w:rsidR="009A4280" w:rsidRPr="009A4280" w:rsidTr="009A4280">
        <w:trPr>
          <w:trHeight w:val="369"/>
          <w:jc w:val="center"/>
        </w:trPr>
        <w:tc>
          <w:tcPr>
            <w:tcW w:w="135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w:t>
            </w:r>
          </w:p>
        </w:tc>
        <w:tc>
          <w:tcPr>
            <w:tcW w:w="1500"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9.840.376</w:t>
            </w:r>
          </w:p>
        </w:tc>
        <w:tc>
          <w:tcPr>
            <w:tcW w:w="139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19,3</w:t>
            </w:r>
          </w:p>
        </w:tc>
        <w:tc>
          <w:tcPr>
            <w:tcW w:w="1417"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28</w:t>
            </w:r>
          </w:p>
        </w:tc>
        <w:tc>
          <w:tcPr>
            <w:tcW w:w="1418"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2,54</w:t>
            </w:r>
          </w:p>
        </w:tc>
      </w:tr>
      <w:tr w:rsidR="009A4280" w:rsidRPr="009A4280" w:rsidTr="009A4280">
        <w:trPr>
          <w:trHeight w:val="221"/>
          <w:jc w:val="center"/>
        </w:trPr>
        <w:tc>
          <w:tcPr>
            <w:tcW w:w="135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w:t>
            </w:r>
          </w:p>
        </w:tc>
        <w:tc>
          <w:tcPr>
            <w:tcW w:w="1500"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3.337.454</w:t>
            </w:r>
          </w:p>
        </w:tc>
        <w:tc>
          <w:tcPr>
            <w:tcW w:w="139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6,5</w:t>
            </w:r>
          </w:p>
        </w:tc>
        <w:tc>
          <w:tcPr>
            <w:tcW w:w="1417"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18</w:t>
            </w:r>
          </w:p>
        </w:tc>
        <w:tc>
          <w:tcPr>
            <w:tcW w:w="1418"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1,63</w:t>
            </w:r>
          </w:p>
        </w:tc>
      </w:tr>
      <w:tr w:rsidR="009A4280" w:rsidRPr="009A4280" w:rsidTr="009A4280">
        <w:trPr>
          <w:trHeight w:val="199"/>
          <w:jc w:val="center"/>
        </w:trPr>
        <w:tc>
          <w:tcPr>
            <w:tcW w:w="135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3</w:t>
            </w:r>
          </w:p>
        </w:tc>
        <w:tc>
          <w:tcPr>
            <w:tcW w:w="1500"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1.245.081</w:t>
            </w:r>
          </w:p>
        </w:tc>
        <w:tc>
          <w:tcPr>
            <w:tcW w:w="139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2,4</w:t>
            </w:r>
          </w:p>
        </w:tc>
        <w:tc>
          <w:tcPr>
            <w:tcW w:w="1417"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15</w:t>
            </w:r>
          </w:p>
        </w:tc>
        <w:tc>
          <w:tcPr>
            <w:tcW w:w="1418"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1,36</w:t>
            </w:r>
          </w:p>
        </w:tc>
      </w:tr>
      <w:tr w:rsidR="009A4280" w:rsidRPr="009A4280" w:rsidTr="009A4280">
        <w:trPr>
          <w:trHeight w:val="305"/>
          <w:jc w:val="center"/>
        </w:trPr>
        <w:tc>
          <w:tcPr>
            <w:tcW w:w="135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4</w:t>
            </w:r>
          </w:p>
        </w:tc>
        <w:tc>
          <w:tcPr>
            <w:tcW w:w="1500"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2.574.201</w:t>
            </w:r>
          </w:p>
        </w:tc>
        <w:tc>
          <w:tcPr>
            <w:tcW w:w="139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5,0</w:t>
            </w:r>
          </w:p>
        </w:tc>
        <w:tc>
          <w:tcPr>
            <w:tcW w:w="1417"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25</w:t>
            </w:r>
          </w:p>
        </w:tc>
        <w:tc>
          <w:tcPr>
            <w:tcW w:w="1418"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2,27</w:t>
            </w:r>
          </w:p>
        </w:tc>
      </w:tr>
      <w:tr w:rsidR="009A4280" w:rsidRPr="009A4280" w:rsidTr="009A4280">
        <w:trPr>
          <w:trHeight w:val="369"/>
          <w:jc w:val="center"/>
        </w:trPr>
        <w:tc>
          <w:tcPr>
            <w:tcW w:w="135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5</w:t>
            </w:r>
          </w:p>
        </w:tc>
        <w:tc>
          <w:tcPr>
            <w:tcW w:w="1500"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2.099.434</w:t>
            </w:r>
          </w:p>
        </w:tc>
        <w:tc>
          <w:tcPr>
            <w:tcW w:w="139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4,1</w:t>
            </w:r>
          </w:p>
        </w:tc>
        <w:tc>
          <w:tcPr>
            <w:tcW w:w="1417"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40</w:t>
            </w:r>
          </w:p>
        </w:tc>
        <w:tc>
          <w:tcPr>
            <w:tcW w:w="1418"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3,63</w:t>
            </w:r>
          </w:p>
        </w:tc>
      </w:tr>
      <w:tr w:rsidR="009A4280" w:rsidRPr="009A4280" w:rsidTr="009A4280">
        <w:trPr>
          <w:trHeight w:val="377"/>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6</w:t>
            </w:r>
          </w:p>
        </w:tc>
        <w:tc>
          <w:tcPr>
            <w:tcW w:w="15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16.291.784</w:t>
            </w:r>
          </w:p>
        </w:tc>
        <w:tc>
          <w:tcPr>
            <w:tcW w:w="139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31,9</w:t>
            </w: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970</w:t>
            </w:r>
          </w:p>
        </w:tc>
        <w:tc>
          <w:tcPr>
            <w:tcW w:w="141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center"/>
          </w:tcPr>
          <w:p w:rsidR="009A4280" w:rsidRPr="009A4280" w:rsidRDefault="009A4280" w:rsidP="009E4E1A">
            <w:pPr>
              <w:spacing w:line="240" w:lineRule="auto"/>
              <w:jc w:val="center"/>
              <w:rPr>
                <w:rFonts w:ascii="Candara" w:hAnsi="Candara"/>
              </w:rPr>
            </w:pPr>
            <w:r w:rsidRPr="009A4280">
              <w:rPr>
                <w:rFonts w:ascii="Candara" w:hAnsi="Candara"/>
              </w:rPr>
              <w:t>88,02</w:t>
            </w:r>
          </w:p>
        </w:tc>
      </w:tr>
    </w:tbl>
    <w:p w:rsidR="009A4280" w:rsidRPr="009A4280" w:rsidRDefault="009A4280" w:rsidP="009E4E1A">
      <w:pPr>
        <w:spacing w:line="240" w:lineRule="auto"/>
        <w:rPr>
          <w:rFonts w:ascii="Candara" w:hAnsi="Candara"/>
        </w:rPr>
      </w:pPr>
    </w:p>
    <w:p w:rsidR="009A4280" w:rsidRPr="009A4280" w:rsidRDefault="009A4280" w:rsidP="009E4E1A">
      <w:pPr>
        <w:spacing w:line="240" w:lineRule="auto"/>
        <w:jc w:val="both"/>
        <w:rPr>
          <w:rFonts w:ascii="Candara" w:hAnsi="Candara"/>
        </w:rPr>
      </w:pPr>
    </w:p>
    <w:p w:rsidR="009A4280" w:rsidRPr="009A4280" w:rsidRDefault="009A4280" w:rsidP="009E4E1A">
      <w:pPr>
        <w:widowControl w:val="0"/>
        <w:pBdr>
          <w:top w:val="nil"/>
          <w:left w:val="nil"/>
          <w:bottom w:val="nil"/>
          <w:right w:val="nil"/>
          <w:between w:val="nil"/>
        </w:pBdr>
        <w:spacing w:line="240" w:lineRule="auto"/>
        <w:jc w:val="both"/>
        <w:rPr>
          <w:rFonts w:ascii="Candara" w:hAnsi="Candara"/>
        </w:rPr>
      </w:pPr>
      <w:r w:rsidRPr="009A4280">
        <w:rPr>
          <w:rFonts w:ascii="Candara" w:hAnsi="Candara"/>
        </w:rPr>
        <w:t>Aunque mucho se habla sobre la falta de Estado en estas sociedades, realmente el Estado abarca casi todo, aunque en un estado muy básico, casi obsoleto. Con excepción de comercio y seguridad, las entidades estatales “responden” por prácticamente todo: servicios, acueducto, alcantarillado, aseo, vías, educación, alumbrado, deporte, cultura, salud, vivienda, asistencia técnica rural, etc.</w:t>
      </w:r>
    </w:p>
    <w:p w:rsidR="009A4280" w:rsidRPr="009A4280" w:rsidRDefault="009A4280" w:rsidP="009E4E1A">
      <w:pPr>
        <w:widowControl w:val="0"/>
        <w:pBdr>
          <w:top w:val="nil"/>
          <w:left w:val="nil"/>
          <w:bottom w:val="nil"/>
          <w:right w:val="nil"/>
          <w:between w:val="nil"/>
        </w:pBdr>
        <w:spacing w:line="240" w:lineRule="auto"/>
        <w:jc w:val="both"/>
        <w:rPr>
          <w:rFonts w:ascii="Candara" w:hAnsi="Candara"/>
        </w:rPr>
      </w:pPr>
    </w:p>
    <w:p w:rsidR="009A4280" w:rsidRPr="009A4280" w:rsidRDefault="009A4280" w:rsidP="009E4E1A">
      <w:pPr>
        <w:widowControl w:val="0"/>
        <w:spacing w:line="240" w:lineRule="auto"/>
        <w:jc w:val="both"/>
        <w:rPr>
          <w:rFonts w:ascii="Candara" w:hAnsi="Candara"/>
        </w:rPr>
      </w:pPr>
      <w:r w:rsidRPr="009A4280">
        <w:rPr>
          <w:rFonts w:ascii="Candara" w:hAnsi="Candara"/>
        </w:rPr>
        <w:t>El trabajo formal difícilmente lo dan empresas distintas a la alcaldía, el hospital o puesto de salud o las empresas de servicios públicos. El estrato más alto es el 3 y, junto al 1 y el 2, recibe subsidios del municipio. Casi la totalidad de la población está dentro de los beneficiarios de oferta estatal, esto es, población Sisbén.</w:t>
      </w:r>
    </w:p>
    <w:p w:rsidR="009A4280" w:rsidRPr="009A4280" w:rsidRDefault="009A4280" w:rsidP="009E4E1A">
      <w:pPr>
        <w:widowControl w:val="0"/>
        <w:pBdr>
          <w:top w:val="nil"/>
          <w:left w:val="nil"/>
          <w:bottom w:val="nil"/>
          <w:right w:val="nil"/>
          <w:between w:val="nil"/>
        </w:pBdr>
        <w:spacing w:line="240" w:lineRule="auto"/>
        <w:jc w:val="both"/>
        <w:rPr>
          <w:rFonts w:ascii="Candara" w:hAnsi="Candara"/>
        </w:rPr>
      </w:pPr>
    </w:p>
    <w:p w:rsidR="009A4280" w:rsidRPr="009A4280" w:rsidRDefault="009A4280" w:rsidP="009E4E1A">
      <w:pPr>
        <w:widowControl w:val="0"/>
        <w:pBdr>
          <w:top w:val="nil"/>
          <w:left w:val="nil"/>
          <w:bottom w:val="nil"/>
          <w:right w:val="nil"/>
          <w:between w:val="nil"/>
        </w:pBdr>
        <w:spacing w:line="240" w:lineRule="auto"/>
        <w:jc w:val="both"/>
        <w:rPr>
          <w:rFonts w:ascii="Candara" w:hAnsi="Candara"/>
        </w:rPr>
      </w:pPr>
      <w:r w:rsidRPr="009A4280">
        <w:rPr>
          <w:rFonts w:ascii="Candara" w:hAnsi="Candara"/>
        </w:rPr>
        <w:t>El protagonismo de lo público contribuye a hacer borrosas las divisiones sociales y disimula las económicas. El más rico del pueblo (comerciante, alcalde o mafioso) es atendido por el mismo médico que atiende al más pobre. Sus hijos estudian en la misma institución pública, desayunan lo mismo en el mismo restaurante escolar y hacen deporte en la misma escuela de formación, la cual hace parte de la oferta pública.</w:t>
      </w:r>
    </w:p>
    <w:p w:rsidR="009A4280" w:rsidRPr="009A4280" w:rsidRDefault="009A4280" w:rsidP="009E4E1A">
      <w:pPr>
        <w:widowControl w:val="0"/>
        <w:pBdr>
          <w:top w:val="nil"/>
          <w:left w:val="nil"/>
          <w:bottom w:val="nil"/>
          <w:right w:val="nil"/>
          <w:between w:val="nil"/>
        </w:pBdr>
        <w:spacing w:line="240" w:lineRule="auto"/>
        <w:jc w:val="both"/>
        <w:rPr>
          <w:rFonts w:ascii="Candara" w:hAnsi="Candara"/>
        </w:rPr>
      </w:pPr>
    </w:p>
    <w:p w:rsidR="009A4280" w:rsidRPr="009A4280" w:rsidRDefault="009A4280" w:rsidP="009E4E1A">
      <w:pPr>
        <w:spacing w:line="240" w:lineRule="auto"/>
        <w:jc w:val="both"/>
        <w:rPr>
          <w:rFonts w:ascii="Candara" w:hAnsi="Candara"/>
        </w:rPr>
      </w:pPr>
      <w:r w:rsidRPr="009A4280">
        <w:rPr>
          <w:rFonts w:ascii="Candara" w:hAnsi="Candara"/>
        </w:rPr>
        <w:t>Esa omnipresencia estatal hace que la política electoral sea una actividad muy popular. Los índices de abstención son bajos, especialmente en las elecciones locales. Sin embargo, el derecho ciudadano a ser elegido está destinado para muy pocos y sus requisitos no sólo son los que determina la ley</w:t>
      </w:r>
      <w:r w:rsidR="006F3BFC">
        <w:rPr>
          <w:rFonts w:ascii="Candara" w:hAnsi="Candara"/>
        </w:rPr>
        <w:t>.</w:t>
      </w:r>
    </w:p>
    <w:p w:rsidR="009A4280" w:rsidRPr="009A4280" w:rsidRDefault="009A4280" w:rsidP="009E4E1A">
      <w:pPr>
        <w:spacing w:line="240" w:lineRule="auto"/>
        <w:jc w:val="both"/>
        <w:rPr>
          <w:rFonts w:ascii="Candara" w:hAnsi="Candara"/>
        </w:rPr>
      </w:pPr>
    </w:p>
    <w:p w:rsidR="009A4280" w:rsidRPr="009A4280" w:rsidRDefault="006F3BFC" w:rsidP="006F3BFC">
      <w:pPr>
        <w:widowControl w:val="0"/>
        <w:pBdr>
          <w:top w:val="nil"/>
          <w:left w:val="nil"/>
          <w:bottom w:val="nil"/>
          <w:right w:val="nil"/>
          <w:between w:val="nil"/>
        </w:pBdr>
        <w:spacing w:line="240" w:lineRule="auto"/>
        <w:jc w:val="both"/>
        <w:rPr>
          <w:rFonts w:ascii="Candara" w:hAnsi="Candara"/>
        </w:rPr>
      </w:pPr>
      <w:r>
        <w:rPr>
          <w:rFonts w:ascii="Candara" w:hAnsi="Candara"/>
        </w:rPr>
        <w:t>L</w:t>
      </w:r>
      <w:r w:rsidR="009A4280" w:rsidRPr="009A4280">
        <w:rPr>
          <w:rFonts w:ascii="Candara" w:hAnsi="Candara"/>
        </w:rPr>
        <w:t>a política es</w:t>
      </w:r>
      <w:r>
        <w:rPr>
          <w:rFonts w:ascii="Candara" w:hAnsi="Candara"/>
        </w:rPr>
        <w:t xml:space="preserve"> una actividad prácticamente exclusiva</w:t>
      </w:r>
      <w:r w:rsidR="009A4280" w:rsidRPr="009A4280">
        <w:rPr>
          <w:rFonts w:ascii="Candara" w:hAnsi="Candara"/>
        </w:rPr>
        <w:t xml:space="preserve"> de “los políticos”, llamados por algunos gamonales o caciques. Muchos logran este “título” o “derecho” haciéndose amigos de </w:t>
      </w:r>
      <w:r>
        <w:rPr>
          <w:rFonts w:ascii="Candara" w:hAnsi="Candara"/>
        </w:rPr>
        <w:t>otros</w:t>
      </w:r>
      <w:r w:rsidR="009A4280" w:rsidRPr="009A4280">
        <w:rPr>
          <w:rFonts w:ascii="Candara" w:hAnsi="Candara"/>
        </w:rPr>
        <w:t xml:space="preserve"> </w:t>
      </w:r>
      <w:r w:rsidR="009A4280" w:rsidRPr="009A4280">
        <w:rPr>
          <w:rFonts w:ascii="Candara" w:hAnsi="Candara"/>
        </w:rPr>
        <w:lastRenderedPageBreak/>
        <w:t>políticos</w:t>
      </w:r>
      <w:r>
        <w:rPr>
          <w:rFonts w:ascii="Candara" w:hAnsi="Candara"/>
        </w:rPr>
        <w:t>, los</w:t>
      </w:r>
      <w:r w:rsidR="009A4280" w:rsidRPr="009A4280">
        <w:rPr>
          <w:rFonts w:ascii="Candara" w:hAnsi="Candara"/>
        </w:rPr>
        <w:t xml:space="preserve"> </w:t>
      </w:r>
      <w:r>
        <w:rPr>
          <w:rFonts w:ascii="Candara" w:hAnsi="Candara"/>
        </w:rPr>
        <w:t>tradicionales o “profesionales”. En su mayoría</w:t>
      </w:r>
      <w:r w:rsidR="009A4280" w:rsidRPr="009A4280">
        <w:rPr>
          <w:rFonts w:ascii="Candara" w:hAnsi="Candara"/>
        </w:rPr>
        <w:t xml:space="preserve"> congresistas que viven en Bogotá o en las capitales de departamentos y que sólo visitan los territorios para cosechar los votos en tiempos electorales o para tomarse las fotos con las obras producto de la mermelada que llaman (probable razón por la cual uno de los problemas más sentidos por la población rural en estos municipios sea la prácticamente inexistente infraestructura de acueductos, pues, al ir por debajo de la tierra, no salen en las fotos).</w:t>
      </w:r>
    </w:p>
    <w:p w:rsidR="009A4280" w:rsidRPr="009A4280" w:rsidRDefault="009A4280" w:rsidP="006F3BFC">
      <w:pPr>
        <w:widowControl w:val="0"/>
        <w:pBdr>
          <w:top w:val="nil"/>
          <w:left w:val="nil"/>
          <w:bottom w:val="nil"/>
          <w:right w:val="nil"/>
          <w:between w:val="nil"/>
        </w:pBdr>
        <w:spacing w:line="240" w:lineRule="auto"/>
        <w:jc w:val="both"/>
        <w:rPr>
          <w:rFonts w:ascii="Candara" w:hAnsi="Candara"/>
        </w:rPr>
      </w:pPr>
    </w:p>
    <w:p w:rsidR="009A4280" w:rsidRPr="009A4280" w:rsidRDefault="009A4280" w:rsidP="009E4E1A">
      <w:pPr>
        <w:spacing w:line="240" w:lineRule="auto"/>
        <w:jc w:val="both"/>
        <w:rPr>
          <w:rFonts w:ascii="Candara" w:hAnsi="Candara"/>
        </w:rPr>
      </w:pPr>
      <w:r w:rsidRPr="009A4280">
        <w:rPr>
          <w:rFonts w:ascii="Candara" w:hAnsi="Candara"/>
        </w:rPr>
        <w:t xml:space="preserve">Y aunque suene desalentador, es gracias a esta clase de políticos, ligados al clientelismo y a la </w:t>
      </w:r>
      <w:proofErr w:type="spellStart"/>
      <w:r w:rsidRPr="009A4280">
        <w:rPr>
          <w:rFonts w:ascii="Candara" w:hAnsi="Candara"/>
        </w:rPr>
        <w:t>mermeladocracia</w:t>
      </w:r>
      <w:proofErr w:type="spellEnd"/>
      <w:r w:rsidRPr="009A4280">
        <w:rPr>
          <w:rFonts w:ascii="Candara" w:hAnsi="Candara"/>
        </w:rPr>
        <w:t xml:space="preserve">, que estos pueblos tienen algún tipo de desarrollo que mostrar: pavimentos, polideportivos, puentes, plazas de ferias, infraestructura educativa, soluciones de vivienda, proyectos agropecuarios, etc. Es el resultado de lo que llaman “gestión”. Traducido al lenguaje popular, no es más que cupos de la oferta de bienes y servicios que el Gobierno nacional otorga a dedo a sus congresistas amigos a cambio de votar sus propuestas y de no incomodar en los debates de control. Esos cupos se ejecutan en los territorios de los alcaldes amigos a cambio de apoyo electoral. </w:t>
      </w:r>
      <w:r w:rsidR="0015702C">
        <w:rPr>
          <w:rFonts w:ascii="Candara" w:hAnsi="Candara"/>
        </w:rPr>
        <w:t>U</w:t>
      </w:r>
      <w:r w:rsidRPr="009A4280">
        <w:rPr>
          <w:rFonts w:ascii="Candara" w:hAnsi="Candara"/>
        </w:rPr>
        <w:t>n</w:t>
      </w:r>
      <w:r w:rsidR="0015702C">
        <w:rPr>
          <w:rFonts w:ascii="Candara" w:hAnsi="Candara"/>
        </w:rPr>
        <w:t>a especie de</w:t>
      </w:r>
      <w:r w:rsidRPr="009A4280">
        <w:rPr>
          <w:rFonts w:ascii="Candara" w:hAnsi="Candara"/>
        </w:rPr>
        <w:t xml:space="preserve"> juego ganar - ganar por 2: gana el Gobierno, el político tradicional, el mandatario </w:t>
      </w:r>
      <w:r w:rsidR="0015702C">
        <w:rPr>
          <w:rFonts w:ascii="Candara" w:hAnsi="Candara"/>
        </w:rPr>
        <w:t>local y el territorio.</w:t>
      </w:r>
    </w:p>
    <w:p w:rsidR="009A4280" w:rsidRPr="009A4280" w:rsidRDefault="009A4280" w:rsidP="009E4E1A">
      <w:pPr>
        <w:spacing w:line="240" w:lineRule="auto"/>
        <w:jc w:val="both"/>
        <w:rPr>
          <w:rFonts w:ascii="Candara" w:hAnsi="Candara"/>
        </w:rPr>
      </w:pPr>
    </w:p>
    <w:p w:rsidR="009A4280" w:rsidRPr="009A4280" w:rsidRDefault="009A4280" w:rsidP="009E4E1A">
      <w:pPr>
        <w:widowControl w:val="0"/>
        <w:spacing w:line="240" w:lineRule="auto"/>
        <w:jc w:val="both"/>
        <w:rPr>
          <w:rFonts w:ascii="Candara" w:hAnsi="Candara"/>
        </w:rPr>
      </w:pPr>
      <w:r w:rsidRPr="009A4280">
        <w:rPr>
          <w:rFonts w:ascii="Candara" w:hAnsi="Candara"/>
        </w:rPr>
        <w:t xml:space="preserve">Se trata, sin embargo, de un diseño que hace crónica la dependencia de los mandatarios locales por la supuesta gestión que ofrecen los políticos tradicionales, aminorando la presión ciudadana por resultados, o sea, por obras. </w:t>
      </w:r>
    </w:p>
    <w:p w:rsidR="009A4280" w:rsidRPr="009A4280" w:rsidRDefault="009A4280" w:rsidP="009E4E1A">
      <w:pPr>
        <w:widowControl w:val="0"/>
        <w:spacing w:line="240" w:lineRule="auto"/>
        <w:jc w:val="both"/>
        <w:rPr>
          <w:rFonts w:ascii="Candara" w:hAnsi="Candara"/>
        </w:rPr>
      </w:pPr>
    </w:p>
    <w:p w:rsidR="007E0E68" w:rsidRDefault="009A4280" w:rsidP="009E4E1A">
      <w:pPr>
        <w:widowControl w:val="0"/>
        <w:spacing w:line="240" w:lineRule="auto"/>
        <w:jc w:val="both"/>
        <w:rPr>
          <w:rFonts w:ascii="Candara" w:hAnsi="Candara"/>
        </w:rPr>
      </w:pPr>
      <w:r w:rsidRPr="009A4280">
        <w:rPr>
          <w:rFonts w:ascii="Candara" w:hAnsi="Candara"/>
        </w:rPr>
        <w:t xml:space="preserve">Dependencia justificada por la inviabilidad financiera de los municipios pobres. Ninguna obra compleja y de calidad, alcanza con el presupuesto municipal. El recaudo no </w:t>
      </w:r>
      <w:r w:rsidR="0015702C">
        <w:rPr>
          <w:rFonts w:ascii="Candara" w:hAnsi="Candara"/>
        </w:rPr>
        <w:t xml:space="preserve">alcanza </w:t>
      </w:r>
      <w:r w:rsidRPr="009A4280">
        <w:rPr>
          <w:rFonts w:ascii="Candara" w:hAnsi="Candara"/>
        </w:rPr>
        <w:t xml:space="preserve">ni </w:t>
      </w:r>
      <w:r w:rsidR="0015702C">
        <w:rPr>
          <w:rFonts w:ascii="Candara" w:hAnsi="Candara"/>
        </w:rPr>
        <w:t xml:space="preserve">para </w:t>
      </w:r>
      <w:r w:rsidRPr="009A4280">
        <w:rPr>
          <w:rFonts w:ascii="Candara" w:hAnsi="Candara"/>
        </w:rPr>
        <w:t>la nómina, por lo que es necesario utilizar recursos de</w:t>
      </w:r>
      <w:r w:rsidR="009E4E1A">
        <w:rPr>
          <w:rFonts w:ascii="Candara" w:hAnsi="Candara"/>
        </w:rPr>
        <w:t xml:space="preserve"> </w:t>
      </w:r>
      <w:r w:rsidR="007723A5">
        <w:rPr>
          <w:rFonts w:ascii="Candara" w:hAnsi="Candara"/>
        </w:rPr>
        <w:t>inversión</w:t>
      </w:r>
      <w:r w:rsidR="009E4E1A">
        <w:rPr>
          <w:rFonts w:ascii="Candara" w:hAnsi="Candara"/>
        </w:rPr>
        <w:t xml:space="preserve"> </w:t>
      </w:r>
      <w:r w:rsidRPr="009A4280">
        <w:rPr>
          <w:rFonts w:ascii="Candara" w:hAnsi="Candara"/>
        </w:rPr>
        <w:t>para cubri</w:t>
      </w:r>
      <w:r w:rsidR="009E4E1A">
        <w:rPr>
          <w:rFonts w:ascii="Candara" w:hAnsi="Candara"/>
        </w:rPr>
        <w:t xml:space="preserve">r su funcionamiento, incluyendo </w:t>
      </w:r>
      <w:r w:rsidRPr="009A4280">
        <w:rPr>
          <w:rFonts w:ascii="Candara" w:hAnsi="Candara"/>
        </w:rPr>
        <w:t>el comité de aplausos de la campaña, convertido en la burocracia de prestación de servicios. El res</w:t>
      </w:r>
      <w:r w:rsidR="007723A5">
        <w:rPr>
          <w:rFonts w:ascii="Candara" w:hAnsi="Candara"/>
        </w:rPr>
        <w:t>t</w:t>
      </w:r>
      <w:r w:rsidR="007E0E68">
        <w:rPr>
          <w:rFonts w:ascii="Candara" w:hAnsi="Candara"/>
        </w:rPr>
        <w:t>o tiene destinación específica.</w:t>
      </w:r>
    </w:p>
    <w:p w:rsidR="007E0E68" w:rsidRDefault="007E0E68" w:rsidP="009E4E1A">
      <w:pPr>
        <w:widowControl w:val="0"/>
        <w:spacing w:line="240" w:lineRule="auto"/>
        <w:jc w:val="both"/>
        <w:rPr>
          <w:rFonts w:ascii="Candara" w:hAnsi="Candara"/>
        </w:rPr>
      </w:pPr>
    </w:p>
    <w:p w:rsidR="009A4280" w:rsidRDefault="007723A5" w:rsidP="009E4E1A">
      <w:pPr>
        <w:widowControl w:val="0"/>
        <w:spacing w:line="240" w:lineRule="auto"/>
        <w:jc w:val="both"/>
        <w:rPr>
          <w:rFonts w:ascii="Candara" w:hAnsi="Candara"/>
        </w:rPr>
      </w:pPr>
      <w:r>
        <w:rPr>
          <w:rFonts w:ascii="Candara" w:hAnsi="Candara"/>
        </w:rPr>
        <w:t>N</w:t>
      </w:r>
      <w:r w:rsidR="009A4280" w:rsidRPr="009A4280">
        <w:rPr>
          <w:rFonts w:ascii="Candara" w:hAnsi="Candara"/>
        </w:rPr>
        <w:t>o importa la orientación ideológica, el plan de desarrollo o si se trata de un municipio llanero, costero o a</w:t>
      </w:r>
      <w:r w:rsidR="001559D7">
        <w:rPr>
          <w:rFonts w:ascii="Candara" w:hAnsi="Candara"/>
        </w:rPr>
        <w:t>ndino, o si es analfabeto o magí</w:t>
      </w:r>
      <w:r w:rsidR="009A4280" w:rsidRPr="009A4280">
        <w:rPr>
          <w:rFonts w:ascii="Candara" w:hAnsi="Candara"/>
        </w:rPr>
        <w:t xml:space="preserve">ster, el alcalde que llegue debe transferir los recursos de agua potable a cubrir los subsidios y los “bonos Carrasquilla”, los de educación a los rectores </w:t>
      </w:r>
      <w:r w:rsidR="00B011E2">
        <w:rPr>
          <w:rFonts w:ascii="Candara" w:hAnsi="Candara"/>
        </w:rPr>
        <w:t xml:space="preserve">y a pintar un par de escuelas por año, </w:t>
      </w:r>
      <w:r w:rsidR="009A4280" w:rsidRPr="009A4280">
        <w:rPr>
          <w:rFonts w:ascii="Candara" w:hAnsi="Candara"/>
        </w:rPr>
        <w:t xml:space="preserve">los de </w:t>
      </w:r>
      <w:r w:rsidR="007E0E68">
        <w:rPr>
          <w:rFonts w:ascii="Candara" w:hAnsi="Candara"/>
        </w:rPr>
        <w:t>salud,</w:t>
      </w:r>
      <w:r w:rsidR="000616E0">
        <w:rPr>
          <w:rFonts w:ascii="Candara" w:hAnsi="Candara"/>
        </w:rPr>
        <w:t xml:space="preserve"> una parte ínfima </w:t>
      </w:r>
      <w:r w:rsidR="00B011E2">
        <w:rPr>
          <w:rFonts w:ascii="Candara" w:hAnsi="Candara"/>
        </w:rPr>
        <w:t xml:space="preserve">a vigilancia y </w:t>
      </w:r>
      <w:r w:rsidR="007E0E68">
        <w:rPr>
          <w:rFonts w:ascii="Candara" w:hAnsi="Candara"/>
        </w:rPr>
        <w:t xml:space="preserve">salud pública y </w:t>
      </w:r>
      <w:r w:rsidR="000616E0">
        <w:rPr>
          <w:rFonts w:ascii="Candara" w:hAnsi="Candara"/>
        </w:rPr>
        <w:t xml:space="preserve">otra, </w:t>
      </w:r>
      <w:r w:rsidR="00B011E2">
        <w:rPr>
          <w:rFonts w:ascii="Candara" w:hAnsi="Candara"/>
        </w:rPr>
        <w:t>el</w:t>
      </w:r>
      <w:r w:rsidR="000616E0">
        <w:rPr>
          <w:rFonts w:ascii="Candara" w:hAnsi="Candara"/>
        </w:rPr>
        <w:t xml:space="preserve"> </w:t>
      </w:r>
      <w:r w:rsidR="00B011E2">
        <w:rPr>
          <w:rFonts w:ascii="Candara" w:hAnsi="Candara"/>
        </w:rPr>
        <w:t>grueso de todo el presupuesto y del Sistema General de Participaciones, al</w:t>
      </w:r>
      <w:r w:rsidR="009A4280" w:rsidRPr="009A4280">
        <w:rPr>
          <w:rFonts w:ascii="Candara" w:hAnsi="Candara"/>
        </w:rPr>
        <w:t xml:space="preserve"> régimen subsidiado, esto es las arcas de las EPS.</w:t>
      </w:r>
      <w:r w:rsidR="00126846">
        <w:rPr>
          <w:rFonts w:ascii="Candara" w:hAnsi="Candara"/>
        </w:rPr>
        <w:t xml:space="preserve"> </w:t>
      </w:r>
      <w:r w:rsidR="007E0E68">
        <w:rPr>
          <w:rFonts w:ascii="Candara" w:hAnsi="Candara"/>
        </w:rPr>
        <w:t>Y claro, u</w:t>
      </w:r>
      <w:r w:rsidR="00126846">
        <w:rPr>
          <w:rFonts w:ascii="Candara" w:hAnsi="Candara"/>
        </w:rPr>
        <w:t xml:space="preserve">n par de fiestas populares, la banda municipal y unos entrenadores mal pagos para </w:t>
      </w:r>
      <w:r w:rsidR="007E0E68">
        <w:rPr>
          <w:rFonts w:ascii="Candara" w:hAnsi="Candara"/>
        </w:rPr>
        <w:t>las escuelitas deportivas:</w:t>
      </w:r>
      <w:r w:rsidR="00126846">
        <w:rPr>
          <w:rFonts w:ascii="Candara" w:hAnsi="Candara"/>
        </w:rPr>
        <w:t xml:space="preserve"> </w:t>
      </w:r>
      <w:r w:rsidR="007E0E68">
        <w:rPr>
          <w:rFonts w:ascii="Candara" w:hAnsi="Candara"/>
        </w:rPr>
        <w:t xml:space="preserve">los </w:t>
      </w:r>
      <w:r w:rsidR="00126846">
        <w:rPr>
          <w:rFonts w:ascii="Candara" w:hAnsi="Candara"/>
        </w:rPr>
        <w:t>recursos de cultura y deporte, respectivamente. En años electorales se inflan los presupuestos para vivienda y se activa la feria del cemento y la teja.</w:t>
      </w:r>
    </w:p>
    <w:p w:rsidR="00126846" w:rsidRDefault="00126846" w:rsidP="009E4E1A">
      <w:pPr>
        <w:widowControl w:val="0"/>
        <w:spacing w:line="240" w:lineRule="auto"/>
        <w:jc w:val="both"/>
        <w:rPr>
          <w:rFonts w:ascii="Candara" w:hAnsi="Candara"/>
        </w:rPr>
      </w:pPr>
    </w:p>
    <w:p w:rsidR="00126846" w:rsidRPr="009A4280" w:rsidRDefault="00126846" w:rsidP="009E4E1A">
      <w:pPr>
        <w:widowControl w:val="0"/>
        <w:spacing w:line="240" w:lineRule="auto"/>
        <w:jc w:val="both"/>
        <w:rPr>
          <w:rFonts w:ascii="Candara" w:hAnsi="Candara"/>
        </w:rPr>
      </w:pPr>
      <w:r>
        <w:rPr>
          <w:rFonts w:ascii="Candara" w:hAnsi="Candara"/>
        </w:rPr>
        <w:t xml:space="preserve">Es que ni el grueso de la corrupción se halla aquí. </w:t>
      </w:r>
      <w:r w:rsidR="007E0E68">
        <w:rPr>
          <w:rFonts w:ascii="Candara" w:hAnsi="Candara"/>
        </w:rPr>
        <w:t>É</w:t>
      </w:r>
      <w:r>
        <w:rPr>
          <w:rFonts w:ascii="Candara" w:hAnsi="Candara"/>
        </w:rPr>
        <w:t>sa está en los contratos de la “gestión”</w:t>
      </w:r>
      <w:r w:rsidR="007E0E68">
        <w:rPr>
          <w:rFonts w:ascii="Candara" w:hAnsi="Candara"/>
        </w:rPr>
        <w:t>, aquella que hace el político amigo del alcalde que la ejecuta</w:t>
      </w:r>
      <w:r>
        <w:rPr>
          <w:rFonts w:ascii="Candara" w:hAnsi="Candara"/>
        </w:rPr>
        <w:t>.</w:t>
      </w:r>
    </w:p>
    <w:p w:rsidR="009A4280" w:rsidRPr="009A4280" w:rsidRDefault="009A4280" w:rsidP="009E4E1A">
      <w:pPr>
        <w:widowControl w:val="0"/>
        <w:spacing w:line="240" w:lineRule="auto"/>
        <w:jc w:val="both"/>
        <w:rPr>
          <w:rFonts w:ascii="Candara" w:hAnsi="Candara"/>
        </w:rPr>
      </w:pPr>
    </w:p>
    <w:p w:rsidR="009A4280" w:rsidRPr="009A4280" w:rsidRDefault="00823542" w:rsidP="009E4E1A">
      <w:pPr>
        <w:spacing w:line="240" w:lineRule="auto"/>
        <w:jc w:val="both"/>
        <w:rPr>
          <w:rFonts w:ascii="Candara" w:hAnsi="Candara"/>
        </w:rPr>
      </w:pPr>
      <w:r>
        <w:rPr>
          <w:rFonts w:ascii="Candara" w:hAnsi="Candara"/>
        </w:rPr>
        <w:t>Así estamos:</w:t>
      </w:r>
      <w:r w:rsidR="007E0E68">
        <w:rPr>
          <w:rFonts w:ascii="Candara" w:hAnsi="Candara"/>
        </w:rPr>
        <w:t xml:space="preserve"> un país mayoritario</w:t>
      </w:r>
      <w:r>
        <w:rPr>
          <w:rFonts w:ascii="Candara" w:hAnsi="Candara"/>
        </w:rPr>
        <w:t xml:space="preserve"> preso en</w:t>
      </w:r>
      <w:r w:rsidR="007E0E68">
        <w:rPr>
          <w:rFonts w:ascii="Candara" w:hAnsi="Candara"/>
        </w:rPr>
        <w:t xml:space="preserve"> Estados famélicos </w:t>
      </w:r>
      <w:r>
        <w:rPr>
          <w:rFonts w:ascii="Candara" w:hAnsi="Candara"/>
        </w:rPr>
        <w:t>y</w:t>
      </w:r>
      <w:r w:rsidR="007E0E68">
        <w:rPr>
          <w:rFonts w:ascii="Candara" w:hAnsi="Candara"/>
        </w:rPr>
        <w:t xml:space="preserve"> omnipresentes. Una clase política </w:t>
      </w:r>
      <w:r>
        <w:rPr>
          <w:rFonts w:ascii="Candara" w:hAnsi="Candara"/>
        </w:rPr>
        <w:t xml:space="preserve">local maniatada y </w:t>
      </w:r>
      <w:r w:rsidR="007E0E68">
        <w:rPr>
          <w:rFonts w:ascii="Candara" w:hAnsi="Candara"/>
        </w:rPr>
        <w:t>depend</w:t>
      </w:r>
      <w:r>
        <w:rPr>
          <w:rFonts w:ascii="Candara" w:hAnsi="Candara"/>
        </w:rPr>
        <w:t>i</w:t>
      </w:r>
      <w:r w:rsidR="007E0E68">
        <w:rPr>
          <w:rFonts w:ascii="Candara" w:hAnsi="Candara"/>
        </w:rPr>
        <w:t>en</w:t>
      </w:r>
      <w:r>
        <w:rPr>
          <w:rFonts w:ascii="Candara" w:hAnsi="Candara"/>
        </w:rPr>
        <w:t>te de</w:t>
      </w:r>
      <w:r w:rsidR="007E0E68">
        <w:rPr>
          <w:rFonts w:ascii="Candara" w:hAnsi="Candara"/>
        </w:rPr>
        <w:t xml:space="preserve"> políticos </w:t>
      </w:r>
      <w:r w:rsidR="00323E16">
        <w:rPr>
          <w:rFonts w:ascii="Candara" w:hAnsi="Candara"/>
        </w:rPr>
        <w:t xml:space="preserve">aún más </w:t>
      </w:r>
      <w:r>
        <w:rPr>
          <w:rFonts w:ascii="Candara" w:hAnsi="Candara"/>
        </w:rPr>
        <w:t xml:space="preserve">dependientes del </w:t>
      </w:r>
      <w:r w:rsidR="001559D7">
        <w:rPr>
          <w:rFonts w:ascii="Candara" w:hAnsi="Candara"/>
        </w:rPr>
        <w:t>Gobierno</w:t>
      </w:r>
      <w:r w:rsidR="001D7E96">
        <w:rPr>
          <w:rFonts w:ascii="Candara" w:hAnsi="Candara"/>
        </w:rPr>
        <w:t xml:space="preserve"> </w:t>
      </w:r>
      <w:r>
        <w:rPr>
          <w:rFonts w:ascii="Candara" w:hAnsi="Candara"/>
        </w:rPr>
        <w:t>nacional</w:t>
      </w:r>
      <w:r w:rsidR="007E0E68">
        <w:rPr>
          <w:rFonts w:ascii="Candara" w:hAnsi="Candara"/>
        </w:rPr>
        <w:t xml:space="preserve">. Una </w:t>
      </w:r>
      <w:r>
        <w:rPr>
          <w:rFonts w:ascii="Candara" w:hAnsi="Candara"/>
        </w:rPr>
        <w:t>juventud sedienta por cambiarlo todo</w:t>
      </w:r>
      <w:r w:rsidR="001559D7">
        <w:rPr>
          <w:rFonts w:ascii="Candara" w:hAnsi="Candara"/>
        </w:rPr>
        <w:t xml:space="preserve"> apuntándole </w:t>
      </w:r>
      <w:r w:rsidR="007E659A">
        <w:rPr>
          <w:rFonts w:ascii="Candara" w:hAnsi="Candara"/>
        </w:rPr>
        <w:t xml:space="preserve">al éxito </w:t>
      </w:r>
      <w:r w:rsidR="001559D7">
        <w:rPr>
          <w:rFonts w:ascii="Candara" w:hAnsi="Candara"/>
        </w:rPr>
        <w:t xml:space="preserve">electoral nacional </w:t>
      </w:r>
      <w:r w:rsidR="007E659A">
        <w:rPr>
          <w:rFonts w:ascii="Candara" w:hAnsi="Candara"/>
        </w:rPr>
        <w:t>desde</w:t>
      </w:r>
      <w:r w:rsidR="001D7E96">
        <w:rPr>
          <w:rFonts w:ascii="Candara" w:hAnsi="Candara"/>
        </w:rPr>
        <w:t xml:space="preserve"> una trampa</w:t>
      </w:r>
      <w:r w:rsidR="007E659A">
        <w:rPr>
          <w:rFonts w:ascii="Candara" w:hAnsi="Candara"/>
        </w:rPr>
        <w:t xml:space="preserve"> </w:t>
      </w:r>
      <w:r w:rsidR="001559D7">
        <w:rPr>
          <w:rFonts w:ascii="Candara" w:hAnsi="Candara"/>
        </w:rPr>
        <w:t xml:space="preserve">ubicada </w:t>
      </w:r>
      <w:r w:rsidR="007E659A">
        <w:rPr>
          <w:rFonts w:ascii="Candara" w:hAnsi="Candara"/>
        </w:rPr>
        <w:t xml:space="preserve">en la </w:t>
      </w:r>
      <w:r w:rsidR="001D7E96">
        <w:rPr>
          <w:rFonts w:ascii="Candara" w:hAnsi="Candara"/>
        </w:rPr>
        <w:t>sexta categoría.</w:t>
      </w:r>
    </w:p>
    <w:sectPr w:rsidR="009A4280" w:rsidRPr="009A4280" w:rsidSect="009E4E1A">
      <w:pgSz w:w="11909" w:h="16834"/>
      <w:pgMar w:top="1440" w:right="1440" w:bottom="12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52"/>
    <w:rsid w:val="000616E0"/>
    <w:rsid w:val="00126846"/>
    <w:rsid w:val="001559D7"/>
    <w:rsid w:val="0015702C"/>
    <w:rsid w:val="001D7E96"/>
    <w:rsid w:val="00323E16"/>
    <w:rsid w:val="004648B6"/>
    <w:rsid w:val="00614852"/>
    <w:rsid w:val="006F3BFC"/>
    <w:rsid w:val="007723A5"/>
    <w:rsid w:val="007E0E68"/>
    <w:rsid w:val="007E659A"/>
    <w:rsid w:val="00823542"/>
    <w:rsid w:val="008751A1"/>
    <w:rsid w:val="009A4280"/>
    <w:rsid w:val="009E4E1A"/>
    <w:rsid w:val="00B011E2"/>
    <w:rsid w:val="00FD73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7A870-6BA8-4588-8002-DC0B06B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C305C-1F6F-46A4-9B29-AF15E7EA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927</Words>
  <Characters>4784</Characters>
  <Application>Microsoft Office Word</Application>
  <DocSecurity>0</DocSecurity>
  <Lines>125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javy</cp:lastModifiedBy>
  <cp:revision>15</cp:revision>
  <dcterms:created xsi:type="dcterms:W3CDTF">2021-08-04T03:30:00Z</dcterms:created>
  <dcterms:modified xsi:type="dcterms:W3CDTF">2021-08-04T04:53:00Z</dcterms:modified>
</cp:coreProperties>
</file>