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D41D" w14:textId="77777777" w:rsidR="004553A6" w:rsidRDefault="004553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4" w:type="dxa"/>
        <w:jc w:val="center"/>
        <w:tblLayout w:type="fixed"/>
        <w:tblLook w:val="0000" w:firstRow="0" w:lastRow="0" w:firstColumn="0" w:lastColumn="0" w:noHBand="0" w:noVBand="0"/>
      </w:tblPr>
      <w:tblGrid>
        <w:gridCol w:w="2713"/>
        <w:gridCol w:w="6891"/>
      </w:tblGrid>
      <w:tr w:rsidR="004553A6" w14:paraId="1B0784D7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43E52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Ubuntu Light" w:eastAsia="Ubuntu Light" w:hAnsi="Ubuntu Light" w:cs="Ubuntu Light"/>
                <w:b/>
                <w:color w:val="000000"/>
                <w:sz w:val="28"/>
                <w:szCs w:val="28"/>
              </w:rPr>
            </w:pPr>
          </w:p>
        </w:tc>
      </w:tr>
      <w:tr w:rsidR="004553A6" w14:paraId="6A2680F7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FF6AA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</w:tr>
      <w:tr w:rsidR="004553A6" w14:paraId="5451E7FE" w14:textId="77777777">
        <w:trPr>
          <w:trHeight w:val="62"/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E802F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Elaborado para: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87FF7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 xml:space="preserve">Código </w:t>
            </w:r>
            <w:proofErr w:type="spellStart"/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IoT</w:t>
            </w:r>
            <w:proofErr w:type="spellEnd"/>
          </w:p>
        </w:tc>
      </w:tr>
      <w:tr w:rsidR="004553A6" w14:paraId="22C88BF2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DDD21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91D5F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4553A6" w14:paraId="798F83D7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D92DE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Fecha de elaboración: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7FADB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9 de agosto de 2021</w:t>
            </w:r>
          </w:p>
        </w:tc>
      </w:tr>
      <w:tr w:rsidR="004553A6" w14:paraId="4D1B2C56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1CF9C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Vigencia: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65AEE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30 días naturales</w:t>
            </w:r>
          </w:p>
        </w:tc>
      </w:tr>
      <w:tr w:rsidR="004553A6" w14:paraId="40F2C823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0AAD9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704E0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4553A6" w14:paraId="6D7A7FD0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4BA7C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Elaborado por:</w:t>
            </w:r>
          </w:p>
          <w:p w14:paraId="13A303BC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Revisado por: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31138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Hugo Vargas</w:t>
            </w:r>
          </w:p>
          <w:p w14:paraId="0F488DF4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4553A6" w14:paraId="29CC243B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634EB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8D3A5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4553A6" w14:paraId="2734547A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6A342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Documento: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1DAD2" w14:textId="77777777" w:rsidR="004553A6" w:rsidRDefault="00EB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 xml:space="preserve">Plan de acción del Proyecto </w:t>
            </w:r>
            <w:proofErr w:type="spellStart"/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Capstone</w:t>
            </w:r>
            <w:proofErr w:type="spellEnd"/>
          </w:p>
        </w:tc>
      </w:tr>
      <w:tr w:rsidR="004553A6" w14:paraId="264C9553" w14:textId="77777777">
        <w:trPr>
          <w:jc w:val="center"/>
        </w:trPr>
        <w:tc>
          <w:tcPr>
            <w:tcW w:w="96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989EA" w14:textId="77777777" w:rsidR="004553A6" w:rsidRDefault="00455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color w:val="000000"/>
                <w:sz w:val="14"/>
                <w:szCs w:val="14"/>
              </w:rPr>
            </w:pPr>
          </w:p>
        </w:tc>
      </w:tr>
    </w:tbl>
    <w:p w14:paraId="63095749" w14:textId="77777777" w:rsidR="004553A6" w:rsidRDefault="004553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Ubuntu Light" w:eastAsia="Ubuntu Light" w:hAnsi="Ubuntu Light" w:cs="Ubuntu Light"/>
          <w:color w:val="000000"/>
          <w:sz w:val="21"/>
          <w:szCs w:val="21"/>
        </w:rPr>
      </w:pPr>
    </w:p>
    <w:p w14:paraId="786665F4" w14:textId="77777777" w:rsidR="004553A6" w:rsidRDefault="004553A6">
      <w:pPr>
        <w:pageBreakBefore/>
      </w:pPr>
    </w:p>
    <w:p w14:paraId="0B624B10" w14:textId="77777777" w:rsidR="004553A6" w:rsidRDefault="00EB7947">
      <w:pPr>
        <w:pStyle w:val="Title"/>
        <w:rPr>
          <w:rFonts w:ascii="Ubuntu Light" w:eastAsia="Ubuntu Light" w:hAnsi="Ubuntu Light" w:cs="Ubuntu Light"/>
        </w:rPr>
      </w:pPr>
      <w:r>
        <w:rPr>
          <w:rFonts w:ascii="Ubuntu Light" w:eastAsia="Ubuntu Light" w:hAnsi="Ubuntu Light" w:cs="Ubuntu Light"/>
        </w:rPr>
        <w:t xml:space="preserve">Plan de acción del proyecto </w:t>
      </w:r>
      <w:proofErr w:type="spellStart"/>
      <w:r>
        <w:rPr>
          <w:rFonts w:ascii="Ubuntu Light" w:eastAsia="Ubuntu Light" w:hAnsi="Ubuntu Light" w:cs="Ubuntu Light"/>
        </w:rPr>
        <w:t>Capstone</w:t>
      </w:r>
      <w:proofErr w:type="spellEnd"/>
    </w:p>
    <w:p w14:paraId="54E65D62" w14:textId="77777777" w:rsidR="004553A6" w:rsidRDefault="00EB7947">
      <w:pPr>
        <w:pStyle w:val="Subtitle"/>
        <w:rPr>
          <w:rFonts w:ascii="Ubuntu Light" w:eastAsia="Ubuntu Light" w:hAnsi="Ubuntu Light" w:cs="Ubuntu Light"/>
        </w:rPr>
      </w:pPr>
      <w:r>
        <w:rPr>
          <w:rFonts w:ascii="Ubuntu Light" w:eastAsia="Ubuntu Light" w:hAnsi="Ubuntu Light" w:cs="Ubuntu Light"/>
        </w:rPr>
        <w:t>Prototipo para el monitoreo automatizado de parámetros de calidad del agua en depósitos.</w:t>
      </w:r>
    </w:p>
    <w:tbl>
      <w:tblPr>
        <w:tblStyle w:val="a0"/>
        <w:tblW w:w="9520" w:type="dxa"/>
        <w:tblLayout w:type="fixed"/>
        <w:tblLook w:val="0400" w:firstRow="0" w:lastRow="0" w:firstColumn="0" w:lastColumn="0" w:noHBand="0" w:noVBand="1"/>
      </w:tblPr>
      <w:tblGrid>
        <w:gridCol w:w="2860"/>
        <w:gridCol w:w="6660"/>
      </w:tblGrid>
      <w:tr w:rsidR="004553A6" w14:paraId="10EA12D6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249957C3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14:paraId="29C8A18B" w14:textId="77777777" w:rsidR="004553A6" w:rsidRDefault="004553A6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</w:p>
        </w:tc>
      </w:tr>
      <w:tr w:rsidR="004553A6" w14:paraId="2602D221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7EE15E33" w14:textId="77777777" w:rsidR="004553A6" w:rsidRDefault="00455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6E7CF27" w14:textId="77777777" w:rsidR="004553A6" w:rsidRDefault="00455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53A6" w14:paraId="70AC518A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5543EFFD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14:paraId="2A5A9900" w14:textId="77777777" w:rsidR="004553A6" w:rsidRDefault="00EB7947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&lt;Esta clave la proporciona el profesor&gt;</w:t>
            </w:r>
          </w:p>
        </w:tc>
      </w:tr>
      <w:tr w:rsidR="004553A6" w14:paraId="25CCBE64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1DC11259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14:paraId="7CE581B5" w14:textId="537B4E84" w:rsidR="004553A6" w:rsidRDefault="00EB7947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Saul Isai Soto Ortiz</w:t>
            </w:r>
            <w:r w:rsidR="00905386"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 </w:t>
            </w:r>
            <w:hyperlink r:id="rId8" w:history="1">
              <w:r w:rsidR="00905386" w:rsidRPr="00AD2C46">
                <w:rPr>
                  <w:rStyle w:val="Hyperlink"/>
                  <w:rFonts w:ascii="Ubuntu Light" w:eastAsia="Ubuntu Light" w:hAnsi="Ubuntu Light" w:cs="Ubuntu Light"/>
                  <w:sz w:val="22"/>
                  <w:szCs w:val="22"/>
                </w:rPr>
                <w:t>https://github.com/ssoto123/Proyecto_Capstone</w:t>
              </w:r>
            </w:hyperlink>
          </w:p>
          <w:p w14:paraId="12E99383" w14:textId="096B854D" w:rsidR="00905386" w:rsidRDefault="0090538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4553A6" w14:paraId="3A5AE638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3AB0C5D7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4DFF4FC0" w14:textId="77777777" w:rsidR="004553A6" w:rsidRDefault="00EB7947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Francisco Javier Cuadros Romero</w:t>
            </w:r>
          </w:p>
          <w:p w14:paraId="2AA295D5" w14:textId="3D2BA254" w:rsidR="00905386" w:rsidRDefault="0090538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4553A6" w14:paraId="5DF77AB1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4C3EC404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1EF2A6D8" w14:textId="77777777" w:rsidR="004553A6" w:rsidRDefault="00EB7947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Jhoan</w:t>
            </w:r>
            <w:proofErr w:type="spellEnd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 Salazar Pérez</w:t>
            </w:r>
          </w:p>
        </w:tc>
      </w:tr>
      <w:tr w:rsidR="004553A6" w14:paraId="74D903DC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7A2ACA6A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56A436D9" w14:textId="77777777" w:rsidR="004553A6" w:rsidRDefault="00455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53A6" w14:paraId="32385E2B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447617BE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14:paraId="0179A194" w14:textId="77777777" w:rsidR="004553A6" w:rsidRDefault="00EB7947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Saul Isai Soto Ortiz</w:t>
            </w:r>
          </w:p>
        </w:tc>
      </w:tr>
      <w:tr w:rsidR="004553A6" w14:paraId="6E6E6EB8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37816254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14:paraId="79A5F329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Prototipo para el monitoreo automatizado de parámetros de calidad del agua en depósitos.</w:t>
            </w:r>
          </w:p>
        </w:tc>
      </w:tr>
      <w:tr w:rsidR="004553A6" w14:paraId="57628AD6" w14:textId="77777777">
        <w:trPr>
          <w:trHeight w:val="1080"/>
        </w:trPr>
        <w:tc>
          <w:tcPr>
            <w:tcW w:w="2860" w:type="dxa"/>
            <w:shd w:val="clear" w:color="auto" w:fill="auto"/>
          </w:tcPr>
          <w:p w14:paraId="1D9A6861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14:paraId="47A31B7E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Monitoreo y control de los parámetros fisicoquímicos en depósitos de agua utilizando un sistema embebido, redes de comunicación y tecnologías web 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para mejorar la calidad del servicio de la comisión de agua, balnearios y granjas acuícolas.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</w:p>
        </w:tc>
      </w:tr>
      <w:tr w:rsidR="004553A6" w14:paraId="0B8F2A0F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7A751A51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14:paraId="797F88D0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Objetivo 1: Medición de los parámetros fisicoquímicos de forma remota</w:t>
            </w:r>
          </w:p>
          <w:p w14:paraId="2CB08947" w14:textId="77777777" w:rsidR="004553A6" w:rsidRDefault="004553A6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4553A6" w14:paraId="45C75642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0E4D3CF2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4427CBEF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Objetivo 2: Control de parámetros fisicoquímicos en depósitos de agua</w:t>
            </w:r>
          </w:p>
        </w:tc>
      </w:tr>
      <w:tr w:rsidR="004553A6" w14:paraId="24AACE7E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0B44F1EE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6F01E3AB" w14:textId="77777777" w:rsidR="004553A6" w:rsidRDefault="004553A6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  <w:p w14:paraId="3687F768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Objetivo 3: Utilizar los datos recolectados para mejorar la calidad del servicio de la comisión de agua, balnearios y granjas acuícolas.</w:t>
            </w:r>
          </w:p>
          <w:p w14:paraId="192B13FF" w14:textId="77777777" w:rsidR="004553A6" w:rsidRDefault="004553A6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4553A6" w14:paraId="445A0212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47C07BBC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14:paraId="3E57AB78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El proyecto consta 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tiene como objetivo </w:t>
            </w:r>
            <w:proofErr w:type="spellStart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sensar</w:t>
            </w:r>
            <w:proofErr w:type="spellEnd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 las aguas de los balnearios para que los parámetros fisicoquímicos están en los niveles adecuados para garantizar a los visitantes la calidad del agua el hecho de mantener los niveles físico químicos del agua implica un lazo de c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ontrol para sustancias químicas que regulan dichos parámetros, este proyecto no solo se aplica a las albercas de los balnearios se ha platicado con la Comisión de Agua y Alcantarillado del Municipio de Progreso de Álvaro Obregón (CAAMPAO) y ellos quieren i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nstalar el dispositivo en los depósitos 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lastRenderedPageBreak/>
              <w:t xml:space="preserve">de agua para medir los parámetros y verificar que de verdad sea agua potable; de igual manera se platicó con el CETAC de Tezontepec de Aldama Hidalgo y quieren medir los parámetros del agua de sus estanques apícolas 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y poder controlar parámetros como el oxígeno, cloro y pH para controlar la natalidad de los peces.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</w:p>
        </w:tc>
      </w:tr>
      <w:tr w:rsidR="004553A6" w14:paraId="7F4A54CF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4C0E4075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</w:tcPr>
          <w:p w14:paraId="59CBB320" w14:textId="77777777" w:rsidR="004553A6" w:rsidRDefault="00EB7947">
            <w:pPr>
              <w:numPr>
                <w:ilvl w:val="0"/>
                <w:numId w:val="1"/>
              </w:numPr>
              <w:ind w:left="283" w:hanging="283"/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Dispositivo de monitoreo de parámetros fisicoquímicos del agua 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Dispositivo de control de sustancias químicas</w:t>
            </w:r>
          </w:p>
          <w:p w14:paraId="76A3BEAB" w14:textId="77777777" w:rsidR="004553A6" w:rsidRDefault="004553A6">
            <w:pPr>
              <w:numPr>
                <w:ilvl w:val="0"/>
                <w:numId w:val="1"/>
              </w:numPr>
              <w:ind w:left="283" w:hanging="283"/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  <w:p w14:paraId="02D6A37B" w14:textId="77777777" w:rsidR="004553A6" w:rsidRDefault="00EB7947">
            <w:pPr>
              <w:numPr>
                <w:ilvl w:val="0"/>
                <w:numId w:val="1"/>
              </w:numPr>
              <w:ind w:left="283" w:hanging="283"/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Sistema web para el despliegue y almacenamiento de información recabada por el dispositivo de obtención de datos.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</w:p>
        </w:tc>
      </w:tr>
      <w:tr w:rsidR="004553A6" w14:paraId="153F2DD0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1A49311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14:paraId="01AAEC7D" w14:textId="77777777" w:rsidR="004553A6" w:rsidRDefault="00EB7947">
            <w:pPr>
              <w:numPr>
                <w:ilvl w:val="0"/>
                <w:numId w:val="3"/>
              </w:numPr>
              <w:ind w:left="283" w:hanging="283"/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Monitoreo de parámetros fisicoquímicos del agua</w:t>
            </w:r>
          </w:p>
        </w:tc>
      </w:tr>
      <w:tr w:rsidR="004553A6" w14:paraId="1B161A3E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33CD3319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622E08D7" w14:textId="77777777" w:rsidR="004553A6" w:rsidRDefault="00EB7947">
            <w:pPr>
              <w:numPr>
                <w:ilvl w:val="0"/>
                <w:numId w:val="2"/>
              </w:numPr>
              <w:ind w:left="283" w:hanging="283"/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Despliegue de información y almacenamiento vía remota</w:t>
            </w:r>
          </w:p>
        </w:tc>
      </w:tr>
      <w:tr w:rsidR="004553A6" w14:paraId="70D134B7" w14:textId="77777777">
        <w:trPr>
          <w:trHeight w:val="1080"/>
        </w:trPr>
        <w:tc>
          <w:tcPr>
            <w:tcW w:w="2860" w:type="dxa"/>
            <w:shd w:val="clear" w:color="auto" w:fill="auto"/>
          </w:tcPr>
          <w:p w14:paraId="39F972D9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14:paraId="31B7BCC2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Esperamos tener un dispositivo que mantenga los parámetros fisicoquímicos del agua en los parámetros “normales” sin importar la aplicación que se le </w:t>
            </w:r>
            <w:proofErr w:type="spellStart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de</w:t>
            </w:r>
            <w:proofErr w:type="spellEnd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, es decir que se pueda ocupa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r para las agua de los balneario, para los depósitos de agua potable o para los estanques </w:t>
            </w:r>
            <w:proofErr w:type="spellStart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acuicolas</w:t>
            </w:r>
            <w:proofErr w:type="spellEnd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 y con esto ayude a los usuarios a optimizar procesos y recursos y además que facilite el trabajo de las instituciones reguladoras como la COPRISE y las Comi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siones municipales de agua para la verificación de </w:t>
            </w:r>
            <w:proofErr w:type="spellStart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de</w:t>
            </w:r>
            <w:proofErr w:type="spellEnd"/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 la calidad del agua sin tener que ir a ·sitio”.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</w:p>
        </w:tc>
      </w:tr>
      <w:tr w:rsidR="004553A6" w14:paraId="16BC5332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24E0534F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 w14:paraId="4CE8B6DE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 xml:space="preserve">Rol de miembro 1: Desarrollo del sistema de monitoreo </w:t>
            </w:r>
          </w:p>
        </w:tc>
      </w:tr>
      <w:tr w:rsidR="004553A6" w14:paraId="7575FF7A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51D051E5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3FE2A8E4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Rol de miembro 2: Desarrollo del sistema de control</w:t>
            </w:r>
          </w:p>
        </w:tc>
      </w:tr>
      <w:tr w:rsidR="004553A6" w14:paraId="0BE0AEFF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4AD6E48E" w14:textId="77777777" w:rsidR="004553A6" w:rsidRDefault="004553A6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310AF188" w14:textId="77777777" w:rsidR="004553A6" w:rsidRDefault="00EB7947">
            <w:pPr>
              <w:jc w:val="both"/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Rol de miembro 3: Desarrollo del sistema web.</w:t>
            </w:r>
          </w:p>
        </w:tc>
      </w:tr>
      <w:tr w:rsidR="004553A6" w14:paraId="5679C87F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45A63624" w14:textId="77777777" w:rsidR="004553A6" w:rsidRDefault="00EB7947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14:paraId="1477E430" w14:textId="77777777" w:rsidR="004553A6" w:rsidRDefault="00EB7947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&lt;histórico de comentarios de los facilitadores involucrados&gt;</w:t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br/>
            </w:r>
          </w:p>
        </w:tc>
      </w:tr>
    </w:tbl>
    <w:p w14:paraId="190D9FC8" w14:textId="77777777" w:rsidR="004553A6" w:rsidRDefault="004553A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Ubuntu Light" w:eastAsia="Ubuntu Light" w:hAnsi="Ubuntu Light" w:cs="Ubuntu Light"/>
          <w:color w:val="000000"/>
          <w:sz w:val="21"/>
          <w:szCs w:val="21"/>
        </w:rPr>
      </w:pPr>
    </w:p>
    <w:sectPr w:rsidR="004553A6">
      <w:headerReference w:type="default" r:id="rId9"/>
      <w:footerReference w:type="default" r:id="rId10"/>
      <w:pgSz w:w="12240" w:h="15840"/>
      <w:pgMar w:top="2041" w:right="1134" w:bottom="1239" w:left="850" w:header="850" w:footer="6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8258" w14:textId="77777777" w:rsidR="00EB7947" w:rsidRDefault="00EB7947">
      <w:r>
        <w:separator/>
      </w:r>
    </w:p>
  </w:endnote>
  <w:endnote w:type="continuationSeparator" w:id="0">
    <w:p w14:paraId="5F2E81E6" w14:textId="77777777" w:rsidR="00EB7947" w:rsidRDefault="00EB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Ubuntu Light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F37B5" w14:textId="77777777" w:rsidR="004553A6" w:rsidRDefault="004553A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jc w:val="center"/>
      <w:rPr>
        <w:rFonts w:ascii="MicrogrammaDMedExt" w:eastAsia="MicrogrammaDMedExt" w:hAnsi="MicrogrammaDMedExt" w:cs="MicrogrammaDMedExt"/>
        <w:color w:val="333333"/>
        <w:sz w:val="14"/>
        <w:szCs w:val="14"/>
      </w:rPr>
    </w:pPr>
  </w:p>
  <w:p w14:paraId="37190BE6" w14:textId="77777777" w:rsidR="004553A6" w:rsidRDefault="00EB7947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rPr>
        <w:rFonts w:ascii="Century Gothic" w:eastAsia="Century Gothic" w:hAnsi="Century Gothic" w:cs="Century Gothic"/>
        <w:color w:val="808080"/>
        <w:sz w:val="21"/>
        <w:szCs w:val="21"/>
      </w:rPr>
    </w:pP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HOJA  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begin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instrText>PAGE</w:instrTex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separate"/>
    </w:r>
    <w:r w:rsidR="00905386">
      <w:rPr>
        <w:rFonts w:ascii="MicrogrammaDMedExt" w:eastAsia="MicrogrammaDMedExt" w:hAnsi="MicrogrammaDMedExt" w:cs="MicrogrammaDMedExt"/>
        <w:noProof/>
        <w:color w:val="333333"/>
        <w:sz w:val="14"/>
        <w:szCs w:val="14"/>
      </w:rPr>
      <w:t>1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end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/  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begin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instrText>NUMPAGES</w:instrTex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separate"/>
    </w:r>
    <w:r w:rsidR="00905386">
      <w:rPr>
        <w:rFonts w:ascii="MicrogrammaDMedExt" w:eastAsia="MicrogrammaDMedExt" w:hAnsi="MicrogrammaDMedExt" w:cs="MicrogrammaDMedExt"/>
        <w:noProof/>
        <w:color w:val="333333"/>
        <w:sz w:val="14"/>
        <w:szCs w:val="14"/>
      </w:rPr>
      <w:t>2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end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B724503" wp14:editId="69CE893C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A34AB" w14:textId="77777777" w:rsidR="004553A6" w:rsidRDefault="00EB7947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Ubuntu Light" w:eastAsia="Ubuntu Light" w:hAnsi="Ubuntu Light" w:cs="Ubuntu Light"/>
        <w:color w:val="000000"/>
        <w:sz w:val="21"/>
        <w:szCs w:val="21"/>
      </w:rPr>
    </w:pPr>
    <w:hyperlink r:id="rId2">
      <w:r>
        <w:rPr>
          <w:rFonts w:ascii="MicrogrammaDMedExt" w:eastAsia="MicrogrammaDMedExt" w:hAnsi="MicrogrammaDMedExt" w:cs="MicrogrammaDMedExt"/>
          <w:color w:val="000080"/>
          <w:sz w:val="14"/>
          <w:szCs w:val="14"/>
        </w:rPr>
        <w:t>www.CodigoIoT.com</w:t>
      </w:r>
    </w:hyperlink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FE55" w14:textId="77777777" w:rsidR="00EB7947" w:rsidRDefault="00EB7947">
      <w:r>
        <w:separator/>
      </w:r>
    </w:p>
  </w:footnote>
  <w:footnote w:type="continuationSeparator" w:id="0">
    <w:p w14:paraId="26E62D57" w14:textId="77777777" w:rsidR="00EB7947" w:rsidRDefault="00EB7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7209" w14:textId="77777777" w:rsidR="004553A6" w:rsidRDefault="00EB7947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Ubuntu Light" w:eastAsia="Ubuntu Light" w:hAnsi="Ubuntu Light" w:cs="Ubuntu Light"/>
        <w:color w:val="000000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282CAA0" wp14:editId="7EA42D7E">
          <wp:simplePos x="0" y="0"/>
          <wp:positionH relativeFrom="column">
            <wp:posOffset>-22319</wp:posOffset>
          </wp:positionH>
          <wp:positionV relativeFrom="paragraph">
            <wp:posOffset>-125636</wp:posOffset>
          </wp:positionV>
          <wp:extent cx="2011680" cy="636843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40A6ED" w14:textId="77777777" w:rsidR="004553A6" w:rsidRDefault="00EB7947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Ubuntu Light" w:eastAsia="Ubuntu Light" w:hAnsi="Ubuntu Light" w:cs="Ubuntu Light"/>
        <w:color w:val="000000"/>
        <w:sz w:val="21"/>
        <w:szCs w:val="21"/>
      </w:rPr>
    </w:pPr>
    <w:r>
      <w:rPr>
        <w:rFonts w:ascii="MicrogrammaDMedExt" w:eastAsia="MicrogrammaDMedExt" w:hAnsi="MicrogrammaDMedExt" w:cs="MicrogrammaDMedExt"/>
        <w:i/>
        <w:color w:val="808080"/>
        <w:sz w:val="14"/>
        <w:szCs w:val="14"/>
      </w:rPr>
      <w:t>Entra al mundo de los dispositivos conectados</w:t>
    </w:r>
  </w:p>
  <w:p w14:paraId="54509BE7" w14:textId="77777777" w:rsidR="004553A6" w:rsidRDefault="004553A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jc w:val="right"/>
      <w:rPr>
        <w:rFonts w:ascii="MicrogrammaDMedExt" w:eastAsia="MicrogrammaDMedExt" w:hAnsi="MicrogrammaDMedExt" w:cs="MicrogrammaDMedExt"/>
        <w:b/>
        <w:color w:val="80808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71"/>
    <w:multiLevelType w:val="multilevel"/>
    <w:tmpl w:val="D17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353DB7"/>
    <w:multiLevelType w:val="multilevel"/>
    <w:tmpl w:val="B7B8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1A0E80"/>
    <w:multiLevelType w:val="multilevel"/>
    <w:tmpl w:val="DDE63B3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D048F2"/>
    <w:multiLevelType w:val="multilevel"/>
    <w:tmpl w:val="64F0C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A6"/>
    <w:rsid w:val="004553A6"/>
    <w:rsid w:val="00905386"/>
    <w:rsid w:val="00EB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F769"/>
  <w15:docId w15:val="{68E80429-63D6-4241-9FCF-063015EB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er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numbering" w:customStyle="1" w:styleId="WWOutlineListStyle">
    <w:name w:val="WW_OutlineListStyle"/>
    <w:basedOn w:val="NoList"/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Verdana" w:eastAsia="Verdana" w:hAnsi="Verdana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360" w:lineRule="auto"/>
      <w:jc w:val="center"/>
    </w:pPr>
    <w:rPr>
      <w:rFonts w:ascii="Century Gothic" w:eastAsia="Century Gothic" w:hAnsi="Century Gothic" w:cs="Century Gothic"/>
      <w:i/>
      <w:color w:val="808080"/>
      <w:sz w:val="28"/>
      <w:szCs w:val="28"/>
    </w:rPr>
  </w:style>
  <w:style w:type="paragraph" w:styleId="IndexHeading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Header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numbering" w:customStyle="1" w:styleId="Outline">
    <w:name w:val="Outline"/>
    <w:basedOn w:val="NoList"/>
  </w:style>
  <w:style w:type="numbering" w:customStyle="1" w:styleId="WW8Num1">
    <w:name w:val="WW8Num1"/>
    <w:basedOn w:val="NoList"/>
  </w:style>
  <w:style w:type="numbering" w:customStyle="1" w:styleId="WWNum4">
    <w:name w:val="WWNum4"/>
    <w:basedOn w:val="NoList"/>
  </w:style>
  <w:style w:type="numbering" w:customStyle="1" w:styleId="WWNum5">
    <w:name w:val="WWNum5"/>
    <w:basedOn w:val="NoList"/>
  </w:style>
  <w:style w:type="paragraph" w:styleId="Index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0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oto123/Proyecto_Capst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zO3da7/4lzaqVjWhvlpHE7h5UA==">AMUW2mXNNr1bAzTc6SxUd/5IjpW4QZcAzx0ytNQqD+V8uLGG0Hw/Uh0yfihgMWiNged+AMJ0TYDsFby+UhA2z9ikD67Gx4fvTeFsGowrWrjBgtjZ4XZUJjQ=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Nahim de Anda Martin</dc:creator>
  <cp:lastModifiedBy>Saul Isai Soto</cp:lastModifiedBy>
  <cp:revision>2</cp:revision>
  <dcterms:created xsi:type="dcterms:W3CDTF">2021-08-10T16:54:00Z</dcterms:created>
  <dcterms:modified xsi:type="dcterms:W3CDTF">2022-03-25T16:48:00Z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