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A4B8C"/>
          <w:sz w:val="48"/>
          <w:szCs w:val="48"/>
        </w:rPr>
        <w:t xml:space="preserve">AJG GALLAGHER</w:t>
      </w:r>
    </w:p>
    <w:p>
      <w:pPr>
        <w:spacing w:after="40" w:before="0"/>
      </w:pPr>
      <w:r>
        <w:rPr>
          <w:rFonts w:ascii="Arial" w:cs="Arial" w:eastAsia="Arial" w:hAnsi="Arial"/>
          <w:b/>
          <w:bCs/>
          <w:color w:val="00A3E0"/>
          <w:sz w:val="36"/>
          <w:szCs w:val="36"/>
        </w:rPr>
        <w:t xml:space="preserve">Observability Governance</w:t>
      </w:r>
    </w:p>
    <w:p>
      <w:pPr>
        <w:pBdr>
          <w:bottom w:val="single" w:color="F0A500" w:sz="12" w:space="4"/>
        </w:pBdr>
        <w:spacing w:after="20" w:before="0"/>
      </w:pPr>
      <w:r>
        <w:rPr>
          <w:rFonts w:ascii="Arial" w:cs="Arial" w:eastAsia="Arial" w:hAnsi="Arial"/>
          <w:color w:val="555555"/>
          <w:sz w:val="22"/>
          <w:szCs w:val="22"/>
        </w:rPr>
        <w:t xml:space="preserve">Dynatrace | ServiceNow | Infrastructure &amp; Application Monitoring</w:t>
      </w:r>
    </w:p>
    <w:p>
      <w:pPr>
        <w:spacing w:after="0" w:before="80"/>
      </w:pPr>
      <w:r>
        <w:t xml:space="preserve"/>
      </w:r>
    </w:p>
    <w:p>
      <w:pPr>
        <w:spacing w:after="40" w:before="40"/>
      </w:pPr>
      <w:r>
        <w:rPr>
          <w:rFonts w:ascii="Arial" w:cs="Arial" w:eastAsia="Arial" w:hAnsi="Arial"/>
          <w:i/>
          <w:iCs/>
          <w:color w:val="555555"/>
          <w:sz w:val="18"/>
          <w:szCs w:val="18"/>
        </w:rPr>
        <w:t xml:space="preserve">Version 4.0  |  April 2025  |  Confidential</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Table of Contents</w:t>
      </w:r>
    </w:p>
    <w:p>
      <w:pPr>
        <w:spacing w:after="60" w:before="60"/>
      </w:pPr>
      <w:r>
        <w:rPr>
          <w:rFonts w:ascii="Arial" w:cs="Arial" w:eastAsia="Arial" w:hAnsi="Arial"/>
          <w:color w:val="1A1A2E"/>
          <w:sz w:val="20"/>
          <w:szCs w:val="20"/>
        </w:rPr>
        <w:t xml:space="preserve">1.  Introduction &amp; Objectives</w:t>
      </w:r>
    </w:p>
    <w:p>
      <w:pPr>
        <w:spacing w:after="60" w:before="60"/>
      </w:pPr>
      <w:r>
        <w:rPr>
          <w:rFonts w:ascii="Arial" w:cs="Arial" w:eastAsia="Arial" w:hAnsi="Arial"/>
          <w:color w:val="1A1A2E"/>
          <w:sz w:val="20"/>
          <w:szCs w:val="20"/>
        </w:rPr>
        <w:t xml:space="preserve">2.  Roles &amp; Responsibilities</w:t>
      </w:r>
    </w:p>
    <w:p>
      <w:pPr>
        <w:spacing w:after="60" w:before="60"/>
      </w:pPr>
      <w:r>
        <w:rPr>
          <w:rFonts w:ascii="Arial" w:cs="Arial" w:eastAsia="Arial" w:hAnsi="Arial"/>
          <w:color w:val="1A1A2E"/>
          <w:sz w:val="20"/>
          <w:szCs w:val="20"/>
        </w:rPr>
        <w:t xml:space="preserve">3.  RACI Matrix</w:t>
      </w:r>
    </w:p>
    <w:p>
      <w:pPr>
        <w:spacing w:after="60" w:before="60"/>
      </w:pPr>
      <w:r>
        <w:rPr>
          <w:rFonts w:ascii="Arial" w:cs="Arial" w:eastAsia="Arial" w:hAnsi="Arial"/>
          <w:color w:val="1A1A2E"/>
          <w:sz w:val="20"/>
          <w:szCs w:val="20"/>
        </w:rPr>
        <w:t xml:space="preserve">4.  Scope</w:t>
      </w:r>
    </w:p>
    <w:p>
      <w:pPr>
        <w:spacing w:after="60" w:before="60"/>
      </w:pPr>
      <w:r>
        <w:rPr>
          <w:rFonts w:ascii="Arial" w:cs="Arial" w:eastAsia="Arial" w:hAnsi="Arial"/>
          <w:color w:val="1A1A2E"/>
          <w:sz w:val="20"/>
          <w:szCs w:val="20"/>
        </w:rPr>
        <w:t xml:space="preserve">5.  Policies – Data Collection &amp; No-PII Policy</w:t>
      </w:r>
    </w:p>
    <w:p>
      <w:pPr>
        <w:spacing w:after="60" w:before="60"/>
      </w:pPr>
      <w:r>
        <w:rPr>
          <w:rFonts w:ascii="Arial" w:cs="Arial" w:eastAsia="Arial" w:hAnsi="Arial"/>
          <w:color w:val="1A1A2E"/>
          <w:sz w:val="20"/>
          <w:szCs w:val="20"/>
        </w:rPr>
        <w:t xml:space="preserve">6.  Dynatrace Infrastructure Monitoring</w:t>
      </w:r>
    </w:p>
    <w:p>
      <w:pPr>
        <w:spacing w:after="60" w:before="60"/>
      </w:pPr>
      <w:r>
        <w:rPr>
          <w:rFonts w:ascii="Arial" w:cs="Arial" w:eastAsia="Arial" w:hAnsi="Arial"/>
          <w:color w:val="1A1A2E"/>
          <w:sz w:val="20"/>
          <w:szCs w:val="20"/>
        </w:rPr>
        <w:t xml:space="preserve">    6.1  Server Monitoring</w:t>
      </w:r>
    </w:p>
    <w:p>
      <w:pPr>
        <w:spacing w:after="60" w:before="60"/>
      </w:pPr>
      <w:r>
        <w:rPr>
          <w:rFonts w:ascii="Arial" w:cs="Arial" w:eastAsia="Arial" w:hAnsi="Arial"/>
          <w:color w:val="1A1A2E"/>
          <w:sz w:val="20"/>
          <w:szCs w:val="20"/>
        </w:rPr>
        <w:t xml:space="preserve">    6.2  Hypervisor Monitoring</w:t>
      </w:r>
    </w:p>
    <w:p>
      <w:pPr>
        <w:spacing w:after="60" w:before="60"/>
      </w:pPr>
      <w:r>
        <w:rPr>
          <w:rFonts w:ascii="Arial" w:cs="Arial" w:eastAsia="Arial" w:hAnsi="Arial"/>
          <w:color w:val="1A1A2E"/>
          <w:sz w:val="20"/>
          <w:szCs w:val="20"/>
        </w:rPr>
        <w:t xml:space="preserve">    6.3  Network Monitoring</w:t>
      </w:r>
    </w:p>
    <w:p>
      <w:pPr>
        <w:spacing w:after="60" w:before="60"/>
      </w:pPr>
      <w:r>
        <w:rPr>
          <w:rFonts w:ascii="Arial" w:cs="Arial" w:eastAsia="Arial" w:hAnsi="Arial"/>
          <w:color w:val="1A1A2E"/>
          <w:sz w:val="20"/>
          <w:szCs w:val="20"/>
        </w:rPr>
        <w:t xml:space="preserve">    6.4  Database Monitoring</w:t>
      </w:r>
    </w:p>
    <w:p>
      <w:pPr>
        <w:spacing w:after="60" w:before="60"/>
      </w:pPr>
      <w:r>
        <w:rPr>
          <w:rFonts w:ascii="Arial" w:cs="Arial" w:eastAsia="Arial" w:hAnsi="Arial"/>
          <w:color w:val="1A1A2E"/>
          <w:sz w:val="20"/>
          <w:szCs w:val="20"/>
        </w:rPr>
        <w:t xml:space="preserve">    6.5  Azure &amp; AWS Cloud Metrics</w:t>
      </w:r>
    </w:p>
    <w:p>
      <w:pPr>
        <w:spacing w:after="60" w:before="60"/>
      </w:pPr>
      <w:r>
        <w:rPr>
          <w:rFonts w:ascii="Arial" w:cs="Arial" w:eastAsia="Arial" w:hAnsi="Arial"/>
          <w:color w:val="1A1A2E"/>
          <w:sz w:val="20"/>
          <w:szCs w:val="20"/>
        </w:rPr>
        <w:t xml:space="preserve">    6.6  NetApp Storage Monitoring</w:t>
      </w:r>
    </w:p>
    <w:p>
      <w:pPr>
        <w:spacing w:after="60" w:before="60"/>
      </w:pPr>
      <w:r>
        <w:rPr>
          <w:rFonts w:ascii="Arial" w:cs="Arial" w:eastAsia="Arial" w:hAnsi="Arial"/>
          <w:color w:val="1A1A2E"/>
          <w:sz w:val="20"/>
          <w:szCs w:val="20"/>
        </w:rPr>
        <w:t xml:space="preserve">7.  Dynatrace Application Monitoring</w:t>
      </w:r>
    </w:p>
    <w:p>
      <w:pPr>
        <w:spacing w:after="60" w:before="60"/>
      </w:pPr>
      <w:r>
        <w:rPr>
          <w:rFonts w:ascii="Arial" w:cs="Arial" w:eastAsia="Arial" w:hAnsi="Arial"/>
          <w:color w:val="1A1A2E"/>
          <w:sz w:val="20"/>
          <w:szCs w:val="20"/>
        </w:rPr>
        <w:t xml:space="preserve">8.  Alerting, Automation &amp; Davis AI</w:t>
      </w:r>
    </w:p>
    <w:p>
      <w:pPr>
        <w:spacing w:after="60" w:before="60"/>
      </w:pPr>
      <w:r>
        <w:rPr>
          <w:rFonts w:ascii="Arial" w:cs="Arial" w:eastAsia="Arial" w:hAnsi="Arial"/>
          <w:color w:val="1A1A2E"/>
          <w:sz w:val="20"/>
          <w:szCs w:val="20"/>
        </w:rPr>
        <w:t xml:space="preserve">9.  ServiceNow Integration Governance</w:t>
      </w:r>
    </w:p>
    <w:p>
      <w:pPr>
        <w:spacing w:after="60" w:before="60"/>
      </w:pPr>
      <w:r>
        <w:rPr>
          <w:rFonts w:ascii="Arial" w:cs="Arial" w:eastAsia="Arial" w:hAnsi="Arial"/>
          <w:color w:val="1A1A2E"/>
          <w:sz w:val="20"/>
          <w:szCs w:val="20"/>
        </w:rPr>
        <w:t xml:space="preserve">10. Compliance, Security &amp; Privacy</w:t>
      </w:r>
    </w:p>
    <w:p>
      <w:pPr>
        <w:spacing w:after="60" w:before="60"/>
      </w:pPr>
      <w:r>
        <w:rPr>
          <w:rFonts w:ascii="Arial" w:cs="Arial" w:eastAsia="Arial" w:hAnsi="Arial"/>
          <w:color w:val="1A1A2E"/>
          <w:sz w:val="20"/>
          <w:szCs w:val="20"/>
        </w:rPr>
        <w:t xml:space="preserve">11. Processes, Training &amp; Continuous Improvement</w:t>
      </w:r>
    </w:p>
    <w:p>
      <w:pPr>
        <w:spacing w:after="60" w:before="60"/>
      </w:pPr>
      <w:r>
        <w:rPr>
          <w:rFonts w:ascii="Arial" w:cs="Arial" w:eastAsia="Arial" w:hAnsi="Arial"/>
          <w:color w:val="1A1A2E"/>
          <w:sz w:val="20"/>
          <w:szCs w:val="20"/>
        </w:rPr>
        <w:t xml:space="preserve">12. Appendix</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1. Introduction &amp; Objectives</w:t>
      </w:r>
    </w:p>
    <w:p>
      <w:pPr>
        <w:spacing w:after="60" w:before="60"/>
      </w:pPr>
      <w:r>
        <w:rPr>
          <w:rFonts w:ascii="Arial" w:cs="Arial" w:eastAsia="Arial" w:hAnsi="Arial"/>
          <w:color w:val="1A1A2E"/>
          <w:sz w:val="20"/>
          <w:szCs w:val="20"/>
        </w:rPr>
        <w:t xml:space="preserve">This document defines the governance framework for observability and monitoring of IT infrastructure and applications within AJG Gallagher. Dynatrace is the strategic observability platform and Single Source of Truth (SSOT) for all monitoring data. ServiceNow is the authoritative IT Service Management (ITSM) system and the sole ticketing platform for all incidents, problems, changes, and events arising from observability data. All content in this document represents binding AJG policy and operational standard.</w:t>
      </w:r>
    </w:p>
    <w:p>
      <w:pPr>
        <w:spacing w:after="0" w:before="60"/>
      </w:pPr>
      <w:r>
        <w:t xml:space="preserve"/>
      </w:r>
    </w:p>
    <w:p>
      <w:pPr>
        <w:pStyle w:val="Heading2"/>
        <w:spacing w:after="80" w:before="240"/>
      </w:pPr>
      <w:r>
        <w:rPr>
          <w:rFonts w:ascii="Arial" w:cs="Arial" w:eastAsia="Arial" w:hAnsi="Arial"/>
          <w:b/>
          <w:bCs/>
          <w:color w:val="1A1A2E"/>
          <w:sz w:val="26"/>
          <w:szCs w:val="26"/>
        </w:rPr>
        <w:t xml:space="preserve">Objectives</w:t>
      </w:r>
    </w:p>
    <w:p>
      <w:pPr>
        <w:pStyle w:val="ListParagraph"/>
        <w:numPr>
          <w:ilvl w:val="0"/>
          <w:numId w:val="2"/>
        </w:numPr>
        <w:spacing w:after="40" w:before="40"/>
      </w:pPr>
      <w:r>
        <w:rPr>
          <w:rFonts w:ascii="Arial" w:cs="Arial" w:eastAsia="Arial" w:hAnsi="Arial"/>
          <w:color w:val="1A1A2E"/>
          <w:sz w:val="20"/>
          <w:szCs w:val="20"/>
        </w:rPr>
        <w:t xml:space="preserve">Ensure all IT systems, applications, and services are observable, enabling efficient monitoring, troubleshooting, and incident response across production and DR environments.</w:t>
      </w:r>
    </w:p>
    <w:p>
      <w:pPr>
        <w:pStyle w:val="ListParagraph"/>
        <w:numPr>
          <w:ilvl w:val="0"/>
          <w:numId w:val="2"/>
        </w:numPr>
        <w:spacing w:after="40" w:before="40"/>
      </w:pPr>
      <w:r>
        <w:rPr>
          <w:rFonts w:ascii="Arial" w:cs="Arial" w:eastAsia="Arial" w:hAnsi="Arial"/>
          <w:color w:val="1A1A2E"/>
          <w:sz w:val="20"/>
          <w:szCs w:val="20"/>
        </w:rPr>
        <w:t xml:space="preserve">Define roles, responsibilities, and accountabilities for all teams involved in observability operations.</w:t>
      </w:r>
    </w:p>
    <w:p>
      <w:pPr>
        <w:pStyle w:val="ListParagraph"/>
        <w:numPr>
          <w:ilvl w:val="0"/>
          <w:numId w:val="2"/>
        </w:numPr>
        <w:spacing w:after="40" w:before="40"/>
      </w:pPr>
      <w:r>
        <w:rPr>
          <w:rFonts w:ascii="Arial" w:cs="Arial" w:eastAsia="Arial" w:hAnsi="Arial"/>
          <w:color w:val="1A1A2E"/>
          <w:sz w:val="20"/>
          <w:szCs w:val="20"/>
        </w:rPr>
        <w:t xml:space="preserve">Establish standards for data collection, alerting, SLO management, and visualisation using Dynatrace as the SSOT.</w:t>
      </w:r>
    </w:p>
    <w:p>
      <w:pPr>
        <w:pStyle w:val="ListParagraph"/>
        <w:numPr>
          <w:ilvl w:val="0"/>
          <w:numId w:val="2"/>
        </w:numPr>
        <w:spacing w:after="40" w:before="40"/>
      </w:pPr>
      <w:r>
        <w:rPr>
          <w:rFonts w:ascii="Arial" w:cs="Arial" w:eastAsia="Arial" w:hAnsi="Arial"/>
          <w:color w:val="1A1A2E"/>
          <w:sz w:val="20"/>
          <w:szCs w:val="20"/>
        </w:rPr>
        <w:t xml:space="preserve">Leverage Dynatrace Davis AI to shift operations from reactive to proactive, minimising time-to-glass and mean time to detect (MTTD).</w:t>
      </w:r>
    </w:p>
    <w:p>
      <w:pPr>
        <w:pStyle w:val="ListParagraph"/>
        <w:numPr>
          <w:ilvl w:val="0"/>
          <w:numId w:val="2"/>
        </w:numPr>
        <w:spacing w:after="40" w:before="40"/>
      </w:pPr>
      <w:r>
        <w:rPr>
          <w:rFonts w:ascii="Arial" w:cs="Arial" w:eastAsia="Arial" w:hAnsi="Arial"/>
          <w:color w:val="1A1A2E"/>
          <w:sz w:val="20"/>
          <w:szCs w:val="20"/>
        </w:rPr>
        <w:t xml:space="preserve">Provide all users with role-appropriate access to observability data via Dynatrace Management Zones and dashboards.</w:t>
      </w:r>
    </w:p>
    <w:p>
      <w:pPr>
        <w:pStyle w:val="ListParagraph"/>
        <w:numPr>
          <w:ilvl w:val="0"/>
          <w:numId w:val="2"/>
        </w:numPr>
        <w:spacing w:after="40" w:before="40"/>
      </w:pPr>
      <w:r>
        <w:rPr>
          <w:rFonts w:ascii="Arial" w:cs="Arial" w:eastAsia="Arial" w:hAnsi="Arial"/>
          <w:color w:val="1A1A2E"/>
          <w:sz w:val="20"/>
          <w:szCs w:val="20"/>
        </w:rPr>
        <w:t xml:space="preserve">Ensure all Dynatrace-generated alerts and anomalies are surfaced in ServiceNow as structured, enriched tickets with full audit traceability.</w:t>
      </w:r>
    </w:p>
    <w:p>
      <w:pPr>
        <w:pStyle w:val="ListParagraph"/>
        <w:numPr>
          <w:ilvl w:val="0"/>
          <w:numId w:val="2"/>
        </w:numPr>
        <w:spacing w:after="40" w:before="40"/>
      </w:pPr>
      <w:r>
        <w:rPr>
          <w:rFonts w:ascii="Arial" w:cs="Arial" w:eastAsia="Arial" w:hAnsi="Arial"/>
          <w:color w:val="1A1A2E"/>
          <w:sz w:val="20"/>
          <w:szCs w:val="20"/>
        </w:rPr>
        <w:t xml:space="preserve">Enforce a strict no-PII policy across all observability data streams — no personally identifiable information is to be transmitted to or stored in Dynatrace under any circumstances.</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2. Roles &amp; Responsibilities</w:t>
      </w:r>
    </w:p>
    <w:p>
      <w:pPr>
        <w:spacing w:after="60" w:before="60"/>
      </w:pPr>
      <w:r>
        <w:rPr>
          <w:rFonts w:ascii="Arial" w:cs="Arial" w:eastAsia="Arial" w:hAnsi="Arial"/>
          <w:color w:val="1A1A2E"/>
          <w:sz w:val="20"/>
          <w:szCs w:val="20"/>
        </w:rPr>
        <w:t xml:space="preserve">The following table defines the responsibilities of each role and their corresponding Dynatrace access level. Access is enforced via RBAC integrated with AJG's identity provider (Azure AD / Okta) with MFA required for all Dynatrace access. Management Zones partition visibility by domain and team. All configuration changes to Dynatrace are audited via Dynatrace Audit Logs and reviewed quarterly by the Observability Team and Security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5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Observability Responsibilities</w:t>
            </w:r>
          </w:p>
        </w:tc>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Access Level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Observability Team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Own Dynatrace platform configuration, Management Zones, alerting profiles, Davis AI tuning, agent deployment standards, RBAC, and quarterly audits. Single point of accountability for platform health.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Admin – full configuration access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Operations Team</w:t>
            </w:r>
          </w:p>
        </w:tc>
        <w:tc>
          <w:tcPr>
            <w:tcW w:type="dxa" w:w="4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Monitor Dynatrace dashboards during BAU and incidents. Triage and action infrastructure-related Problems. Validate OneAgent connectivity for servers under their remit.</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Operator – host/infra views, alerting, Problem management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Business Relationship Manager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Review SLO compliance dashboards. Communicate service performance to business stakeholders. Own SLA reporting. Coordinate with App Owners on performance expectations.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Viewer – management dashboards and SLO reports only</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Service Desk</w:t>
            </w:r>
          </w:p>
        </w:tc>
        <w:tc>
          <w:tcPr>
            <w:tcW w:type="dxa" w:w="4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First-line receipt of Dynatrace-generated ServiceNow incidents. Log, categorise and assign tickets. Escalate unresolved tickets to Operations or Observability Team per escalation matrix.</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Viewer – ServiceNow integration context; no direct Dynatrace access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Application Owner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Accountable for application SLO definitions, monitoring coverage, and resolution of application-layer incidents. Approve RUM and Session Replay enablement for owned applications.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Viewer – application-scoped Management Zone dashboards and SLO reports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Application Team</w:t>
            </w:r>
          </w:p>
        </w:tc>
        <w:tc>
          <w:tcPr>
            <w:tcW w:type="dxa" w:w="4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Instrument applications for APM and PurePath tracing. Define Key Requests. Analyse code-level performance diagnostics. Resolve application and code-layer incidents escalated from Operations.</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Developer – APM, distributed traces, PurePath, code-level diagnostics</w:t>
            </w:r>
          </w:p>
        </w:tc>
      </w:tr>
    </w:tbl>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3. RACI Matrix</w:t>
      </w:r>
    </w:p>
    <w:p>
      <w:pPr>
        <w:spacing w:after="60" w:before="60"/>
      </w:pPr>
      <w:r>
        <w:rPr>
          <w:rFonts w:ascii="Arial" w:cs="Arial" w:eastAsia="Arial" w:hAnsi="Arial"/>
          <w:color w:val="1A1A2E"/>
          <w:sz w:val="20"/>
          <w:szCs w:val="20"/>
        </w:rPr>
        <w:t xml:space="preserve">The following RACI matrix defines the accountability and involvement of each role across all observability and monitoring processes. All activities must be executed in accordance with the responsibilities defined here. Where no entry is shown (–), the role has no direct involvement in that activity.</w:t>
      </w:r>
    </w:p>
    <w:p>
      <w:pPr>
        <w:spacing w:after="0" w:before="60"/>
      </w:pPr>
      <w:r>
        <w:t xml:space="preserve"/>
      </w:r>
    </w:p>
    <w:p>
      <w:pPr>
        <w:spacing w:after="60" w:before="60"/>
      </w:pPr>
      <w:r>
        <w:rPr>
          <w:rFonts w:ascii="Arial" w:cs="Arial" w:eastAsia="Arial" w:hAnsi="Arial"/>
          <w:color w:val="1A1A2E"/>
          <w:sz w:val="20"/>
          <w:szCs w:val="20"/>
        </w:rPr>
        <w:t xml:space="preserve">Key: R = Responsible (does the work)   A = Accountable (owns the outcome)   C = Consulted (input required)   I = Informed (kept up to date)</w:t>
      </w:r>
    </w:p>
    <w:p>
      <w:pPr>
        <w:spacing w:after="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840"/>
        <w:gridCol w:w="840"/>
        <w:gridCol w:w="840"/>
      </w:tblGrid>
      <w:tr>
        <w:trPr>
          <w:tblHeader/>
        </w:trPr>
        <w:tc>
          <w:tcPr>
            <w:tcW w:type="dxa" w:w="33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8"/>
                <w:szCs w:val="18"/>
              </w:rPr>
              <w:t xml:space="preserve">Process / Activity</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Observability
Team</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Operations
Team</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Business
Relationship
Mgr</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Service
Desk</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App
Owner</w:t>
            </w:r>
          </w:p>
        </w:tc>
        <w:tc>
          <w:tcPr>
            <w:tcW w:type="dxa" w:w="840"/>
            <w:tcBorders>
              <w:top w:val="single" w:color="CCCCCC" w:sz="1"/>
              <w:left w:val="single" w:color="CCCCCC" w:sz="1"/>
              <w:bottom w:val="single" w:color="CCCCCC" w:sz="1"/>
              <w:right w:val="single" w:color="CCCCCC" w:sz="1"/>
            </w:tcBorders>
            <w:shd w:fill="1A4B8C" w:val="clear"/>
            <w:tcMar>
              <w:top w:type="dxa" w:w="80"/>
              <w:left w:type="dxa" w:w="60"/>
              <w:bottom w:type="dxa" w:w="80"/>
              <w:right w:type="dxa" w:w="60"/>
            </w:tcMar>
          </w:tcPr>
          <w:p>
            <w:pPr>
              <w:jc w:val="center"/>
            </w:pPr>
            <w:r>
              <w:rPr>
                <w:rFonts w:ascii="Arial" w:cs="Arial" w:eastAsia="Arial" w:hAnsi="Arial"/>
                <w:b/>
                <w:bCs/>
                <w:color w:val="FFFFFF"/>
                <w:sz w:val="15"/>
                <w:szCs w:val="15"/>
              </w:rPr>
              <w:t xml:space="preserve">Application
Team</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Deploy &amp; configure Dynatrace OneAgent on servers/VMs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Define Dynatrace Management Zones and RBAC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Configure alerting profiles and Davis AI thresholds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Configure ServiceNow integration and incident routing rules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Acknowledge and triage Dynatrace-generated ServiceNow incidents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Resolve infrastructure-related incidents (server, network, storage)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Resolve application-related incidents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Instrument applications for APM / PurePath tracing</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Define and maintain application SLOs in Dynatrace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Review SLO compliance and service performance reports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Raise and manage change requests for Dynatrace config changes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Validate monitoring coverage for new applications onboarded</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Conduct quarterly RBAC and access reviews</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Enforce no-PII policy across all monitoring configurations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Audit Dynatrace configuration and PII compliance bi-annually</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Communicate major incident status to business stakeholders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Manage vendor relationship with Dynatrace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First-line triage and ticket logging for monitoring alerts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Escalate unresolved tickets to Observability / Ops team</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Capacity planning based on Dynatrace metrics trends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Review and adopt new Dynatrace features quarterly</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R/A</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2E7D32"/>
                <w:sz w:val="17"/>
                <w:szCs w:val="17"/>
              </w:rPr>
              <w:t xml:space="preserve">C</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AAAAAA"/>
                <w:sz w:val="17"/>
                <w:szCs w:val="17"/>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r>
      <w:tr>
        <w:tc>
          <w:tcPr>
            <w:tcW w:type="dxa" w:w="33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Complete Dynatrace training per role requirements</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C0392B"/>
                <w:sz w:val="17"/>
                <w:szCs w:val="17"/>
              </w:rPr>
              <w:t xml:space="preserve">A</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val="false"/>
                <w:bCs w:val="false"/>
                <w:color w:val="7F8C8D"/>
                <w:sz w:val="17"/>
                <w:szCs w:val="17"/>
              </w:rPr>
              <w:t xml:space="preserve">I</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c>
          <w:tcPr>
            <w:tcW w:type="dxa" w:w="840"/>
            <w:tcBorders>
              <w:top w:val="single" w:color="CCCCCC" w:sz="1"/>
              <w:left w:val="single" w:color="CCCCCC" w:sz="1"/>
              <w:bottom w:val="single" w:color="CCCCCC" w:sz="1"/>
              <w:right w:val="single" w:color="CCCCCC" w:sz="1"/>
            </w:tcBorders>
            <w:shd w:fill="F5F7FA" w:val="clear"/>
            <w:tcMar>
              <w:top w:type="dxa" w:w="70"/>
              <w:left w:type="dxa" w:w="60"/>
              <w:bottom w:type="dxa" w:w="70"/>
              <w:right w:type="dxa" w:w="60"/>
            </w:tcMar>
          </w:tcPr>
          <w:p>
            <w:pPr>
              <w:jc w:val="center"/>
            </w:pPr>
            <w:r>
              <w:rPr>
                <w:rFonts w:ascii="Arial" w:cs="Arial" w:eastAsia="Arial" w:hAnsi="Arial"/>
                <w:b/>
                <w:bCs/>
                <w:color w:val="1A4B8C"/>
                <w:sz w:val="17"/>
                <w:szCs w:val="17"/>
              </w:rPr>
              <w:t xml:space="preserve">R</w:t>
            </w:r>
          </w:p>
        </w:tc>
      </w:tr>
    </w:tbl>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4. Scope</w:t>
      </w:r>
    </w:p>
    <w:p>
      <w:pPr>
        <w:spacing w:after="60" w:before="60"/>
      </w:pPr>
      <w:r>
        <w:rPr>
          <w:rFonts w:ascii="Arial" w:cs="Arial" w:eastAsia="Arial" w:hAnsi="Arial"/>
          <w:color w:val="1A1A2E"/>
          <w:sz w:val="20"/>
          <w:szCs w:val="20"/>
        </w:rPr>
        <w:t xml:space="preserve">Observability practices and the policies in this document apply to all IT systems, applications, services, and infrastructure within AJG, including:</w:t>
      </w:r>
    </w:p>
    <w:p>
      <w:pPr>
        <w:pStyle w:val="ListParagraph"/>
        <w:numPr>
          <w:ilvl w:val="0"/>
          <w:numId w:val="2"/>
        </w:numPr>
        <w:spacing w:after="40" w:before="40"/>
      </w:pPr>
      <w:r>
        <w:rPr>
          <w:rFonts w:ascii="Arial" w:cs="Arial" w:eastAsia="Arial" w:hAnsi="Arial"/>
          <w:color w:val="1A1A2E"/>
          <w:sz w:val="20"/>
          <w:szCs w:val="20"/>
        </w:rPr>
        <w:t xml:space="preserve">Network infrastructure (physical and virtual)</w:t>
      </w:r>
    </w:p>
    <w:p>
      <w:pPr>
        <w:pStyle w:val="ListParagraph"/>
        <w:numPr>
          <w:ilvl w:val="0"/>
          <w:numId w:val="2"/>
        </w:numPr>
        <w:spacing w:after="40" w:before="40"/>
      </w:pPr>
      <w:r>
        <w:rPr>
          <w:rFonts w:ascii="Arial" w:cs="Arial" w:eastAsia="Arial" w:hAnsi="Arial"/>
          <w:color w:val="1A1A2E"/>
          <w:sz w:val="20"/>
          <w:szCs w:val="20"/>
        </w:rPr>
        <w:t xml:space="preserve">Servers and virtual machines (on-premises and hypervisor-hosted)</w:t>
      </w:r>
    </w:p>
    <w:p>
      <w:pPr>
        <w:pStyle w:val="ListParagraph"/>
        <w:numPr>
          <w:ilvl w:val="0"/>
          <w:numId w:val="2"/>
        </w:numPr>
        <w:spacing w:after="40" w:before="40"/>
      </w:pPr>
      <w:r>
        <w:rPr>
          <w:rFonts w:ascii="Arial" w:cs="Arial" w:eastAsia="Arial" w:hAnsi="Arial"/>
          <w:color w:val="1A1A2E"/>
          <w:sz w:val="20"/>
          <w:szCs w:val="20"/>
        </w:rPr>
        <w:t xml:space="preserve">Databases (relational, NoSQL, cloud-managed)</w:t>
      </w:r>
    </w:p>
    <w:p>
      <w:pPr>
        <w:pStyle w:val="ListParagraph"/>
        <w:numPr>
          <w:ilvl w:val="0"/>
          <w:numId w:val="2"/>
        </w:numPr>
        <w:spacing w:after="40" w:before="40"/>
      </w:pPr>
      <w:r>
        <w:rPr>
          <w:rFonts w:ascii="Arial" w:cs="Arial" w:eastAsia="Arial" w:hAnsi="Arial"/>
          <w:color w:val="1A1A2E"/>
          <w:sz w:val="20"/>
          <w:szCs w:val="20"/>
        </w:rPr>
        <w:t xml:space="preserve">Applications and microservices</w:t>
      </w:r>
    </w:p>
    <w:p>
      <w:pPr>
        <w:pStyle w:val="ListParagraph"/>
        <w:numPr>
          <w:ilvl w:val="0"/>
          <w:numId w:val="2"/>
        </w:numPr>
        <w:spacing w:after="40" w:before="40"/>
      </w:pPr>
      <w:r>
        <w:rPr>
          <w:rFonts w:ascii="Arial" w:cs="Arial" w:eastAsia="Arial" w:hAnsi="Arial"/>
          <w:color w:val="1A1A2E"/>
          <w:sz w:val="20"/>
          <w:szCs w:val="20"/>
        </w:rPr>
        <w:t xml:space="preserve">Cloud services (Microsoft Azure, Amazon AWS)</w:t>
      </w:r>
    </w:p>
    <w:p>
      <w:pPr>
        <w:pStyle w:val="ListParagraph"/>
        <w:numPr>
          <w:ilvl w:val="0"/>
          <w:numId w:val="2"/>
        </w:numPr>
        <w:spacing w:after="40" w:before="40"/>
      </w:pPr>
      <w:r>
        <w:rPr>
          <w:rFonts w:ascii="Arial" w:cs="Arial" w:eastAsia="Arial" w:hAnsi="Arial"/>
          <w:color w:val="1A1A2E"/>
          <w:sz w:val="20"/>
          <w:szCs w:val="20"/>
        </w:rPr>
        <w:t xml:space="preserve">NetApp storage infrastructure</w:t>
      </w:r>
    </w:p>
    <w:p>
      <w:pPr>
        <w:pStyle w:val="ListParagraph"/>
        <w:numPr>
          <w:ilvl w:val="0"/>
          <w:numId w:val="2"/>
        </w:numPr>
        <w:spacing w:after="40" w:before="40"/>
      </w:pPr>
      <w:r>
        <w:rPr>
          <w:rFonts w:ascii="Arial" w:cs="Arial" w:eastAsia="Arial" w:hAnsi="Arial"/>
          <w:color w:val="1A1A2E"/>
          <w:sz w:val="20"/>
          <w:szCs w:val="20"/>
        </w:rPr>
        <w:t xml:space="preserve">Third-party systems integrated into the AJG environment — these must adhere to AJG observability standards where technically feasible</w:t>
      </w:r>
    </w:p>
    <w:p>
      <w:pPr>
        <w:spacing w:after="0" w:before="60"/>
      </w:pPr>
      <w:r>
        <w:t xml:space="preserve"/>
      </w:r>
    </w:p>
    <w:p>
      <w:pPr>
        <w:spacing w:after="60" w:before="60"/>
      </w:pPr>
      <w:r>
        <w:rPr>
          <w:rFonts w:ascii="Arial" w:cs="Arial" w:eastAsia="Arial" w:hAnsi="Arial"/>
          <w:color w:val="1A1A2E"/>
          <w:sz w:val="20"/>
          <w:szCs w:val="20"/>
        </w:rPr>
        <w:t xml:space="preserve">All in-scope servers and VMs must have Dynatrace OneAgent deployed within 48 hours of provisioning. Dynatrace ActiveGate is used for monitoring remote locations, DMZ environments, and cloud-integrated services where direct agent deployment is not possible. All monitored entities must carry standardised metadata tags (Environment, Application, Team, Criticality) to support Management Zone assignment, alerting, and capacity reporting.</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5. Policies – Data Collection &amp; No-PII Policy</w:t>
      </w:r>
    </w:p>
    <w:p>
      <w:pPr>
        <w:spacing w:after="60" w:before="60"/>
      </w:pPr>
      <w:r>
        <w:rPr>
          <w:rFonts w:ascii="Arial" w:cs="Arial" w:eastAsia="Arial" w:hAnsi="Arial"/>
          <w:b/>
          <w:bCs/>
          <w:i/>
          <w:iCs/>
          <w:color w:val="1A1A2E"/>
          <w:sz w:val="20"/>
          <w:szCs w:val="20"/>
        </w:rPr>
        <w:t xml:space="preserve">AJG Policy: No personally identifiable information (PII) is to be transmitted to, stored in, or processed by Dynatrace under any circumstances. This requirement is absolute, applies to all data types, all environments, and all integrations, and admits no exceptions.</w:t>
      </w:r>
    </w:p>
    <w:p>
      <w:pPr>
        <w:spacing w:after="0" w:before="60"/>
      </w:pPr>
      <w:r>
        <w:t xml:space="preserve"/>
      </w:r>
    </w:p>
    <w:p>
      <w:pPr>
        <w:spacing w:after="60" w:before="60"/>
      </w:pPr>
      <w:r>
        <w:rPr>
          <w:rFonts w:ascii="Arial" w:cs="Arial" w:eastAsia="Arial" w:hAnsi="Arial"/>
          <w:color w:val="1A1A2E"/>
          <w:sz w:val="20"/>
          <w:szCs w:val="20"/>
        </w:rPr>
        <w:t xml:space="preserve">Data is collected for observability purposes across the following pillars. All collection configurations must enforce the no-PII policy at the point of capture — post-capture masking alone does not satisfy this requirement.</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5.1 Metrics</w:t>
      </w:r>
    </w:p>
    <w:p>
      <w:pPr>
        <w:pStyle w:val="ListParagraph"/>
        <w:numPr>
          <w:ilvl w:val="0"/>
          <w:numId w:val="2"/>
        </w:numPr>
        <w:spacing w:after="40" w:before="40"/>
      </w:pPr>
      <w:r>
        <w:rPr>
          <w:rFonts w:ascii="Arial" w:cs="Arial" w:eastAsia="Arial" w:hAnsi="Arial"/>
          <w:b/>
          <w:bCs/>
          <w:color w:val="1A1A2E"/>
          <w:sz w:val="20"/>
          <w:szCs w:val="20"/>
        </w:rPr>
        <w:t xml:space="preserve">CPU utilization, memory, disk I/O, and network traffic are collected for all in-scope hosts via OneAgent automatically. No manual configuration is required for standard infrastructure metrics.: </w:t>
      </w:r>
      <w:r>
        <w:rPr>
          <w:rFonts w:ascii="Arial" w:cs="Arial" w:eastAsia="Arial" w:hAnsi="Arial"/>
          <w:color w:val="1A1A2E"/>
          <w:sz w:val="20"/>
          <w:szCs w:val="20"/>
        </w:rPr>
        <w:t xml:space="preserve">Performance Metrics</w:t>
      </w:r>
    </w:p>
    <w:p>
      <w:pPr>
        <w:pStyle w:val="ListParagraph"/>
        <w:numPr>
          <w:ilvl w:val="0"/>
          <w:numId w:val="2"/>
        </w:numPr>
        <w:spacing w:after="40" w:before="40"/>
      </w:pPr>
      <w:r>
        <w:rPr>
          <w:rFonts w:ascii="Arial" w:cs="Arial" w:eastAsia="Arial" w:hAnsi="Arial"/>
          <w:b/>
          <w:bCs/>
          <w:color w:val="1A1A2E"/>
          <w:sz w:val="20"/>
          <w:szCs w:val="20"/>
        </w:rPr>
        <w:t xml:space="preserve">Response times, throughput, error rates, and availability are captured per service. Custom metric thresholds are defined within Dynatrace Anomaly Detection settings aligned to SLAs, using adaptive or fixed baselines.: </w:t>
      </w:r>
      <w:r>
        <w:rPr>
          <w:rFonts w:ascii="Arial" w:cs="Arial" w:eastAsia="Arial" w:hAnsi="Arial"/>
          <w:color w:val="1A1A2E"/>
          <w:sz w:val="20"/>
          <w:szCs w:val="20"/>
        </w:rPr>
        <w:t xml:space="preserve">Service Metrics</w:t>
      </w:r>
    </w:p>
    <w:p>
      <w:pPr>
        <w:pStyle w:val="ListParagraph"/>
        <w:numPr>
          <w:ilvl w:val="0"/>
          <w:numId w:val="2"/>
        </w:numPr>
        <w:spacing w:after="40" w:before="40"/>
      </w:pPr>
      <w:r>
        <w:rPr>
          <w:rFonts w:ascii="Arial" w:cs="Arial" w:eastAsia="Arial" w:hAnsi="Arial"/>
          <w:b/>
          <w:bCs/>
          <w:color w:val="1A1A2E"/>
          <w:sz w:val="20"/>
          <w:szCs w:val="20"/>
        </w:rPr>
        <w:t xml:space="preserve">Resource consumption for servers, databases, and cloud resources is tracked for capacity planning. Key metrics are exported via Dynatrace Metrics API v2 for long-term trending in AJG's data lake or BI tools. Cloud platform metrics from AWS CloudWatch and Azure Monitor are consolidated in Dynatrace via the respective platform integrations.: </w:t>
      </w:r>
      <w:r>
        <w:rPr>
          <w:rFonts w:ascii="Arial" w:cs="Arial" w:eastAsia="Arial" w:hAnsi="Arial"/>
          <w:color w:val="1A1A2E"/>
          <w:sz w:val="20"/>
          <w:szCs w:val="20"/>
        </w:rPr>
        <w:t xml:space="preserve">Resource Utilization</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5.2 Logs</w:t>
      </w:r>
    </w:p>
    <w:p>
      <w:pPr>
        <w:pStyle w:val="ListParagraph"/>
        <w:numPr>
          <w:ilvl w:val="0"/>
          <w:numId w:val="2"/>
        </w:numPr>
        <w:spacing w:after="40" w:before="40"/>
      </w:pPr>
      <w:r>
        <w:rPr>
          <w:rFonts w:ascii="Arial" w:cs="Arial" w:eastAsia="Arial" w:hAnsi="Arial"/>
          <w:b/>
          <w:bCs/>
          <w:color w:val="1A1A2E"/>
          <w:sz w:val="20"/>
          <w:szCs w:val="20"/>
        </w:rPr>
        <w:t xml:space="preserve">OS events, errors, warnings, and user activity logs are collected via Dynatrace Log Management and Analytics.: </w:t>
      </w:r>
      <w:r>
        <w:rPr>
          <w:rFonts w:ascii="Arial" w:cs="Arial" w:eastAsia="Arial" w:hAnsi="Arial"/>
          <w:color w:val="1A1A2E"/>
          <w:sz w:val="20"/>
          <w:szCs w:val="20"/>
        </w:rPr>
        <w:t xml:space="preserve">System Logs</w:t>
      </w:r>
    </w:p>
    <w:p>
      <w:pPr>
        <w:pStyle w:val="ListParagraph"/>
        <w:numPr>
          <w:ilvl w:val="0"/>
          <w:numId w:val="2"/>
        </w:numPr>
        <w:spacing w:after="40" w:before="40"/>
      </w:pPr>
      <w:r>
        <w:rPr>
          <w:rFonts w:ascii="Arial" w:cs="Arial" w:eastAsia="Arial" w:hAnsi="Arial"/>
          <w:b/>
          <w:bCs/>
          <w:color w:val="1A1A2E"/>
          <w:sz w:val="20"/>
          <w:szCs w:val="20"/>
        </w:rPr>
        <w:t xml:space="preserve">Custom application and third-party software logs are ingested and centralised. Log ingest rules are configured to filter only relevant log lines, reducing cost and noise.: </w:t>
      </w:r>
      <w:r>
        <w:rPr>
          <w:rFonts w:ascii="Arial" w:cs="Arial" w:eastAsia="Arial" w:hAnsi="Arial"/>
          <w:color w:val="1A1A2E"/>
          <w:sz w:val="20"/>
          <w:szCs w:val="20"/>
        </w:rPr>
        <w:t xml:space="preserve">Application Logs</w:t>
      </w:r>
    </w:p>
    <w:p>
      <w:pPr>
        <w:pStyle w:val="ListParagraph"/>
        <w:numPr>
          <w:ilvl w:val="0"/>
          <w:numId w:val="2"/>
        </w:numPr>
        <w:spacing w:after="40" w:before="40"/>
      </w:pPr>
      <w:r>
        <w:rPr>
          <w:rFonts w:ascii="Arial" w:cs="Arial" w:eastAsia="Arial" w:hAnsi="Arial"/>
          <w:b/>
          <w:bCs/>
          <w:color w:val="1A1A2E"/>
          <w:sz w:val="20"/>
          <w:szCs w:val="20"/>
        </w:rPr>
        <w:t xml:space="preserve">Authentication, access control, and suspicious activity events are monitored. Security logs are correlated with metrics and traces within Dynatrace Problems for accelerated root-cause analysis.: </w:t>
      </w:r>
      <w:r>
        <w:rPr>
          <w:rFonts w:ascii="Arial" w:cs="Arial" w:eastAsia="Arial" w:hAnsi="Arial"/>
          <w:color w:val="1A1A2E"/>
          <w:sz w:val="20"/>
          <w:szCs w:val="20"/>
        </w:rPr>
        <w:t xml:space="preserve">Security Logs</w:t>
      </w:r>
    </w:p>
    <w:p>
      <w:pPr>
        <w:pStyle w:val="ListParagraph"/>
        <w:numPr>
          <w:ilvl w:val="0"/>
          <w:numId w:val="2"/>
        </w:numPr>
        <w:spacing w:after="40" w:before="40"/>
      </w:pPr>
      <w:r>
        <w:rPr>
          <w:rFonts w:ascii="Arial" w:cs="Arial" w:eastAsia="Arial" w:hAnsi="Arial"/>
          <w:b/>
          <w:bCs/>
          <w:color w:val="1A1A2E"/>
          <w:sz w:val="20"/>
          <w:szCs w:val="20"/>
        </w:rPr>
        <w:t xml:space="preserve">Structured fields (severity, service name, correlation ID) are parsed via Dynatrace log processing rules. Log retention is defined per the schedule in Section 10.: </w:t>
      </w:r>
      <w:r>
        <w:rPr>
          <w:rFonts w:ascii="Arial" w:cs="Arial" w:eastAsia="Arial" w:hAnsi="Arial"/>
          <w:color w:val="1A1A2E"/>
          <w:sz w:val="20"/>
          <w:szCs w:val="20"/>
        </w:rPr>
        <w:t xml:space="preserve">Log Processing</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5.3 Distributed Traces</w:t>
      </w:r>
    </w:p>
    <w:p>
      <w:pPr>
        <w:pStyle w:val="ListParagraph"/>
        <w:numPr>
          <w:ilvl w:val="0"/>
          <w:numId w:val="2"/>
        </w:numPr>
        <w:spacing w:after="40" w:before="40"/>
      </w:pPr>
      <w:r>
        <w:rPr>
          <w:rFonts w:ascii="Arial" w:cs="Arial" w:eastAsia="Arial" w:hAnsi="Arial"/>
          <w:color w:val="1A1A2E"/>
          <w:sz w:val="20"/>
          <w:szCs w:val="20"/>
        </w:rPr>
        <w:t xml:space="preserve">Dynatrace PurePath automatically captures end-to-end distributed traces across all services instrumented by OneAgent. No manual SDK instrumentation is required for supported technologies.</w:t>
      </w:r>
    </w:p>
    <w:p>
      <w:pPr>
        <w:pStyle w:val="ListParagraph"/>
        <w:numPr>
          <w:ilvl w:val="0"/>
          <w:numId w:val="2"/>
        </w:numPr>
        <w:spacing w:after="40" w:before="40"/>
      </w:pPr>
      <w:r>
        <w:rPr>
          <w:rFonts w:ascii="Arial" w:cs="Arial" w:eastAsia="Arial" w:hAnsi="Arial"/>
          <w:color w:val="1A1A2E"/>
          <w:sz w:val="20"/>
          <w:szCs w:val="20"/>
        </w:rPr>
        <w:t xml:space="preserve">For unsupported or custom services, the Dynatrace OpenTelemetry integration is used to ingest traces while retaining correlation with PurePath data.</w:t>
      </w:r>
    </w:p>
    <w:p>
      <w:pPr>
        <w:pStyle w:val="ListParagraph"/>
        <w:numPr>
          <w:ilvl w:val="0"/>
          <w:numId w:val="2"/>
        </w:numPr>
        <w:spacing w:after="40" w:before="40"/>
      </w:pPr>
      <w:r>
        <w:rPr>
          <w:rFonts w:ascii="Arial" w:cs="Arial" w:eastAsia="Arial" w:hAnsi="Arial"/>
          <w:color w:val="1A1A2E"/>
          <w:sz w:val="20"/>
          <w:szCs w:val="20"/>
        </w:rPr>
        <w:t xml:space="preserve">Key Requests are defined for all critical business transactions (e.g., policy bind, claims submission) to provide dedicated SLA monitoring and anomaly detection.</w:t>
      </w:r>
    </w:p>
    <w:p>
      <w:pPr>
        <w:pStyle w:val="ListParagraph"/>
        <w:numPr>
          <w:ilvl w:val="0"/>
          <w:numId w:val="2"/>
        </w:numPr>
        <w:spacing w:after="40" w:before="40"/>
      </w:pPr>
      <w:r>
        <w:rPr>
          <w:rFonts w:ascii="Arial" w:cs="Arial" w:eastAsia="Arial" w:hAnsi="Arial"/>
          <w:color w:val="1A1A2E"/>
          <w:sz w:val="20"/>
          <w:szCs w:val="20"/>
        </w:rPr>
        <w:t xml:space="preserve">Service Flow and Backtrace views in Dynatrace are used to visualise upstream and downstream call chains during incident investigation.</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5.4 Synthetic Monitoring</w:t>
      </w:r>
    </w:p>
    <w:p>
      <w:pPr>
        <w:pStyle w:val="ListParagraph"/>
        <w:numPr>
          <w:ilvl w:val="0"/>
          <w:numId w:val="2"/>
        </w:numPr>
        <w:spacing w:after="40" w:before="40"/>
      </w:pPr>
      <w:r>
        <w:rPr>
          <w:rFonts w:ascii="Arial" w:cs="Arial" w:eastAsia="Arial" w:hAnsi="Arial"/>
          <w:color w:val="1A1A2E"/>
          <w:sz w:val="20"/>
          <w:szCs w:val="20"/>
        </w:rPr>
        <w:t xml:space="preserve">Test scenarios must simulate key user journeys including login, navigation, form submission, and transactional workflows. Dynatrace Browser Clickpath Monitors are used for multi-step journey simulation with screenshot capture on failure.</w:t>
      </w:r>
    </w:p>
    <w:p>
      <w:pPr>
        <w:pStyle w:val="ListParagraph"/>
        <w:numPr>
          <w:ilvl w:val="0"/>
          <w:numId w:val="2"/>
        </w:numPr>
        <w:spacing w:after="40" w:before="40"/>
      </w:pPr>
      <w:r>
        <w:rPr>
          <w:rFonts w:ascii="Arial" w:cs="Arial" w:eastAsia="Arial" w:hAnsi="Arial"/>
          <w:color w:val="1A1A2E"/>
          <w:sz w:val="20"/>
          <w:szCs w:val="20"/>
        </w:rPr>
        <w:t xml:space="preserve">HTTP Monitors are configured for API endpoint health checks and lightweight availability monitoring.</w:t>
      </w:r>
    </w:p>
    <w:p>
      <w:pPr>
        <w:pStyle w:val="ListParagraph"/>
        <w:numPr>
          <w:ilvl w:val="0"/>
          <w:numId w:val="2"/>
        </w:numPr>
        <w:spacing w:after="40" w:before="40"/>
      </w:pPr>
      <w:r>
        <w:rPr>
          <w:rFonts w:ascii="Arial" w:cs="Arial" w:eastAsia="Arial" w:hAnsi="Arial"/>
          <w:color w:val="1A1A2E"/>
          <w:sz w:val="20"/>
          <w:szCs w:val="20"/>
        </w:rPr>
        <w:t xml:space="preserve">All tests must execute from a minimum of two geographic locations to reduce false positives. Private Synthetic Locations are deployed via ActiveGate for testing internal applications.</w:t>
      </w:r>
    </w:p>
    <w:p>
      <w:pPr>
        <w:pStyle w:val="ListParagraph"/>
        <w:numPr>
          <w:ilvl w:val="0"/>
          <w:numId w:val="2"/>
        </w:numPr>
        <w:spacing w:after="40" w:before="40"/>
      </w:pPr>
      <w:r>
        <w:rPr>
          <w:rFonts w:ascii="Arial" w:cs="Arial" w:eastAsia="Arial" w:hAnsi="Arial"/>
          <w:color w:val="1A1A2E"/>
          <w:sz w:val="20"/>
          <w:szCs w:val="20"/>
        </w:rPr>
        <w:t xml:space="preserve">Availability SLOs in Dynatrace are tied to Synthetic results for automated SLA reporting. Test frequency is determined by business criticality and SLA requirements.</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5.5 Real User Monitoring (RUM)</w:t>
      </w:r>
    </w:p>
    <w:p>
      <w:pPr>
        <w:spacing w:after="60" w:before="60"/>
      </w:pPr>
      <w:r>
        <w:rPr>
          <w:rFonts w:ascii="Arial" w:cs="Arial" w:eastAsia="Arial" w:hAnsi="Arial"/>
          <w:b/>
          <w:bCs/>
          <w:i/>
          <w:iCs/>
          <w:color w:val="1A1A2E"/>
          <w:sz w:val="20"/>
          <w:szCs w:val="20"/>
        </w:rPr>
        <w:t xml:space="preserve">AJG Policy: No PII data may be collected via RUM. All PII fields must be blocked at the Dynatrace configuration level before any data is transmitted. Post-capture masking is insufficient and does not meet this policy.</w:t>
      </w:r>
    </w:p>
    <w:p>
      <w:pPr>
        <w:pStyle w:val="ListParagraph"/>
        <w:numPr>
          <w:ilvl w:val="0"/>
          <w:numId w:val="2"/>
        </w:numPr>
        <w:spacing w:after="40" w:before="40"/>
      </w:pPr>
      <w:r>
        <w:rPr>
          <w:rFonts w:ascii="Arial" w:cs="Arial" w:eastAsia="Arial" w:hAnsi="Arial"/>
          <w:color w:val="1A1A2E"/>
          <w:sz w:val="20"/>
          <w:szCs w:val="20"/>
        </w:rPr>
        <w:t xml:space="preserve">RUM is deployed via OneAgent browser injection or manual JavaScript tag for all in-scope web applications.</w:t>
      </w:r>
    </w:p>
    <w:p>
      <w:pPr>
        <w:pStyle w:val="ListParagraph"/>
        <w:numPr>
          <w:ilvl w:val="0"/>
          <w:numId w:val="2"/>
        </w:numPr>
        <w:spacing w:after="40" w:before="40"/>
      </w:pPr>
      <w:r>
        <w:rPr>
          <w:rFonts w:ascii="Arial" w:cs="Arial" w:eastAsia="Arial" w:hAnsi="Arial"/>
          <w:color w:val="1A1A2E"/>
          <w:sz w:val="20"/>
          <w:szCs w:val="20"/>
        </w:rPr>
        <w:t xml:space="preserve">Session Replay is enabled only where there is a confirmed business need or an active incident requiring troubleshooting. All input fields and user-identifiable content must be fully suppressed using Dynatrace content blocking rules at the point of capture.</w:t>
      </w:r>
    </w:p>
    <w:p>
      <w:pPr>
        <w:pStyle w:val="ListParagraph"/>
        <w:numPr>
          <w:ilvl w:val="0"/>
          <w:numId w:val="2"/>
        </w:numPr>
        <w:spacing w:after="40" w:before="40"/>
      </w:pPr>
      <w:r>
        <w:rPr>
          <w:rFonts w:ascii="Arial" w:cs="Arial" w:eastAsia="Arial" w:hAnsi="Arial"/>
          <w:color w:val="1A1A2E"/>
          <w:sz w:val="20"/>
          <w:szCs w:val="20"/>
        </w:rPr>
        <w:t xml:space="preserve">User Action Naming rules must use technical and structural identifiers only (e.g., page URL patterns, DOM element types). User names, account IDs, or any personal identifiers must not appear in action names.</w:t>
      </w:r>
    </w:p>
    <w:p>
      <w:pPr>
        <w:pStyle w:val="ListParagraph"/>
        <w:numPr>
          <w:ilvl w:val="0"/>
          <w:numId w:val="2"/>
        </w:numPr>
        <w:spacing w:after="40" w:before="40"/>
      </w:pPr>
      <w:r>
        <w:rPr>
          <w:rFonts w:ascii="Arial" w:cs="Arial" w:eastAsia="Arial" w:hAnsi="Arial"/>
          <w:color w:val="1A1A2E"/>
          <w:sz w:val="20"/>
          <w:szCs w:val="20"/>
        </w:rPr>
        <w:t xml:space="preserve">USQL queries must target aggregate behavioural patterns only. Queries must not reference or reconstruct individual user identity.</w:t>
      </w:r>
    </w:p>
    <w:p>
      <w:pPr>
        <w:pStyle w:val="ListParagraph"/>
        <w:numPr>
          <w:ilvl w:val="0"/>
          <w:numId w:val="2"/>
        </w:numPr>
        <w:spacing w:after="40" w:before="40"/>
      </w:pPr>
      <w:r>
        <w:rPr>
          <w:rFonts w:ascii="Arial" w:cs="Arial" w:eastAsia="Arial" w:hAnsi="Arial"/>
          <w:color w:val="1A1A2E"/>
          <w:sz w:val="20"/>
          <w:szCs w:val="20"/>
        </w:rPr>
        <w:t xml:space="preserve">Core Web Vitals (LCP, FID, CLS) and aggregate performance metrics are fully permitted as they contain no personal data.</w:t>
      </w:r>
    </w:p>
    <w:p>
      <w:pPr>
        <w:pStyle w:val="ListParagraph"/>
        <w:numPr>
          <w:ilvl w:val="0"/>
          <w:numId w:val="2"/>
        </w:numPr>
        <w:spacing w:after="40" w:before="40"/>
      </w:pPr>
      <w:r>
        <w:rPr>
          <w:rFonts w:ascii="Arial" w:cs="Arial" w:eastAsia="Arial" w:hAnsi="Arial"/>
          <w:color w:val="1A1A2E"/>
          <w:sz w:val="20"/>
          <w:szCs w:val="20"/>
        </w:rPr>
        <w:t xml:space="preserve">The Observability Team conducts quarterly audits of all RUM and Session Replay configurations to confirm no PII leakage.</w:t>
      </w:r>
    </w:p>
    <w:p>
      <w:pPr>
        <w:spacing w:after="0" w:before="40"/>
      </w:pPr>
      <w:r>
        <w:t xml:space="preserve"/>
      </w:r>
    </w:p>
    <w:p>
      <w:pPr>
        <w:pStyle w:val="Heading2"/>
        <w:spacing w:after="80" w:before="240"/>
      </w:pPr>
      <w:r>
        <w:rPr>
          <w:rFonts w:ascii="Arial" w:cs="Arial" w:eastAsia="Arial" w:hAnsi="Arial"/>
          <w:b/>
          <w:bCs/>
          <w:color w:val="1A1A2E"/>
          <w:sz w:val="26"/>
          <w:szCs w:val="26"/>
        </w:rPr>
        <w:t xml:space="preserve">5.6 No-PII Policy — Enforcement Standards</w:t>
      </w:r>
    </w:p>
    <w:p>
      <w:pPr>
        <w:pStyle w:val="ListParagraph"/>
        <w:numPr>
          <w:ilvl w:val="0"/>
          <w:numId w:val="2"/>
        </w:numPr>
        <w:spacing w:after="40" w:before="40"/>
      </w:pPr>
      <w:r>
        <w:rPr>
          <w:rFonts w:ascii="Arial" w:cs="Arial" w:eastAsia="Arial" w:hAnsi="Arial"/>
          <w:b/>
          <w:bCs/>
          <w:color w:val="1A1A2E"/>
          <w:sz w:val="20"/>
          <w:szCs w:val="20"/>
        </w:rPr>
        <w:t xml:space="preserve">No personally identifiable information is to be transmitted to Dynatrace. This applies to all data types: metrics, logs, traces, RUM, and session replay.: </w:t>
      </w:r>
      <w:r>
        <w:rPr>
          <w:rFonts w:ascii="Arial" w:cs="Arial" w:eastAsia="Arial" w:hAnsi="Arial"/>
          <w:color w:val="1A1A2E"/>
          <w:sz w:val="20"/>
          <w:szCs w:val="20"/>
        </w:rPr>
        <w:t xml:space="preserve">No-PII Mandate</w:t>
      </w:r>
    </w:p>
    <w:p>
      <w:pPr>
        <w:pStyle w:val="ListParagraph"/>
        <w:numPr>
          <w:ilvl w:val="0"/>
          <w:numId w:val="2"/>
        </w:numPr>
        <w:spacing w:after="40" w:before="40"/>
      </w:pPr>
      <w:r>
        <w:rPr>
          <w:rFonts w:ascii="Arial" w:cs="Arial" w:eastAsia="Arial" w:hAnsi="Arial"/>
          <w:b/>
          <w:bCs/>
          <w:color w:val="1A1A2E"/>
          <w:sz w:val="20"/>
          <w:szCs w:val="20"/>
        </w:rPr>
        <w:t xml:space="preserve">PII must be blocked via Dynatrace Request Attribute rules and content blocking rules before transmission. Dynatrace must not receive any HTTP parameters, headers, or body fields that could contain personal data.: </w:t>
      </w:r>
      <w:r>
        <w:rPr>
          <w:rFonts w:ascii="Arial" w:cs="Arial" w:eastAsia="Arial" w:hAnsi="Arial"/>
          <w:color w:val="1A1A2E"/>
          <w:sz w:val="20"/>
          <w:szCs w:val="20"/>
        </w:rPr>
        <w:t xml:space="preserve">PII Blocking at Source</w:t>
      </w:r>
    </w:p>
    <w:p>
      <w:pPr>
        <w:pStyle w:val="ListParagraph"/>
        <w:numPr>
          <w:ilvl w:val="0"/>
          <w:numId w:val="2"/>
        </w:numPr>
        <w:spacing w:after="40" w:before="40"/>
      </w:pPr>
      <w:r>
        <w:rPr>
          <w:rFonts w:ascii="Arial" w:cs="Arial" w:eastAsia="Arial" w:hAnsi="Arial"/>
          <w:b/>
          <w:bCs/>
          <w:color w:val="1A1A2E"/>
          <w:sz w:val="20"/>
          <w:szCs w:val="20"/>
        </w:rPr>
        <w:t xml:space="preserve">All observability data is encrypted in transit (TLS 1.2+) and at rest within Dynatrace.: </w:t>
      </w:r>
      <w:r>
        <w:rPr>
          <w:rFonts w:ascii="Arial" w:cs="Arial" w:eastAsia="Arial" w:hAnsi="Arial"/>
          <w:color w:val="1A1A2E"/>
          <w:sz w:val="20"/>
          <w:szCs w:val="20"/>
        </w:rPr>
        <w:t xml:space="preserve">Encryption</w:t>
      </w:r>
    </w:p>
    <w:p>
      <w:pPr>
        <w:pStyle w:val="ListParagraph"/>
        <w:numPr>
          <w:ilvl w:val="0"/>
          <w:numId w:val="2"/>
        </w:numPr>
        <w:spacing w:after="40" w:before="40"/>
      </w:pPr>
      <w:r>
        <w:rPr>
          <w:rFonts w:ascii="Arial" w:cs="Arial" w:eastAsia="Arial" w:hAnsi="Arial"/>
          <w:b/>
          <w:bCs/>
          <w:color w:val="1A1A2E"/>
          <w:sz w:val="20"/>
          <w:szCs w:val="20"/>
        </w:rPr>
        <w:t xml:space="preserve">RBAC is enforced for all Dynatrace access. Permissions are reviewed quarterly by the Security Team.: </w:t>
      </w:r>
      <w:r>
        <w:rPr>
          <w:rFonts w:ascii="Arial" w:cs="Arial" w:eastAsia="Arial" w:hAnsi="Arial"/>
          <w:color w:val="1A1A2E"/>
          <w:sz w:val="20"/>
          <w:szCs w:val="20"/>
        </w:rPr>
        <w:t xml:space="preserve">Access Controls</w:t>
      </w:r>
    </w:p>
    <w:p>
      <w:pPr>
        <w:pStyle w:val="ListParagraph"/>
        <w:numPr>
          <w:ilvl w:val="0"/>
          <w:numId w:val="2"/>
        </w:numPr>
        <w:spacing w:after="40" w:before="40"/>
      </w:pPr>
      <w:r>
        <w:rPr>
          <w:rFonts w:ascii="Arial" w:cs="Arial" w:eastAsia="Arial" w:hAnsi="Arial"/>
          <w:b/>
          <w:bCs/>
          <w:color w:val="1A1A2E"/>
          <w:sz w:val="20"/>
          <w:szCs w:val="20"/>
        </w:rPr>
        <w:t xml:space="preserve">Retention periods are defined per data type in Section 10. Outdated data is purged on schedule.: </w:t>
      </w:r>
      <w:r>
        <w:rPr>
          <w:rFonts w:ascii="Arial" w:cs="Arial" w:eastAsia="Arial" w:hAnsi="Arial"/>
          <w:color w:val="1A1A2E"/>
          <w:sz w:val="20"/>
          <w:szCs w:val="20"/>
        </w:rPr>
        <w:t xml:space="preserve">Data Retention</w:t>
      </w:r>
    </w:p>
    <w:p>
      <w:pPr>
        <w:pStyle w:val="ListParagraph"/>
        <w:numPr>
          <w:ilvl w:val="0"/>
          <w:numId w:val="2"/>
        </w:numPr>
        <w:spacing w:after="40" w:before="40"/>
      </w:pPr>
      <w:r>
        <w:rPr>
          <w:rFonts w:ascii="Arial" w:cs="Arial" w:eastAsia="Arial" w:hAnsi="Arial"/>
          <w:b/>
          <w:bCs/>
          <w:color w:val="1A1A2E"/>
          <w:sz w:val="20"/>
          <w:szCs w:val="20"/>
        </w:rPr>
        <w:t xml:space="preserve">The Observability Team and Security Team conduct a joint configuration audit every six months to verify no PII leakage across all data collection points.: </w:t>
      </w:r>
      <w:r>
        <w:rPr>
          <w:rFonts w:ascii="Arial" w:cs="Arial" w:eastAsia="Arial" w:hAnsi="Arial"/>
          <w:color w:val="1A1A2E"/>
          <w:sz w:val="20"/>
          <w:szCs w:val="20"/>
        </w:rPr>
        <w:t xml:space="preserve">Bi-Annual Audit</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6. Dynatrace Infrastructure Monitoring</w:t>
      </w:r>
    </w:p>
    <w:p>
      <w:pPr>
        <w:spacing w:after="60" w:before="60"/>
      </w:pPr>
      <w:r>
        <w:rPr>
          <w:rFonts w:ascii="Arial" w:cs="Arial" w:eastAsia="Arial" w:hAnsi="Arial"/>
          <w:color w:val="1A1A2E"/>
          <w:sz w:val="20"/>
          <w:szCs w:val="20"/>
        </w:rPr>
        <w:t xml:space="preserve">The following tables define the mandatory monitoring standards for each infrastructure domain. The Dynatrace Implementation column defines the required configuration approach and is binding policy. All thresholds are starting points; the Observability Team reviews and adjusts these quarterly based on observed baselines.</w:t>
      </w:r>
    </w:p>
    <w:p>
      <w:pPr>
        <w:spacing w:after="0" w:before="80"/>
      </w:pPr>
      <w:r>
        <w:t xml:space="preserve"/>
      </w:r>
    </w:p>
    <w:p>
      <w:pPr>
        <w:pStyle w:val="Heading2"/>
        <w:spacing w:after="80" w:before="240"/>
      </w:pPr>
      <w:r>
        <w:rPr>
          <w:rFonts w:ascii="Arial" w:cs="Arial" w:eastAsia="Arial" w:hAnsi="Arial"/>
          <w:b/>
          <w:bCs/>
          <w:color w:val="1A1A2E"/>
          <w:sz w:val="26"/>
          <w:szCs w:val="26"/>
        </w:rPr>
        <w:t xml:space="preserve">6.1 Server Monitoring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CPU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Sustained &gt;70–80% warrants investigation. Adaptive baseline used for anomaly detection.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auto-collects. Anomaly Detection configured per host group with adaptive or fixed thresholds.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Memory Utilization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 physical RAM. Alert on sustained high usage or unexpected growth.</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OneAgent collects automatically. Memory anomaly detection thresholds configured per environment tier.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Disk I/O Throughput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Watch for sustained high read/write rates and latency indicating storage bottlenecks.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collects disk read/write bytes and latency. Metric Events configured for threshold breaches.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Disk Space Usage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Alert at predefined thresholds to proactively address capacity issues.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Metric Event alerts set at 80% (warning) and 90% (critical) per host.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Network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sustained high traffic, especially during peak periods.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collects interface utilization. Supplemented with NPM module for deep network visibility.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Response Time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Targets set per SLA. Monitor deviations from expected performance.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OS-level response via host metrics. Service-level via Dynatrace Service Response Time SLOs.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Error Rates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Set acceptable thresholds; alert on increases beyond baseline.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automatically detects error rate anomalies per service. Failure rate thresholds defined in Anomaly Detection.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OS Services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All auto-start OS and application services monitored continuously.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Process Availability monitoring auto-detects process groups. Availability Alerts defined for critical services.</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6.2 Hypervisor Monitoring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CPU Usage (Host)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utilization nearing total available CPU capacity.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on hypervisor host. VMware vSphere or Hyper-V integration provides hypervisor-level metrics.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Memory Usage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Ensure allocations do not exceed available physical memory.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Host memory allocation via Dynatrace. Balloon/swap metrics monitored via hypervisor integration.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Disk I/O Throughput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Sustained high disk rates indicate storage performance issues.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Collected via hypervisor integration. Metric Events alert on sustained I/O latency.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Network Throughput</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sustained high traffic; ensure adequate provisioning.</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OneAgent or hypervisor integration provides interface metrics.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Hypervisor Load Average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Sustained values above capacity thresholds indicate performance issues.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Collected via vSphere/Hyper-V extension. Visualised per-host in Dynatrace dashboards.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VM Density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VM count per host; ensure even distribution to avoid overload.</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Smartscape auto-maps VM-to-host relationships. VM density per host dashboarded.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Hypervisor Availability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Aim for high availability and minimal downtime.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Host availability monitored automatically. Availability alerts with ServiceNow routing configured.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Resource Overcommitment</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CPU/memory overcommitment ratios; avoid excessive allocation.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Derived from OneAgent and hypervisor metrics. Custom dashboard metric tiles for ratio tracking.</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6.3 Network Monitoring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Bandwidth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sustained high utilization, especially at peak times.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NPM module or SNMP extensions via ActiveGate. Metric Events for threshold breaches.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Network Latency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Alert on increases beyond acceptable levels.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Latency between monitored hosts measured automatically by OneAgent. Supplemented with Synthetic tests for external paths.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Network Errors &amp; Discards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Alert on abnormal spikes in errors and discards.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SNMP extensions via Dynatrace ActiveGate. Metric Events for threshold breaches.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Packet Loss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Alert on sustained packet loss exceeding acceptable levels.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Synthetic Network Availability tests. NPM or SNMP data for internal paths.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Interface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Alert on sustained high utilization on critical interfaces.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SNMP extension or NPM provides per-interface metrics. Critical interfaces dashboarded separately.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Network Jitter</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Aim for consistent, low jitter levels.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Captured via Dynatrace Synthetic HTTP/browser monitors measuring response time variance across locations.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TCP/UDP Performance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throughput, retransmissions, and connection times.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captures TCP retransmissions and connection metrics per service.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QoS Metrics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for QoS policy violations and degradation.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Network device QoS data integrated via SNMP extension. Visualised in custom dashboards.</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6.4 Database Monitoring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Throughput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transaction/query processing rate; ensure it meets SLA expectations.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auto-discovers databases (SQL Server, Oracle, MySQL, PostgreSQL, MongoDB). Service throughput visible in Database Statements view.</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Response Time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Alert on increases beyond acceptable levels.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Database response time captured per statement. Anomaly Detection configured per database service.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Concurrency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simultaneous connections; ensure peak load capability.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Connection pool metrics via OneAgent. Alert on pool exhaustion via Metric Events.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Lock Waits &amp; Deadlocks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and resolve increases in lock waits and deadlocks.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Lock wait events captured in PurePath traces. Correlated with slow queries in Database Diagnostics.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Buffer Cache Hit Ratio</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Optimise memory configurations based on cache hit trends.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Available via database extension metrics. Alerts on ratio degradation.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Disk I/O Throughput</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Alert on sustained high disk rates indicating storage issues.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Collected via OneAgent host metrics and database-specific extensions.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Query Execution Time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Set targets and alert on slow queries.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Top Database Statements by execution time captured automatically. Thresholds in service Anomaly Detection.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Index Usage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index usage patterns; optimise for performance.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highlights expensive queries lacking index use in Database Diagnostics.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Database Size &amp; Growth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Ensure sufficient storage; alert on rapid growth.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Collected via database extension or custom metric API push. Trended in custom dashboards.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Backup &amp; Restore Performance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backup and restore operation times.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Backup job outcomes integrated via custom events API or log ingestion. Alert on failures or duration anomalies.</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6.5 Azure &amp; AWS Cloud Metrics</w:t>
      </w:r>
    </w:p>
    <w:p>
      <w:pPr>
        <w:spacing w:after="0" w:before="40"/>
      </w:pPr>
      <w:r>
        <w:t xml:space="preserve"/>
      </w:r>
    </w:p>
    <w:p>
      <w:pPr>
        <w:spacing w:after="60" w:before="180"/>
      </w:pPr>
      <w:r>
        <w:rPr>
          <w:rFonts w:ascii="Arial" w:cs="Arial" w:eastAsia="Arial" w:hAnsi="Arial"/>
          <w:b/>
          <w:bCs/>
          <w:color w:val="00A3E0"/>
          <w:sz w:val="22"/>
          <w:szCs w:val="22"/>
        </w:rPr>
        <w:t xml:space="preserve">Microsoft Azure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Compute (VMs &amp; VMSS)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CPU %, memory %, disk read/write bytes, network in/out, availability.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Azure integration via Azure Monitor API configured at subscription level. OneAgent deployed on all Azure VMs for full-stack visibility.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App Services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Response time, HTTP error rate, CPU%, memory%, requests/sec, connections.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auto-instruments Azure App Service via OneAgent site extension.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SQL / Managed Instance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DTU/vCore usage, connection count, deadlocks, query duration, storage %.</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Azure SQL extension pulls metrics via Azure Monitor. Correlated with PurePath for query-level detail.</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Kubernetes Service (AKS)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Node CPU/memory, pod restarts, container resource limits, cluster health.</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Operator deployed on AKS. Nodes, namespaces, workloads, and services monitored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Load Balancer / App Gateway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Request count, latency, failed requests, throughput, health probe status.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Monitor integration. Alert on failed probe thresholds and latency degradation.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Storage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Availability, transactions, latency, capacity, egress/ingress bytes.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Monitor integration. Alert on availability drops and capacity thresholds.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Service Bus / Event Hubs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Message count, dead-letter queue depth, throttled requests, processing latency.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Monitor integration. Critical for messaging-dependent application monitoring.</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Key Vault</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API hit count, latency, availability, saturation.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Monitor integration. Alert on availability degradation or abnormal access patterns.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Network (VNet / NSG / ExpressRoute)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Packet drops, bandwidth utilization, BGP route count, circuit availability.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Azure Network Watcher metrics via Azure Monitor integration. Supplemented with Dynatrace Synthetic for connectivity validation.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Monitor Alerts (pass-through)</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Platform alerts from Defender, Security Centre, Policy compliance.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Azure Monitor alert forwarding to Dynatrace via webhook/API for unified Problem correlation.</w:t>
            </w:r>
          </w:p>
        </w:tc>
      </w:tr>
    </w:tbl>
    <w:p>
      <w:pPr>
        <w:spacing w:after="0" w:before="60"/>
      </w:pPr>
      <w:r>
        <w:t xml:space="preserve"/>
      </w:r>
    </w:p>
    <w:p>
      <w:pPr>
        <w:spacing w:after="60" w:before="180"/>
      </w:pPr>
      <w:r>
        <w:rPr>
          <w:rFonts w:ascii="Arial" w:cs="Arial" w:eastAsia="Arial" w:hAnsi="Arial"/>
          <w:b/>
          <w:bCs/>
          <w:color w:val="00A3E0"/>
          <w:sz w:val="22"/>
          <w:szCs w:val="22"/>
        </w:rPr>
        <w:t xml:space="preserve">Amazon Web Services (AWS)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EC2 Instances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CPU utilization, status checks, network in/out, disk read/write, EBS latency.</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AWS integration via CloudWatch. OneAgent deployed on EC2 for full-stack visibility. IAM role with least-privilege CloudWatch read permissions is mandatory.</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ECS / EKS (Containers)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Task CPU/memory, container restarts, cluster health, service availability.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Operator deployed on EKS via Helm chart. ECS uses OneAgent sidecar container pattern.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RDS / Aurora</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CPU%, free storage, IOPS, read/write latency, connections, replication lag.</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AWS integration pulls RDS metrics from CloudWatch. Correlated with application service calls.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Elastic Load Balancing (ALB/NLB)</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Request count, latency, HTTP 5xx rate, healthy host count, processed bytes.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CloudWatch integration. Alert on 5xx rate and unhealthy host thresholds via Dynatrace Metric Events.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Lambda (Serverless)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Invocations, errors, duration, throttles, concurrent executions.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AWS Lambda layer applied to all production Lambda functions for PurePath tracing.</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S3</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Request count, error rate, latency, bytes downloaded/uploaded, bucket size.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CloudWatch S3 metrics via Dynatrace AWS integration. Alert on error rate spikes and latency anomalies.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SQS / SNS / Kinesis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Message count, queue depth, oldest message age, throttles, delivery failures.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CloudWatch integration. Dead-letter queue depth is a key alert threshold for async processing pipelines.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CloudFront (CDN)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Cache hit ratio, origin latency, error rate, request count, bytes transferred.</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CloudWatch integration. Monitor CDN effectiveness and origin offload ratio.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AWS Network (VPC / Direct Connect)</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VPC flow log anomalies, Transit Gateway packet drops, Direct Connect circuit health.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CloudWatch and VPC Flow Logs integration. Supplemented with Dynatrace Synthetic for cross-region path testing.</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CloudWatch Alarms (pass-through)</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GuardDuty findings, Security Hub alerts, Config compliance changes.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CloudWatch Alarms forwarded to Dynatrace via SNS and webhook for unified Problem correlation.</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6.6 NetApp Storage Monitoring</w:t>
      </w:r>
    </w:p>
    <w:p>
      <w:pPr>
        <w:spacing w:after="60" w:before="60"/>
      </w:pPr>
      <w:r>
        <w:rPr>
          <w:rFonts w:ascii="Arial" w:cs="Arial" w:eastAsia="Arial" w:hAnsi="Arial"/>
          <w:color w:val="1A1A2E"/>
          <w:sz w:val="20"/>
          <w:szCs w:val="20"/>
        </w:rPr>
        <w:t xml:space="preserve">NetApp storage systems are monitored via the Dynatrace ONTAP extension deployed on an ActiveGate instance with network access to the ONTAP management LIF. Credentials are stored in the Dynatrace credentials vault. A dedicated Management Zone is maintained for NetApp storage entities.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Aggregate / Volume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Used capacity %, available capacity, snapshot reserve usage. Alert at 75% (warning) and 90% (critical) per volume.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NetApp ONTAP REST API extension via Dynatrace ActiveGate. Metric Events configured for both thresholds.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IOPS (Read/Write)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Read IOPS, write IOPS, total IOPS per volume and aggregate. Trend against baseline; alert on sustained deviation.</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REST API. Dynatrace Metric Events for threshold breaches.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Latency (Read/Write)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Average read/write latency per volume and LUN. Thresholds per workload tier: &lt;2ms for tier-1 databases, &lt;10ms general.</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ONTAP REST API. SLOs defined per workload tier in Dynatrace.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Throughput (MB/s)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Read/write/total throughput per volume. Alert on sustained saturation against controller limits.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REST API. Trended in Dynatrace dashboards per volume.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Snapshot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Snapshot space used, count per volume, snapshot reserve %. Alert before autodelete threshold.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ONTAP REST API extension. Alert prevents volumes going offline.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Controller CPU &amp; Memory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Node CPU %, NVRAM usage, system memory pressure.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node metrics via REST API. High CPU indicates I/O contention.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Disk / Shelf Health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Disk status (normal/failed/spare), shelf temperature, fan/PSU status.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ONTAP hardware health via REST API. Disk failure triggers immediate P1 alert routed to ServiceNow.</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NFS / CIFS / iSCSI / FCP Performance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Protocol-specific operation count, latency, errors per protocol.</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Collected per protocol to identify workload-specific bottlenecks.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SnapMirror Replication Lag</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Replication lag time, transfer bytes, transfer errors, relationship health.</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Critical for DR readiness. Alert on lag exceeding RPO thresholds defined per application SLA.</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Cluster Interconnect Health</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Cluster network throughput, latency, errors between HA pair nodes.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cluster metrics. Degraded interconnect directly impacts failover capability.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Volume QoS Policy Compliance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Actual IOPS vs policy ceiling, throttle events.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Alert on sustained throttling indicating QoS misconfiguration or demand growth.</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EMS Events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EMS events: errors, warnings, informational system events.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ONTAP EMS events forwarded to Dynatrace via log ingest API. Critical events (disk failure, aggregate full, SnapMirror broken) auto-create ServiceNow P1 incidents.</w:t>
            </w:r>
          </w:p>
        </w:tc>
      </w:tr>
    </w:tbl>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7. Dynatrace Application Monitoring</w:t>
      </w:r>
    </w:p>
    <w:p>
      <w:pPr>
        <w:spacing w:after="60" w:before="60"/>
      </w:pPr>
      <w:r>
        <w:rPr>
          <w:rFonts w:ascii="Arial" w:cs="Arial" w:eastAsia="Arial" w:hAnsi="Arial"/>
          <w:color w:val="1A1A2E"/>
          <w:sz w:val="20"/>
          <w:szCs w:val="20"/>
        </w:rPr>
        <w:t xml:space="preserve">Application monitoring covers all in-scope applications and microservices. OneAgent provides automatic full-stack instrumentation for supported technologies. OpenTelemetry integration is used for custom and unsupported services. All application monitoring configurations are maintained by the Observability Team in coordination with Application Teams.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32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Response Time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Alert on increases beyond acceptable levels. Adaptive baseline with fixed SLO targets (e.g., &lt;500ms p95) for critical services.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service-level response time. SLOs defined per application service and tier.</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Throughput</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processing rate over time. Alert on unexpected drops.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captures requests/min per service automatically. Trended in dashboards.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Error Rate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Prioritise resolution of error rate increases. Thresholds set per service tier (production vs non-production).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auto-detects error rate anomalies. Failure rate thresholds defined in Anomaly Detection.</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Transaction Success Rate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and investigate causes of transaction failures.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Key Requests defined for critical transactions. Success rate monitored via Dynatrace SLOs.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Resource Utilization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Ensure resources are scaled appropriately for each application.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captures per-process CPU and memory. Correlated with service metrics for right-sizing decisions.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Latency</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Minimise latency for optimal user experience.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captures percentile latency (p50, p75, p90, p95, p99) per service. Used for SLO definition.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Database Query Performance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slow queries; optimise indexes and execution plans.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Database Diagnostics provides top slow statements with execution context and caller trace.</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API Response Time</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Ensure timely communication with external services.</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monitors outbound service calls automatically. Alert on external dependency degradation.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Memory Leaks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Investigate increases in memory usage and potential leaks.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OneAgent monitors process memory continuously. Davis AI flags sustained memory growth as anomalies.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Real User Monitoring (RUM)</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Monitor user sessions, activity, and funnel performance. No PII data collected.</w:t>
            </w:r>
          </w:p>
        </w:tc>
        <w:tc>
          <w:tcPr>
            <w:tcW w:type="dxa" w:w="32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RUM captures session duration, user actions, and funnel metrics via USQL.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Synthetics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Monitor response times, latency, and success rates of synthetic transactions.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Synthetic Monitors run continuously. Results tied to Dynatrace SLOs for availability reporting.</w:t>
            </w:r>
          </w:p>
        </w:tc>
      </w:tr>
    </w:tbl>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8. Alerting, Automation &amp; Davis AI</w:t>
      </w:r>
    </w:p>
    <w:p>
      <w:pPr>
        <w:pStyle w:val="Heading2"/>
        <w:spacing w:after="80" w:before="240"/>
      </w:pPr>
      <w:r>
        <w:rPr>
          <w:rFonts w:ascii="Arial" w:cs="Arial" w:eastAsia="Arial" w:hAnsi="Arial"/>
          <w:b/>
          <w:bCs/>
          <w:color w:val="1A1A2E"/>
          <w:sz w:val="26"/>
          <w:szCs w:val="26"/>
        </w:rPr>
        <w:t xml:space="preserve">8.1 Alerting Policy</w:t>
      </w:r>
    </w:p>
    <w:p>
      <w:pPr>
        <w:spacing w:after="60" w:before="60"/>
      </w:pPr>
      <w:r>
        <w:rPr>
          <w:rFonts w:ascii="Arial" w:cs="Arial" w:eastAsia="Arial" w:hAnsi="Arial"/>
          <w:color w:val="1A1A2E"/>
          <w:sz w:val="20"/>
          <w:szCs w:val="20"/>
        </w:rPr>
        <w:t xml:space="preserve">All alerts must be actionable, threshold-defined, and routed to the appropriate team via ServiceNow. False positive rates are minimised through Davis AI adaptive baselines. Alert storms are eliminated by Davis AI Problem correlation, which groups related anomalies into a single Problem record.</w:t>
      </w:r>
    </w:p>
    <w:p>
      <w:pPr>
        <w:spacing w:after="0" w:before="40"/>
      </w:pPr>
      <w:r>
        <w:t xml:space="preserve"/>
      </w:r>
    </w:p>
    <w:p>
      <w:pPr>
        <w:pStyle w:val="ListParagraph"/>
        <w:numPr>
          <w:ilvl w:val="0"/>
          <w:numId w:val="2"/>
        </w:numPr>
        <w:spacing w:after="40" w:before="40"/>
      </w:pPr>
      <w:r>
        <w:rPr>
          <w:rFonts w:ascii="Arial" w:cs="Arial" w:eastAsia="Arial" w:hAnsi="Arial"/>
          <w:color w:val="1A1A2E"/>
          <w:sz w:val="20"/>
          <w:szCs w:val="20"/>
        </w:rPr>
        <w:t xml:space="preserve">Davis AI is the primary alerting engine. Davis correlates anomalies into unified Problems rather than individual alerts, reducing noise and providing root-cause context.</w:t>
      </w:r>
    </w:p>
    <w:p>
      <w:pPr>
        <w:pStyle w:val="ListParagraph"/>
        <w:numPr>
          <w:ilvl w:val="0"/>
          <w:numId w:val="2"/>
        </w:numPr>
        <w:spacing w:after="40" w:before="40"/>
      </w:pPr>
      <w:r>
        <w:rPr>
          <w:rFonts w:ascii="Arial" w:cs="Arial" w:eastAsia="Arial" w:hAnsi="Arial"/>
          <w:color w:val="1A1A2E"/>
          <w:sz w:val="20"/>
          <w:szCs w:val="20"/>
        </w:rPr>
        <w:t xml:space="preserve">Alerting Profiles in Dynatrace route Problems to the correct team: infrastructure Problems to Operations, application Problems to Application Teams, storage Problems to the Storage Team, and security events to the Security Team.</w:t>
      </w:r>
    </w:p>
    <w:p>
      <w:pPr>
        <w:pStyle w:val="ListParagraph"/>
        <w:numPr>
          <w:ilvl w:val="0"/>
          <w:numId w:val="2"/>
        </w:numPr>
        <w:spacing w:after="40" w:before="40"/>
      </w:pPr>
      <w:r>
        <w:rPr>
          <w:rFonts w:ascii="Arial" w:cs="Arial" w:eastAsia="Arial" w:hAnsi="Arial"/>
          <w:color w:val="1A1A2E"/>
          <w:sz w:val="20"/>
          <w:szCs w:val="20"/>
        </w:rPr>
        <w:t xml:space="preserve">All Dynatrace Problem notifications route to ServiceNow as the authoritative ticketing system. On-call paging (PagerDuty/OpsGenie) and team notifications (Microsoft Teams) are triggered from ServiceNow routing rules, not directly from Dynatrace.</w:t>
      </w:r>
    </w:p>
    <w:p>
      <w:pPr>
        <w:pStyle w:val="ListParagraph"/>
        <w:numPr>
          <w:ilvl w:val="0"/>
          <w:numId w:val="2"/>
        </w:numPr>
        <w:spacing w:after="40" w:before="40"/>
      </w:pPr>
      <w:r>
        <w:rPr>
          <w:rFonts w:ascii="Arial" w:cs="Arial" w:eastAsia="Arial" w:hAnsi="Arial"/>
          <w:color w:val="1A1A2E"/>
          <w:sz w:val="20"/>
          <w:szCs w:val="20"/>
        </w:rPr>
        <w:t xml:space="preserve">Maintenance Windows are configured in Dynatrace for all planned change windows to suppress alerting and prevent false ServiceNow incidents.</w:t>
      </w:r>
    </w:p>
    <w:p>
      <w:pPr>
        <w:pStyle w:val="ListParagraph"/>
        <w:numPr>
          <w:ilvl w:val="0"/>
          <w:numId w:val="2"/>
        </w:numPr>
        <w:spacing w:after="40" w:before="40"/>
      </w:pPr>
      <w:r>
        <w:rPr>
          <w:rFonts w:ascii="Arial" w:cs="Arial" w:eastAsia="Arial" w:hAnsi="Arial"/>
          <w:color w:val="1A1A2E"/>
          <w:sz w:val="20"/>
          <w:szCs w:val="20"/>
        </w:rPr>
        <w:t xml:space="preserve">Anomaly Detection settings are reviewed and tuned quarterly by the Observability Team to maintain alert quality as workloads evolve.</w:t>
      </w:r>
    </w:p>
    <w:p>
      <w:pPr>
        <w:spacing w:after="0" w:before="60"/>
      </w:pPr>
      <w:r>
        <w:t xml:space="preserve"/>
      </w:r>
    </w:p>
    <w:p>
      <w:pPr>
        <w:pStyle w:val="Heading2"/>
        <w:spacing w:after="80" w:before="240"/>
      </w:pPr>
      <w:r>
        <w:rPr>
          <w:rFonts w:ascii="Arial" w:cs="Arial" w:eastAsia="Arial" w:hAnsi="Arial"/>
          <w:b/>
          <w:bCs/>
          <w:color w:val="1A1A2E"/>
          <w:sz w:val="26"/>
          <w:szCs w:val="26"/>
        </w:rPr>
        <w:t xml:space="preserve">8.2 Automation &amp; Self-Healing</w:t>
      </w:r>
    </w:p>
    <w:p>
      <w:pPr>
        <w:spacing w:after="60" w:before="60"/>
      </w:pPr>
      <w:r>
        <w:rPr>
          <w:rFonts w:ascii="Arial" w:cs="Arial" w:eastAsia="Arial" w:hAnsi="Arial"/>
          <w:color w:val="1A1A2E"/>
          <w:sz w:val="20"/>
          <w:szCs w:val="20"/>
        </w:rPr>
        <w:t xml:space="preserve">Dynatrace Workflows provide automated remediation triggered by Davis AI Problems. All automated actions are tagged in Dynatrace Audit Logs for governance and compliance traceability. Automation does not replace human accountability — all automated actions must be reviewable and auditable.</w:t>
      </w:r>
    </w:p>
    <w:p>
      <w:pPr>
        <w:spacing w:after="0" w:before="40"/>
      </w:pPr>
      <w:r>
        <w:t xml:space="preserve"/>
      </w:r>
    </w:p>
    <w:p>
      <w:pPr>
        <w:pStyle w:val="ListParagraph"/>
        <w:numPr>
          <w:ilvl w:val="0"/>
          <w:numId w:val="2"/>
        </w:numPr>
        <w:spacing w:after="40" w:before="40"/>
      </w:pPr>
      <w:r>
        <w:rPr>
          <w:rFonts w:ascii="Arial" w:cs="Arial" w:eastAsia="Arial" w:hAnsi="Arial"/>
          <w:color w:val="1A1A2E"/>
          <w:sz w:val="20"/>
          <w:szCs w:val="20"/>
        </w:rPr>
        <w:t xml:space="preserve">Dynatrace Workflows are used to create automated remediation runbooks triggered by Davis AI Problem detection.</w:t>
      </w:r>
    </w:p>
    <w:p>
      <w:pPr>
        <w:pStyle w:val="ListParagraph"/>
        <w:numPr>
          <w:ilvl w:val="0"/>
          <w:numId w:val="2"/>
        </w:numPr>
        <w:spacing w:after="40" w:before="40"/>
      </w:pPr>
      <w:r>
        <w:rPr>
          <w:rFonts w:ascii="Arial" w:cs="Arial" w:eastAsia="Arial" w:hAnsi="Arial"/>
          <w:color w:val="1A1A2E"/>
          <w:sz w:val="20"/>
          <w:szCs w:val="20"/>
        </w:rPr>
        <w:t xml:space="preserve">Standard automations include: auto-restart of failed processes, cloud resource scaling on threshold breach, and isolation of degraded microservice instances.</w:t>
      </w:r>
    </w:p>
    <w:p>
      <w:pPr>
        <w:pStyle w:val="ListParagraph"/>
        <w:numPr>
          <w:ilvl w:val="0"/>
          <w:numId w:val="2"/>
        </w:numPr>
        <w:spacing w:after="40" w:before="40"/>
      </w:pPr>
      <w:r>
        <w:rPr>
          <w:rFonts w:ascii="Arial" w:cs="Arial" w:eastAsia="Arial" w:hAnsi="Arial"/>
          <w:color w:val="1A1A2E"/>
          <w:sz w:val="20"/>
          <w:szCs w:val="20"/>
        </w:rPr>
        <w:t xml:space="preserve">Dynatrace integrates with Ansible, Terraform, and AWS Lambda for infrastructure remediation workflows.</w:t>
      </w:r>
    </w:p>
    <w:p>
      <w:pPr>
        <w:pStyle w:val="ListParagraph"/>
        <w:numPr>
          <w:ilvl w:val="0"/>
          <w:numId w:val="2"/>
        </w:numPr>
        <w:spacing w:after="40" w:before="40"/>
      </w:pPr>
      <w:r>
        <w:rPr>
          <w:rFonts w:ascii="Arial" w:cs="Arial" w:eastAsia="Arial" w:hAnsi="Arial"/>
          <w:color w:val="1A1A2E"/>
          <w:sz w:val="20"/>
          <w:szCs w:val="20"/>
        </w:rPr>
        <w:t xml:space="preserve">All automation workflows are documented, version-controlled, and subject to change management approval before deployment to production.</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9. ServiceNow Integration Governance</w:t>
      </w:r>
    </w:p>
    <w:p>
      <w:pPr>
        <w:spacing w:after="60" w:before="60"/>
      </w:pPr>
      <w:r>
        <w:rPr>
          <w:rFonts w:ascii="Arial" w:cs="Arial" w:eastAsia="Arial" w:hAnsi="Arial"/>
          <w:color w:val="1A1A2E"/>
          <w:sz w:val="20"/>
          <w:szCs w:val="20"/>
        </w:rPr>
        <w:t xml:space="preserve">ServiceNow is the authoritative ITSM and ticketing system for all AJG IT operations. All observability-generated incidents, problems, changes, and events must flow through ServiceNow. Dynatrace is configured as the detection and enrichment layer; ServiceNow is the system of record for all work and resolution tracking. The Dynatrace-ServiceNow integration is owned by the Observability Team and is subject to change management.</w:t>
      </w:r>
    </w:p>
    <w:p>
      <w:pPr>
        <w:spacing w:after="0" w:before="60"/>
      </w:pPr>
      <w:r>
        <w:t xml:space="preserve"/>
      </w:r>
    </w:p>
    <w:p>
      <w:pPr>
        <w:pStyle w:val="Heading2"/>
        <w:spacing w:after="80" w:before="240"/>
      </w:pPr>
      <w:r>
        <w:rPr>
          <w:rFonts w:ascii="Arial" w:cs="Arial" w:eastAsia="Arial" w:hAnsi="Arial"/>
          <w:b/>
          <w:bCs/>
          <w:color w:val="1A1A2E"/>
          <w:sz w:val="26"/>
          <w:szCs w:val="26"/>
        </w:rPr>
        <w:t xml:space="preserve">9.1 Integration Architecture</w:t>
      </w:r>
    </w:p>
    <w:p>
      <w:pPr>
        <w:pStyle w:val="ListParagraph"/>
        <w:numPr>
          <w:ilvl w:val="0"/>
          <w:numId w:val="2"/>
        </w:numPr>
        <w:spacing w:after="40" w:before="40"/>
      </w:pPr>
      <w:r>
        <w:rPr>
          <w:rFonts w:ascii="Arial" w:cs="Arial" w:eastAsia="Arial" w:hAnsi="Arial"/>
          <w:color w:val="1A1A2E"/>
          <w:sz w:val="20"/>
          <w:szCs w:val="20"/>
        </w:rPr>
        <w:t xml:space="preserve">The Dynatrace Problem notification webhook is configured to call the ServiceNow REST API (Table API or IntegrationHub) upon Problem creation, update, and closure.</w:t>
      </w:r>
    </w:p>
    <w:p>
      <w:pPr>
        <w:pStyle w:val="ListParagraph"/>
        <w:numPr>
          <w:ilvl w:val="0"/>
          <w:numId w:val="2"/>
        </w:numPr>
        <w:spacing w:after="40" w:before="40"/>
      </w:pPr>
      <w:r>
        <w:rPr>
          <w:rFonts w:ascii="Arial" w:cs="Arial" w:eastAsia="Arial" w:hAnsi="Arial"/>
          <w:color w:val="1A1A2E"/>
          <w:sz w:val="20"/>
          <w:szCs w:val="20"/>
        </w:rPr>
        <w:t xml:space="preserve">A dedicated ServiceNow integration user account is used by Dynatrace. This account has the minimum permissions required: Incident Create, Incident Update, CMDB Read. Credentials are rotated every 90 days and stored in the Dynatrace credentials vault.</w:t>
      </w:r>
    </w:p>
    <w:p>
      <w:pPr>
        <w:pStyle w:val="ListParagraph"/>
        <w:numPr>
          <w:ilvl w:val="0"/>
          <w:numId w:val="2"/>
        </w:numPr>
        <w:spacing w:after="40" w:before="40"/>
      </w:pPr>
      <w:r>
        <w:rPr>
          <w:rFonts w:ascii="Arial" w:cs="Arial" w:eastAsia="Arial" w:hAnsi="Arial"/>
          <w:color w:val="1A1A2E"/>
          <w:sz w:val="20"/>
          <w:szCs w:val="20"/>
        </w:rPr>
        <w:t xml:space="preserve">All ServiceNow records created by Dynatrace carry a standard source identifier field value of 'Dynatrace' to support reporting and audit.</w:t>
      </w:r>
    </w:p>
    <w:p>
      <w:pPr>
        <w:pStyle w:val="ListParagraph"/>
        <w:numPr>
          <w:ilvl w:val="0"/>
          <w:numId w:val="2"/>
        </w:numPr>
        <w:spacing w:after="40" w:before="40"/>
      </w:pPr>
      <w:r>
        <w:rPr>
          <w:rFonts w:ascii="Arial" w:cs="Arial" w:eastAsia="Arial" w:hAnsi="Arial"/>
          <w:color w:val="1A1A2E"/>
          <w:sz w:val="20"/>
          <w:szCs w:val="20"/>
        </w:rPr>
        <w:t xml:space="preserve">The integration configuration is maintained as code in AJG's version control system and is subject to the standard change management process for all modifications.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9.2 Integration Governance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Integration Area</w:t>
            </w:r>
          </w:p>
        </w:tc>
        <w:tc>
          <w:tcPr>
            <w:tcW w:type="dxa" w:w="34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Configuration</w:t>
            </w:r>
          </w:p>
        </w:tc>
        <w:tc>
          <w:tcPr>
            <w:tcW w:type="dxa" w:w="348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ServiceNow Outcome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Incident Auto-Creation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Alerting Profile triggers a Problem notification webhook to the ServiceNow REST API on P1/P2 anomaly detection.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Incident record automatically created in ServiceNow with Davis AI root-cause summary, affected entities, impact scope, and Dynatrace deep link.</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Incident Priority Mapping</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Dynatrace Problem severity (AVAILABILITY, ERROR, SLOWDOWN, RESOURCE) mapped to ServiceNow Priority 1–4 via webhook payload field mapping.</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Correct priority assigned at creation. P1 (Availability) triggers on-call paging via ServiceNow notification rules.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Incident Enrichment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sends entity tags (application, environment, team, service) and Davis AI impact chain in the webhook payload.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ServiceNow incident pre-populated with assignment group, business service CI, and affected configuration items — no manual data entry required.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Auto-Close on Resolution</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Dynatrace Problem closure event triggers a PATCH request to ServiceNow REST API to update incident status.</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ServiceNow incident automatically moves to Resolved state when Dynatrace confirms the Problem is closed. MTTR captured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Change Management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Maintenance Windows synchronised with ServiceNow Change Records via API. Alert suppression active for change window duration.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suppresses alerts during approved change windows. Change completion re-enables alerting automatically.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Problem Management</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Recurring Dynatrace Problems (same root cause, &gt;3 occurrences in 30 days) trigger ServiceNow Problem record creation via workflow.</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Problem record linked to all related Incidents. Root-cause analysis documented with Dynatrace trend data and PurePath evidence.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CMDB Synchronisation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discovered entities (hosts, services, applications) synchronised to ServiceNow CMDB via Dynatrace CMDB integration or ServiceNow Discovery reconciliation.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CMDB Configuration Items kept current. Relationship maps reflect live Smartscape topology. Reduces stale CI data.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Event Management</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Non-incident Dynatrace events (informational, custom events) routed to ServiceNow Event Management module.</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Operations team maintains situational awareness without generating noise in the Incident queue.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SLO Breach Reporting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SLO breach events generate ServiceNow records via scheduled reporting workflow.</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SLA management team receives formal ServiceNow records for SLO breaches, supporting contractual reporting obligations.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Knowledge Base Integration</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Resolved Dynatrace Problems with documented resolution steps linked to ServiceNow Knowledge Articles.</w:t>
            </w:r>
          </w:p>
        </w:tc>
        <w:tc>
          <w:tcPr>
            <w:tcW w:type="dxa" w:w="348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Service Desk and Operations teams access resolution guidance directly from the incident, reducing repeat MTTR.</w:t>
            </w:r>
          </w:p>
        </w:tc>
      </w:tr>
    </w:tbl>
    <w:p>
      <w:pPr>
        <w:spacing w:after="0" w:before="60"/>
      </w:pPr>
      <w:r>
        <w:t xml:space="preserve"/>
      </w:r>
    </w:p>
    <w:p>
      <w:pPr>
        <w:pStyle w:val="Heading2"/>
        <w:spacing w:after="80" w:before="240"/>
      </w:pPr>
      <w:r>
        <w:rPr>
          <w:rFonts w:ascii="Arial" w:cs="Arial" w:eastAsia="Arial" w:hAnsi="Arial"/>
          <w:b/>
          <w:bCs/>
          <w:color w:val="1A1A2E"/>
          <w:sz w:val="26"/>
          <w:szCs w:val="26"/>
        </w:rPr>
        <w:t xml:space="preserve">9.3 Ticket Lifecycle &amp; Governance Rules</w:t>
      </w:r>
    </w:p>
    <w:p>
      <w:pPr>
        <w:pStyle w:val="ListParagraph"/>
        <w:numPr>
          <w:ilvl w:val="0"/>
          <w:numId w:val="2"/>
        </w:numPr>
        <w:spacing w:after="40" w:before="40"/>
      </w:pPr>
      <w:r>
        <w:rPr>
          <w:rFonts w:ascii="Arial" w:cs="Arial" w:eastAsia="Arial" w:hAnsi="Arial"/>
          <w:color w:val="1A1A2E"/>
          <w:sz w:val="20"/>
          <w:szCs w:val="20"/>
        </w:rPr>
        <w:t xml:space="preserve">Dynatrace-generated ServiceNow incidents must not be manually closed without verified resolution. Auto-close by the Dynatrace integration is permitted only upon confirmed Problem closure.</w:t>
      </w:r>
    </w:p>
    <w:p>
      <w:pPr>
        <w:pStyle w:val="ListParagraph"/>
        <w:numPr>
          <w:ilvl w:val="0"/>
          <w:numId w:val="2"/>
        </w:numPr>
        <w:spacing w:after="40" w:before="40"/>
      </w:pPr>
      <w:r>
        <w:rPr>
          <w:rFonts w:ascii="Arial" w:cs="Arial" w:eastAsia="Arial" w:hAnsi="Arial"/>
          <w:color w:val="1A1A2E"/>
          <w:sz w:val="20"/>
          <w:szCs w:val="20"/>
        </w:rPr>
        <w:t xml:space="preserve">All Dynatrace-generated incidents must include: Davis AI root-cause summary, list of affected entities, business impact scope, environment and application tags, and a deep link to the Dynatrace Problem view.</w:t>
      </w:r>
    </w:p>
    <w:p>
      <w:pPr>
        <w:pStyle w:val="ListParagraph"/>
        <w:numPr>
          <w:ilvl w:val="0"/>
          <w:numId w:val="2"/>
        </w:numPr>
        <w:spacing w:after="40" w:before="40"/>
      </w:pPr>
      <w:r>
        <w:rPr>
          <w:rFonts w:ascii="Arial" w:cs="Arial" w:eastAsia="Arial" w:hAnsi="Arial"/>
          <w:color w:val="1A1A2E"/>
          <w:sz w:val="20"/>
          <w:szCs w:val="20"/>
        </w:rPr>
        <w:t xml:space="preserve">ServiceNow Assignment Groups must be pre-mapped to Dynatrace Management Zones and entity tags. Incidents must not arrive in the generic unassigned queue.</w:t>
      </w:r>
    </w:p>
    <w:p>
      <w:pPr>
        <w:pStyle w:val="ListParagraph"/>
        <w:numPr>
          <w:ilvl w:val="0"/>
          <w:numId w:val="2"/>
        </w:numPr>
        <w:spacing w:after="40" w:before="40"/>
      </w:pPr>
      <w:r>
        <w:rPr>
          <w:rFonts w:ascii="Arial" w:cs="Arial" w:eastAsia="Arial" w:hAnsi="Arial"/>
          <w:color w:val="1A1A2E"/>
          <w:sz w:val="20"/>
          <w:szCs w:val="20"/>
        </w:rPr>
        <w:t xml:space="preserve">Escalation rules: P1 incidents auto-escalate to the Operations lead and Observability Team lead if not acknowledged within 15 minutes. P2 incidents auto-escalate within 30 minutes.</w:t>
      </w:r>
    </w:p>
    <w:p>
      <w:pPr>
        <w:pStyle w:val="ListParagraph"/>
        <w:numPr>
          <w:ilvl w:val="0"/>
          <w:numId w:val="2"/>
        </w:numPr>
        <w:spacing w:after="40" w:before="40"/>
      </w:pPr>
      <w:r>
        <w:rPr>
          <w:rFonts w:ascii="Arial" w:cs="Arial" w:eastAsia="Arial" w:hAnsi="Arial"/>
          <w:color w:val="1A1A2E"/>
          <w:sz w:val="20"/>
          <w:szCs w:val="20"/>
        </w:rPr>
        <w:t xml:space="preserve">ServiceNow SLA timers for Dynatrace-generated incidents start from the time the Dynatrace Problem is detected, not from the time the ServiceNow ticket is created.</w:t>
      </w:r>
    </w:p>
    <w:p>
      <w:pPr>
        <w:pStyle w:val="ListParagraph"/>
        <w:numPr>
          <w:ilvl w:val="0"/>
          <w:numId w:val="2"/>
        </w:numPr>
        <w:spacing w:after="40" w:before="40"/>
      </w:pPr>
      <w:r>
        <w:rPr>
          <w:rFonts w:ascii="Arial" w:cs="Arial" w:eastAsia="Arial" w:hAnsi="Arial"/>
          <w:color w:val="1A1A2E"/>
          <w:sz w:val="20"/>
          <w:szCs w:val="20"/>
        </w:rPr>
        <w:t xml:space="preserve">Quarterly reports on incident volume, MTTD, MTTR, auto-close rate, and false positive rate are generated from ServiceNow for the Observability governance review.</w:t>
      </w:r>
    </w:p>
    <w:p>
      <w:pPr>
        <w:spacing w:after="0" w:before="60"/>
      </w:pPr>
      <w:r>
        <w:t xml:space="preserve"/>
      </w:r>
    </w:p>
    <w:p>
      <w:pPr>
        <w:pStyle w:val="Heading2"/>
        <w:spacing w:after="80" w:before="240"/>
      </w:pPr>
      <w:r>
        <w:rPr>
          <w:rFonts w:ascii="Arial" w:cs="Arial" w:eastAsia="Arial" w:hAnsi="Arial"/>
          <w:b/>
          <w:bCs/>
          <w:color w:val="1A1A2E"/>
          <w:sz w:val="26"/>
          <w:szCs w:val="26"/>
        </w:rPr>
        <w:t xml:space="preserve">9.4 CMDB Synchronisation Policy</w:t>
      </w:r>
    </w:p>
    <w:p>
      <w:pPr>
        <w:pStyle w:val="ListParagraph"/>
        <w:numPr>
          <w:ilvl w:val="0"/>
          <w:numId w:val="2"/>
        </w:numPr>
        <w:spacing w:after="40" w:before="40"/>
      </w:pPr>
      <w:r>
        <w:rPr>
          <w:rFonts w:ascii="Arial" w:cs="Arial" w:eastAsia="Arial" w:hAnsi="Arial"/>
          <w:color w:val="1A1A2E"/>
          <w:sz w:val="20"/>
          <w:szCs w:val="20"/>
        </w:rPr>
        <w:t xml:space="preserve">Dynatrace discovered entities (hosts, services, applications) are synchronised to ServiceNow CMDB via the Dynatrace CMDB integration or ServiceNow Discovery reconciliation. CMDB is updated within 24 hours of a new entity being detected.</w:t>
      </w:r>
    </w:p>
    <w:p>
      <w:pPr>
        <w:pStyle w:val="ListParagraph"/>
        <w:numPr>
          <w:ilvl w:val="0"/>
          <w:numId w:val="2"/>
        </w:numPr>
        <w:spacing w:after="40" w:before="40"/>
      </w:pPr>
      <w:r>
        <w:rPr>
          <w:rFonts w:ascii="Arial" w:cs="Arial" w:eastAsia="Arial" w:hAnsi="Arial"/>
          <w:color w:val="1A1A2E"/>
          <w:sz w:val="20"/>
          <w:szCs w:val="20"/>
        </w:rPr>
        <w:t xml:space="preserve">Dynatrace Smartscape topology relationships are reflected in ServiceNow CMDB CI relationship maps. CI records that are absent from Dynatrace for more than 30 days are flagged for CMDB review.</w:t>
      </w:r>
    </w:p>
    <w:p>
      <w:pPr>
        <w:pStyle w:val="ListParagraph"/>
        <w:numPr>
          <w:ilvl w:val="0"/>
          <w:numId w:val="2"/>
        </w:numPr>
        <w:spacing w:after="40" w:before="40"/>
      </w:pPr>
      <w:r>
        <w:rPr>
          <w:rFonts w:ascii="Arial" w:cs="Arial" w:eastAsia="Arial" w:hAnsi="Arial"/>
          <w:color w:val="1A1A2E"/>
          <w:sz w:val="20"/>
          <w:szCs w:val="20"/>
        </w:rPr>
        <w:t xml:space="preserve">CMDB synchronisation is owned jointly by the Observability Team (Dynatrace configuration) and the Operations Team (CMDB data quality).</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10. Compliance, Security &amp; Privacy</w:t>
      </w:r>
    </w:p>
    <w:p>
      <w:pPr>
        <w:pStyle w:val="Heading2"/>
        <w:spacing w:after="80" w:before="240"/>
      </w:pPr>
      <w:r>
        <w:rPr>
          <w:rFonts w:ascii="Arial" w:cs="Arial" w:eastAsia="Arial" w:hAnsi="Arial"/>
          <w:b/>
          <w:bCs/>
          <w:color w:val="1A1A2E"/>
          <w:sz w:val="26"/>
          <w:szCs w:val="26"/>
        </w:rPr>
        <w:t xml:space="preserve">10.1 Regulatory Compliance</w:t>
      </w:r>
    </w:p>
    <w:p>
      <w:pPr>
        <w:pStyle w:val="ListParagraph"/>
        <w:numPr>
          <w:ilvl w:val="0"/>
          <w:numId w:val="2"/>
        </w:numPr>
        <w:spacing w:after="40" w:before="40"/>
      </w:pPr>
      <w:r>
        <w:rPr>
          <w:rFonts w:ascii="Arial" w:cs="Arial" w:eastAsia="Arial" w:hAnsi="Arial"/>
          <w:color w:val="1A1A2E"/>
          <w:sz w:val="20"/>
          <w:szCs w:val="20"/>
        </w:rPr>
        <w:t xml:space="preserve">Observability practices must comply with GDPR, HIPAA, PCI DSS, and all applicable AJG data governance standards.</w:t>
      </w:r>
    </w:p>
    <w:p>
      <w:pPr>
        <w:pStyle w:val="ListParagraph"/>
        <w:numPr>
          <w:ilvl w:val="0"/>
          <w:numId w:val="2"/>
        </w:numPr>
        <w:spacing w:after="40" w:before="40"/>
      </w:pPr>
      <w:r>
        <w:rPr>
          <w:rFonts w:ascii="Arial" w:cs="Arial" w:eastAsia="Arial" w:hAnsi="Arial"/>
          <w:color w:val="1A1A2E"/>
          <w:sz w:val="20"/>
          <w:szCs w:val="20"/>
        </w:rPr>
        <w:t xml:space="preserve">AJG operates a strict no-PII policy. No personally identifiable data is to be transmitted to or stored in Dynatrace. This requirement is absolute and applies to all environments, integrations, and monitoring types.</w:t>
      </w:r>
    </w:p>
    <w:p>
      <w:pPr>
        <w:pStyle w:val="ListParagraph"/>
        <w:numPr>
          <w:ilvl w:val="0"/>
          <w:numId w:val="2"/>
        </w:numPr>
        <w:spacing w:after="40" w:before="40"/>
      </w:pPr>
      <w:r>
        <w:rPr>
          <w:rFonts w:ascii="Arial" w:cs="Arial" w:eastAsia="Arial" w:hAnsi="Arial"/>
          <w:color w:val="1A1A2E"/>
          <w:sz w:val="20"/>
          <w:szCs w:val="20"/>
        </w:rPr>
        <w:t xml:space="preserve">Dynatrace Request Attribute rules are configured to explicitly exclude any HTTP parameters, headers, or body fields that could contain personal data.</w:t>
      </w:r>
    </w:p>
    <w:p>
      <w:pPr>
        <w:pStyle w:val="ListParagraph"/>
        <w:numPr>
          <w:ilvl w:val="0"/>
          <w:numId w:val="2"/>
        </w:numPr>
        <w:spacing w:after="40" w:before="40"/>
      </w:pPr>
      <w:r>
        <w:rPr>
          <w:rFonts w:ascii="Arial" w:cs="Arial" w:eastAsia="Arial" w:hAnsi="Arial"/>
          <w:color w:val="1A1A2E"/>
          <w:sz w:val="20"/>
          <w:szCs w:val="20"/>
        </w:rPr>
        <w:t xml:space="preserve">For PCI DSS scoped environments, Session Replay is disabled entirely unless technical controls can guarantee zero cardholder data capture, confirmed by the Security Team.</w:t>
      </w:r>
    </w:p>
    <w:p>
      <w:pPr>
        <w:pStyle w:val="ListParagraph"/>
        <w:numPr>
          <w:ilvl w:val="0"/>
          <w:numId w:val="2"/>
        </w:numPr>
        <w:spacing w:after="40" w:before="40"/>
      </w:pPr>
      <w:r>
        <w:rPr>
          <w:rFonts w:ascii="Arial" w:cs="Arial" w:eastAsia="Arial" w:hAnsi="Arial"/>
          <w:color w:val="1A1A2E"/>
          <w:sz w:val="20"/>
          <w:szCs w:val="20"/>
        </w:rPr>
        <w:t xml:space="preserve">A joint Observability Team and Security Team configuration audit is conducted bi-annually to verify no PII leakage across all data collection points.</w:t>
      </w:r>
    </w:p>
    <w:p>
      <w:pPr>
        <w:pStyle w:val="ListParagraph"/>
        <w:numPr>
          <w:ilvl w:val="0"/>
          <w:numId w:val="2"/>
        </w:numPr>
        <w:spacing w:after="40" w:before="40"/>
      </w:pPr>
      <w:r>
        <w:rPr>
          <w:rFonts w:ascii="Arial" w:cs="Arial" w:eastAsia="Arial" w:hAnsi="Arial"/>
          <w:color w:val="1A1A2E"/>
          <w:sz w:val="20"/>
          <w:szCs w:val="20"/>
        </w:rPr>
        <w:t xml:space="preserve">Dynatrace Management Zones enforce data segregation between regulated and non-regulated workloads.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10.2 Security Measures</w:t>
      </w:r>
    </w:p>
    <w:p>
      <w:pPr>
        <w:pStyle w:val="ListParagraph"/>
        <w:numPr>
          <w:ilvl w:val="0"/>
          <w:numId w:val="2"/>
        </w:numPr>
        <w:spacing w:after="40" w:before="40"/>
      </w:pPr>
      <w:r>
        <w:rPr>
          <w:rFonts w:ascii="Arial" w:cs="Arial" w:eastAsia="Arial" w:hAnsi="Arial"/>
          <w:color w:val="1A1A2E"/>
          <w:sz w:val="20"/>
          <w:szCs w:val="20"/>
        </w:rPr>
        <w:t xml:space="preserve">All observability data is encrypted in transit (TLS 1.2+) and at rest within Dynatrace.</w:t>
      </w:r>
    </w:p>
    <w:p>
      <w:pPr>
        <w:pStyle w:val="ListParagraph"/>
        <w:numPr>
          <w:ilvl w:val="0"/>
          <w:numId w:val="2"/>
        </w:numPr>
        <w:spacing w:after="40" w:before="40"/>
      </w:pPr>
      <w:r>
        <w:rPr>
          <w:rFonts w:ascii="Arial" w:cs="Arial" w:eastAsia="Arial" w:hAnsi="Arial"/>
          <w:color w:val="1A1A2E"/>
          <w:sz w:val="20"/>
          <w:szCs w:val="20"/>
        </w:rPr>
        <w:t xml:space="preserve">RBAC is enforced for all Dynatrace access, integrated with AJG identity provider (Azure AD/Okta) with MFA required.</w:t>
      </w:r>
    </w:p>
    <w:p>
      <w:pPr>
        <w:pStyle w:val="ListParagraph"/>
        <w:numPr>
          <w:ilvl w:val="0"/>
          <w:numId w:val="2"/>
        </w:numPr>
        <w:spacing w:after="40" w:before="40"/>
      </w:pPr>
      <w:r>
        <w:rPr>
          <w:rFonts w:ascii="Arial" w:cs="Arial" w:eastAsia="Arial" w:hAnsi="Arial"/>
          <w:color w:val="1A1A2E"/>
          <w:sz w:val="20"/>
          <w:szCs w:val="20"/>
        </w:rPr>
        <w:t xml:space="preserve">Dynatrace Audit Logs are enabled and retained for a minimum of 12 months. Unexpected configuration changes or admin actions trigger a ServiceNow security incident.</w:t>
      </w:r>
    </w:p>
    <w:p>
      <w:pPr>
        <w:pStyle w:val="ListParagraph"/>
        <w:numPr>
          <w:ilvl w:val="0"/>
          <w:numId w:val="2"/>
        </w:numPr>
        <w:spacing w:after="40" w:before="40"/>
      </w:pPr>
      <w:r>
        <w:rPr>
          <w:rFonts w:ascii="Arial" w:cs="Arial" w:eastAsia="Arial" w:hAnsi="Arial"/>
          <w:color w:val="1A1A2E"/>
          <w:sz w:val="20"/>
          <w:szCs w:val="20"/>
        </w:rPr>
        <w:t xml:space="preserve">Dynatrace is integrated with the AJG SIEM for security event correlation including unusual process behaviour and unexpected network connections.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10.3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Metric / Feature</w:t>
            </w:r>
          </w:p>
        </w:tc>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Description / Threshold</w:t>
            </w:r>
          </w:p>
        </w:tc>
        <w:tc>
          <w:tcPr>
            <w:tcW w:type="dxa" w:w="41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Metrics (1-min fine-grained)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 days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default. No action 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Metrics (hourly rollup)</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35 days</w:t>
            </w:r>
          </w:p>
        </w:tc>
        <w:tc>
          <w:tcPr>
            <w:tcW w:type="dxa" w:w="4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Dynatrace default. Configurable if required.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Metrics (daily rollup)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 years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Dynatrace SaaS long-term retention (DPS licence dependent).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Logs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35 days (default)</w:t>
            </w:r>
          </w:p>
        </w:tc>
        <w:tc>
          <w:tcPr>
            <w:tcW w:type="dxa" w:w="4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Extend via Log Management Grail to align with AJG data retention policy.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Distributed Traces (PurePaths)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35 days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Configurable. Increase for regulated workloads as 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Synthetic Results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35 days</w:t>
            </w:r>
          </w:p>
        </w:tc>
        <w:tc>
          <w:tcPr>
            <w:tcW w:type="dxa" w:w="4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Configurable per monitor.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Session Replay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35 days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Restrict to authorised use cases only. Shorter retention recommended.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Audit Logs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12 months minimum</w:t>
            </w:r>
          </w:p>
        </w:tc>
        <w:tc>
          <w:tcPr>
            <w:tcW w:type="dxa" w:w="4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Required for compliance. Verified at each bi-annual security audit.</w:t>
            </w:r>
          </w:p>
        </w:tc>
      </w:tr>
    </w:tbl>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11. Processes, Training &amp; Continuous Improvement</w:t>
      </w:r>
    </w:p>
    <w:p>
      <w:pPr>
        <w:pStyle w:val="Heading2"/>
        <w:spacing w:after="80" w:before="240"/>
      </w:pPr>
      <w:r>
        <w:rPr>
          <w:rFonts w:ascii="Arial" w:cs="Arial" w:eastAsia="Arial" w:hAnsi="Arial"/>
          <w:b/>
          <w:bCs/>
          <w:color w:val="1A1A2E"/>
          <w:sz w:val="26"/>
          <w:szCs w:val="26"/>
        </w:rPr>
        <w:t xml:space="preserve">11.1 Key Processes</w:t>
      </w:r>
    </w:p>
    <w:p>
      <w:pPr>
        <w:pStyle w:val="ListParagraph"/>
        <w:numPr>
          <w:ilvl w:val="0"/>
          <w:numId w:val="2"/>
        </w:numPr>
        <w:spacing w:after="40" w:before="40"/>
      </w:pPr>
      <w:r>
        <w:rPr>
          <w:rFonts w:ascii="Arial" w:cs="Arial" w:eastAsia="Arial" w:hAnsi="Arial"/>
          <w:b/>
          <w:bCs/>
          <w:color w:val="1A1A2E"/>
          <w:sz w:val="20"/>
          <w:szCs w:val="20"/>
        </w:rPr>
        <w:t xml:space="preserve">Dynatrace OneAgent is deployed on all in-scope servers within 48 hours of provisioning. The Observability Team maintains the deployment runbook. All deployments are tracked in ServiceNow as standard change records.: </w:t>
      </w:r>
      <w:r>
        <w:rPr>
          <w:rFonts w:ascii="Arial" w:cs="Arial" w:eastAsia="Arial" w:hAnsi="Arial"/>
          <w:color w:val="1A1A2E"/>
          <w:sz w:val="20"/>
          <w:szCs w:val="20"/>
        </w:rPr>
        <w:t xml:space="preserve">Monitoring Setup</w:t>
      </w:r>
    </w:p>
    <w:p>
      <w:pPr>
        <w:pStyle w:val="ListParagraph"/>
        <w:numPr>
          <w:ilvl w:val="0"/>
          <w:numId w:val="2"/>
        </w:numPr>
        <w:spacing w:after="40" w:before="40"/>
      </w:pPr>
      <w:r>
        <w:rPr>
          <w:rFonts w:ascii="Arial" w:cs="Arial" w:eastAsia="Arial" w:hAnsi="Arial"/>
          <w:b/>
          <w:bCs/>
          <w:color w:val="1A1A2E"/>
          <w:sz w:val="20"/>
          <w:szCs w:val="20"/>
        </w:rPr>
        <w:t xml:space="preserve">Dynatrace Problems automatically create ServiceNow incidents. On-call teams respond per the escalation matrix. Davis AI root-cause is included in the ServiceNow incident at creation.: </w:t>
      </w:r>
      <w:r>
        <w:rPr>
          <w:rFonts w:ascii="Arial" w:cs="Arial" w:eastAsia="Arial" w:hAnsi="Arial"/>
          <w:color w:val="1A1A2E"/>
          <w:sz w:val="20"/>
          <w:szCs w:val="20"/>
        </w:rPr>
        <w:t xml:space="preserve">Incident Response</w:t>
      </w:r>
    </w:p>
    <w:p>
      <w:pPr>
        <w:pStyle w:val="ListParagraph"/>
        <w:numPr>
          <w:ilvl w:val="0"/>
          <w:numId w:val="2"/>
        </w:numPr>
        <w:spacing w:after="40" w:before="40"/>
      </w:pPr>
      <w:r>
        <w:rPr>
          <w:rFonts w:ascii="Arial" w:cs="Arial" w:eastAsia="Arial" w:hAnsi="Arial"/>
          <w:b/>
          <w:bCs/>
          <w:color w:val="1A1A2E"/>
          <w:sz w:val="20"/>
          <w:szCs w:val="20"/>
        </w:rPr>
        <w:t xml:space="preserve">All Dynatrace configuration changes follow AJG change management. Changes to Anomaly Detection, alerting profiles, Management Zones, and the ServiceNow integration require approved change records in ServiceNow.: </w:t>
      </w:r>
      <w:r>
        <w:rPr>
          <w:rFonts w:ascii="Arial" w:cs="Arial" w:eastAsia="Arial" w:hAnsi="Arial"/>
          <w:color w:val="1A1A2E"/>
          <w:sz w:val="20"/>
          <w:szCs w:val="20"/>
        </w:rPr>
        <w:t xml:space="preserve">Change Management</w:t>
      </w:r>
    </w:p>
    <w:p>
      <w:pPr>
        <w:pStyle w:val="ListParagraph"/>
        <w:numPr>
          <w:ilvl w:val="0"/>
          <w:numId w:val="2"/>
        </w:numPr>
        <w:spacing w:after="40" w:before="40"/>
      </w:pPr>
      <w:r>
        <w:rPr>
          <w:rFonts w:ascii="Arial" w:cs="Arial" w:eastAsia="Arial" w:hAnsi="Arial"/>
          <w:b/>
          <w:bCs/>
          <w:color w:val="1A1A2E"/>
          <w:sz w:val="20"/>
          <w:szCs w:val="20"/>
        </w:rPr>
        <w:t xml:space="preserve">Tier 1: Service Desk — ticket logging and initial triage. Tier 2: Operations Team — infrastructure and platform resolution. Tier 3: Observability Team — Dynatrace configuration and advanced diagnostics. Tier 4: Dynatrace Support — raised via Dynatrace ONE support portal.: </w:t>
      </w:r>
      <w:r>
        <w:rPr>
          <w:rFonts w:ascii="Arial" w:cs="Arial" w:eastAsia="Arial" w:hAnsi="Arial"/>
          <w:color w:val="1A1A2E"/>
          <w:sz w:val="20"/>
          <w:szCs w:val="20"/>
        </w:rPr>
        <w:t xml:space="preserve">Support Process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11.2 Training Requirements</w:t>
      </w:r>
    </w:p>
    <w:p>
      <w:pPr>
        <w:pStyle w:val="ListParagraph"/>
        <w:numPr>
          <w:ilvl w:val="0"/>
          <w:numId w:val="2"/>
        </w:numPr>
        <w:spacing w:after="40" w:before="40"/>
      </w:pPr>
      <w:r>
        <w:rPr>
          <w:rFonts w:ascii="Arial" w:cs="Arial" w:eastAsia="Arial" w:hAnsi="Arial"/>
          <w:color w:val="1A1A2E"/>
          <w:sz w:val="20"/>
          <w:szCs w:val="20"/>
        </w:rPr>
        <w:t xml:space="preserve">All System Administrators must complete Dynatrace Associate certification within 6 months of onboarding.</w:t>
      </w:r>
    </w:p>
    <w:p>
      <w:pPr>
        <w:pStyle w:val="ListParagraph"/>
        <w:numPr>
          <w:ilvl w:val="0"/>
          <w:numId w:val="2"/>
        </w:numPr>
        <w:spacing w:after="40" w:before="40"/>
      </w:pPr>
      <w:r>
        <w:rPr>
          <w:rFonts w:ascii="Arial" w:cs="Arial" w:eastAsia="Arial" w:hAnsi="Arial"/>
          <w:color w:val="1A1A2E"/>
          <w:sz w:val="20"/>
          <w:szCs w:val="20"/>
        </w:rPr>
        <w:t xml:space="preserve">Developers must complete Dynatrace APM fundamentals training. Application Teams instrumenting services for PurePath must complete Dynatrace code-level diagnostics training.</w:t>
      </w:r>
    </w:p>
    <w:p>
      <w:pPr>
        <w:pStyle w:val="ListParagraph"/>
        <w:numPr>
          <w:ilvl w:val="0"/>
          <w:numId w:val="2"/>
        </w:numPr>
        <w:spacing w:after="40" w:before="40"/>
      </w:pPr>
      <w:r>
        <w:rPr>
          <w:rFonts w:ascii="Arial" w:cs="Arial" w:eastAsia="Arial" w:hAnsi="Arial"/>
          <w:color w:val="1A1A2E"/>
          <w:sz w:val="20"/>
          <w:szCs w:val="20"/>
        </w:rPr>
        <w:t xml:space="preserve">Service Desk staff must complete Dynatrace-ServiceNow integration orientation training to understand ticket context and escalation paths.</w:t>
      </w:r>
    </w:p>
    <w:p>
      <w:pPr>
        <w:pStyle w:val="ListParagraph"/>
        <w:numPr>
          <w:ilvl w:val="0"/>
          <w:numId w:val="2"/>
        </w:numPr>
        <w:spacing w:after="40" w:before="40"/>
      </w:pPr>
      <w:r>
        <w:rPr>
          <w:rFonts w:ascii="Arial" w:cs="Arial" w:eastAsia="Arial" w:hAnsi="Arial"/>
          <w:color w:val="1A1A2E"/>
          <w:sz w:val="20"/>
          <w:szCs w:val="20"/>
        </w:rPr>
        <w:t xml:space="preserve">Quarterly awareness sessions are held for all stakeholders covering new Dynatrace features, governance updates, and lessons learned from major incidents.</w:t>
      </w:r>
    </w:p>
    <w:p>
      <w:pPr>
        <w:pStyle w:val="ListParagraph"/>
        <w:numPr>
          <w:ilvl w:val="0"/>
          <w:numId w:val="2"/>
        </w:numPr>
        <w:spacing w:after="40" w:before="40"/>
      </w:pPr>
      <w:r>
        <w:rPr>
          <w:rFonts w:ascii="Arial" w:cs="Arial" w:eastAsia="Arial" w:hAnsi="Arial"/>
          <w:color w:val="1A1A2E"/>
          <w:sz w:val="20"/>
          <w:szCs w:val="20"/>
        </w:rPr>
        <w:t xml:space="preserve">Dynatrace University (university.dynatrace.com) is the primary self-paced learning platform. Dynatrace Associate and Professional certifications are required for all Observability Team members.</w:t>
      </w:r>
    </w:p>
    <w:p>
      <w:pPr>
        <w:pStyle w:val="ListParagraph"/>
        <w:numPr>
          <w:ilvl w:val="0"/>
          <w:numId w:val="2"/>
        </w:numPr>
        <w:spacing w:after="40" w:before="40"/>
      </w:pPr>
      <w:r>
        <w:rPr>
          <w:rFonts w:ascii="Arial" w:cs="Arial" w:eastAsia="Arial" w:hAnsi="Arial"/>
          <w:color w:val="1A1A2E"/>
          <w:sz w:val="20"/>
          <w:szCs w:val="20"/>
        </w:rPr>
        <w:t xml:space="preserve">Quarterly Dynatrace Office Hours are held by the Observability Team for all staff to share tips, review dashboards, and raise improvement opportunities.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11.3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65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Target &amp; Measurement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MTTD (Mean Time to Detect)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Target: &lt;5 minutes for P1 incidents via Davis AI automated detection. Measured monthly from Dynatrace Problem timestamps.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MTTR (Mean Time to Resolve)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Target: 20% YoY reduction. Measured from Dynatrace Problem creation to ServiceNow auto-close.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Alert Noise Ratio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Target: &gt;85% of alerts actionable. Measured as actionable Problems vs total Problems from ServiceNow reports.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OneAgent Coverage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Target: 100% of in-scope servers. Reviewed monthly via Dynatrace host health dashboard.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SLO Compliance Rate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Monthly reporting on all defined Dynatrace SLOs. Persistent breaches escalated to Application Owner and BRM.</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ServiceNow Auto-Close Rate</w:t>
            </w:r>
          </w:p>
        </w:tc>
        <w:tc>
          <w:tcPr>
            <w:tcW w:type="dxa" w:w="65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Target: &gt;90% of Dynatrace-generated incidents closed automatically on Problem resolution. Reviewed quarterly.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CMDB Accuracy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Target: 100% of Dynatrace-discovered entities present and current in ServiceNow CMDB. Reviewed monthly.</w:t>
            </w:r>
          </w:p>
        </w:tc>
      </w:tr>
    </w:tbl>
    <w:p>
      <w:pPr>
        <w:spacing w:after="0" w:before="60"/>
      </w:pPr>
      <w:r>
        <w:t xml:space="preserve"/>
      </w:r>
    </w:p>
    <w:p>
      <w:pPr>
        <w:pStyle w:val="Heading2"/>
        <w:spacing w:after="80" w:before="240"/>
      </w:pPr>
      <w:r>
        <w:rPr>
          <w:rFonts w:ascii="Arial" w:cs="Arial" w:eastAsia="Arial" w:hAnsi="Arial"/>
          <w:b/>
          <w:bCs/>
          <w:color w:val="1A1A2E"/>
          <w:sz w:val="26"/>
          <w:szCs w:val="26"/>
        </w:rPr>
        <w:t xml:space="preserve">11.4 Continuous Improvement</w:t>
      </w:r>
    </w:p>
    <w:p>
      <w:pPr>
        <w:pStyle w:val="ListParagraph"/>
        <w:numPr>
          <w:ilvl w:val="0"/>
          <w:numId w:val="2"/>
        </w:numPr>
        <w:spacing w:after="40" w:before="40"/>
      </w:pPr>
      <w:r>
        <w:rPr>
          <w:rFonts w:ascii="Arial" w:cs="Arial" w:eastAsia="Arial" w:hAnsi="Arial"/>
          <w:color w:val="1A1A2E"/>
          <w:sz w:val="20"/>
          <w:szCs w:val="20"/>
        </w:rPr>
        <w:t xml:space="preserve">Quarterly Dynatrace health reviews are conducted by the Observability Team covering coverage gaps, alert quality, SLO trends, ServiceNow integration health, and new feature adoption.</w:t>
      </w:r>
    </w:p>
    <w:p>
      <w:pPr>
        <w:pStyle w:val="ListParagraph"/>
        <w:numPr>
          <w:ilvl w:val="0"/>
          <w:numId w:val="2"/>
        </w:numPr>
        <w:spacing w:after="40" w:before="40"/>
      </w:pPr>
      <w:r>
        <w:rPr>
          <w:rFonts w:ascii="Arial" w:cs="Arial" w:eastAsia="Arial" w:hAnsi="Arial"/>
          <w:color w:val="1A1A2E"/>
          <w:sz w:val="20"/>
          <w:szCs w:val="20"/>
        </w:rPr>
        <w:t xml:space="preserve">Dynatrace release notes are reviewed within 30 days of each release. New features relevant to AJG are evaluated for adoption within 90 days of GA.</w:t>
      </w:r>
    </w:p>
    <w:p>
      <w:pPr>
        <w:pStyle w:val="ListParagraph"/>
        <w:numPr>
          <w:ilvl w:val="0"/>
          <w:numId w:val="2"/>
        </w:numPr>
        <w:spacing w:after="40" w:before="40"/>
      </w:pPr>
      <w:r>
        <w:rPr>
          <w:rFonts w:ascii="Arial" w:cs="Arial" w:eastAsia="Arial" w:hAnsi="Arial"/>
          <w:color w:val="1A1A2E"/>
          <w:sz w:val="20"/>
          <w:szCs w:val="20"/>
        </w:rPr>
        <w:t xml:space="preserve">The Observability Team operates as a Centre of Excellence (CoE) for observability practice across AJG, driving best practice adoption and knowledge sharing.</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11.5 Documentation &amp; Communication</w:t>
      </w:r>
    </w:p>
    <w:p>
      <w:pPr>
        <w:pStyle w:val="ListParagraph"/>
        <w:numPr>
          <w:ilvl w:val="0"/>
          <w:numId w:val="2"/>
        </w:numPr>
        <w:spacing w:after="40" w:before="40"/>
      </w:pPr>
      <w:r>
        <w:rPr>
          <w:rFonts w:ascii="Arial" w:cs="Arial" w:eastAsia="Arial" w:hAnsi="Arial"/>
          <w:color w:val="1A1A2E"/>
          <w:sz w:val="20"/>
          <w:szCs w:val="20"/>
        </w:rPr>
        <w:t xml:space="preserve">Dynatrace configuration documentation — Management Zones, alerting profiles, dashboard inventory, ServiceNow mapping — is maintained and current at all times.</w:t>
      </w:r>
    </w:p>
    <w:p>
      <w:pPr>
        <w:pStyle w:val="ListParagraph"/>
        <w:numPr>
          <w:ilvl w:val="0"/>
          <w:numId w:val="2"/>
        </w:numPr>
        <w:spacing w:after="40" w:before="40"/>
      </w:pPr>
      <w:r>
        <w:rPr>
          <w:rFonts w:ascii="Arial" w:cs="Arial" w:eastAsia="Arial" w:hAnsi="Arial"/>
          <w:color w:val="1A1A2E"/>
          <w:sz w:val="20"/>
          <w:szCs w:val="20"/>
        </w:rPr>
        <w:t xml:space="preserve">All runbooks and playbooks are stored in the AJG central knowledge base and linked from the Dynatrace dashboard environment and ServiceNow Knowledge Base.</w:t>
      </w:r>
    </w:p>
    <w:p>
      <w:pPr>
        <w:pStyle w:val="ListParagraph"/>
        <w:numPr>
          <w:ilvl w:val="0"/>
          <w:numId w:val="2"/>
        </w:numPr>
        <w:spacing w:after="40" w:before="40"/>
      </w:pPr>
      <w:r>
        <w:rPr>
          <w:rFonts w:ascii="Arial" w:cs="Arial" w:eastAsia="Arial" w:hAnsi="Arial"/>
          <w:color w:val="1A1A2E"/>
          <w:sz w:val="20"/>
          <w:szCs w:val="20"/>
        </w:rPr>
        <w:t xml:space="preserve">Governance changes are communicated to all affected teams with a minimum of 2 weeks advance notice via email and team meetings.</w:t>
      </w:r>
    </w:p>
    <w:p>
      <w:pPr>
        <w:spacing w:after="0" w:before="60"/>
      </w:pPr>
      <w:r>
        <w:t xml:space="preserve"/>
      </w:r>
    </w:p>
    <w:p>
      <w:pPr>
        <w:pStyle w:val="Heading2"/>
        <w:spacing w:after="80" w:before="240"/>
      </w:pPr>
      <w:r>
        <w:rPr>
          <w:rFonts w:ascii="Arial" w:cs="Arial" w:eastAsia="Arial" w:hAnsi="Arial"/>
          <w:b/>
          <w:bCs/>
          <w:color w:val="1A1A2E"/>
          <w:sz w:val="26"/>
          <w:szCs w:val="26"/>
        </w:rPr>
        <w:t xml:space="preserve">11.6 Review &amp; Revision</w:t>
      </w:r>
    </w:p>
    <w:p>
      <w:pPr>
        <w:pStyle w:val="ListParagraph"/>
        <w:numPr>
          <w:ilvl w:val="0"/>
          <w:numId w:val="2"/>
        </w:numPr>
        <w:spacing w:after="40" w:before="40"/>
      </w:pPr>
      <w:r>
        <w:rPr>
          <w:rFonts w:ascii="Arial" w:cs="Arial" w:eastAsia="Arial" w:hAnsi="Arial"/>
          <w:color w:val="1A1A2E"/>
          <w:sz w:val="20"/>
          <w:szCs w:val="20"/>
        </w:rPr>
        <w:t xml:space="preserve">This document is reviewed annually, or upon significant changes to the Dynatrace platform, ServiceNow integration, regulatory requirements, or AJG IT strategy.</w:t>
      </w:r>
    </w:p>
    <w:p>
      <w:pPr>
        <w:pStyle w:val="ListParagraph"/>
        <w:numPr>
          <w:ilvl w:val="0"/>
          <w:numId w:val="2"/>
        </w:numPr>
        <w:spacing w:after="40" w:before="40"/>
      </w:pPr>
      <w:r>
        <w:rPr>
          <w:rFonts w:ascii="Arial" w:cs="Arial" w:eastAsia="Arial" w:hAnsi="Arial"/>
          <w:color w:val="1A1A2E"/>
          <w:sz w:val="20"/>
          <w:szCs w:val="20"/>
        </w:rPr>
        <w:t xml:space="preserve">Owner: Observability Team Lead. Approver: IT Director.</w:t>
      </w:r>
    </w:p>
    <w:p>
      <w:pPr>
        <w:pStyle w:val="ListParagraph"/>
        <w:numPr>
          <w:ilvl w:val="0"/>
          <w:numId w:val="2"/>
        </w:numPr>
        <w:spacing w:after="40" w:before="40"/>
      </w:pPr>
      <w:r>
        <w:rPr>
          <w:rFonts w:ascii="Arial" w:cs="Arial" w:eastAsia="Arial" w:hAnsi="Arial"/>
          <w:color w:val="1A1A2E"/>
          <w:sz w:val="20"/>
          <w:szCs w:val="20"/>
        </w:rPr>
        <w:t xml:space="preserve">Version history is maintained in Section 12.</w:t>
      </w:r>
    </w:p>
    <w:p>
      <w:pPr>
        <w:spacing w:after="0" w:before="200"/>
      </w:pPr>
      <w:r>
        <w:t xml:space="preserve"/>
      </w:r>
    </w:p>
    <w:p>
      <w:pPr>
        <w:pStyle w:val="Heading1"/>
        <w:pBdr>
          <w:bottom w:val="single" w:color="1A4B8C" w:sz="8" w:space="4"/>
        </w:pBdr>
        <w:spacing w:after="120" w:before="360"/>
      </w:pPr>
      <w:r>
        <w:rPr>
          <w:rFonts w:ascii="Arial" w:cs="Arial" w:eastAsia="Arial" w:hAnsi="Arial"/>
          <w:b/>
          <w:bCs/>
          <w:color w:val="1A4B8C"/>
          <w:sz w:val="32"/>
          <w:szCs w:val="32"/>
        </w:rPr>
        <w:t xml:space="preserve">12. Appendix</w:t>
      </w:r>
    </w:p>
    <w:p>
      <w:pPr>
        <w:spacing w:after="0" w:before="40"/>
      </w:pPr>
      <w:r>
        <w:t xml:space="preserve"/>
      </w:r>
    </w:p>
    <w:p>
      <w:pPr>
        <w:pStyle w:val="Heading2"/>
        <w:spacing w:after="80" w:before="240"/>
      </w:pPr>
      <w:r>
        <w:rPr>
          <w:rFonts w:ascii="Arial" w:cs="Arial" w:eastAsia="Arial" w:hAnsi="Arial"/>
          <w:b/>
          <w:bCs/>
          <w:color w:val="1A1A2E"/>
          <w:sz w:val="26"/>
          <w:szCs w:val="26"/>
        </w:rPr>
        <w:t xml:space="preserve">12.1 Dynatrace Capability 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Monitoring Domain</w:t>
            </w:r>
          </w:p>
        </w:tc>
        <w:tc>
          <w:tcPr>
            <w:tcW w:type="dxa" w:w="30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Dynatrace Capability / Integration</w:t>
            </w:r>
          </w:p>
        </w:tc>
        <w:tc>
          <w:tcPr>
            <w:tcW w:type="dxa" w:w="39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Data Collected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Infrastructure (Servers, VMs)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OneAgent full-stack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Host metrics, process groups, network, disk</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Hypervisor / VMware</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vSphere integration + OneAgent</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VM density, host CPU/memory, datastore I/O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NPM module + SNMP extensions via ActiveGate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Bandwidth, latency, packet loss, interface stats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Databases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OneAgent auto-discovery</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Query performance, connection pools, top statements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Microsoft Azure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Azure Monitor integration + OneAgent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VMs, App Services, AKS, SQL, Storage, Networking, Service Bus, Key Vault</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Amazon AWS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CloudWatch integration + OneAgent/Lambda layer</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EC2, ECS/EKS, RDS, Lambda, S3, SQS, CloudFront, VPC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NetApp Storage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ONTAP REST API extension via ActiveGate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Capacity, IOPS, latency, throughput, SnapMirror lag, hardware health</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Applications / Microservices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OneAgent + OpenTelemetry</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Response time, error rate, throughput, PurePath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Real User Monitoring (No-PII)</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OneAgent browser injection / JS tag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Core Web Vitals, user sessions, session replay (PII blocked at capture)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Synthetic Monitoring</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Browser Clickpath + HTTP Monitors</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Availability, journey success rate, latency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Log Management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OneAgent log collection + ingest API</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Centralised log analytics, log-metric-trace correlation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Alerting &amp; Davis AI</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Davis AI + Alerting Profiles</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Automated root-cause, Problem correlation, noise reduction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ITSM / ServiceNow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Dynatrace ServiceNow integration (bidirectional)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Auto-incident creation, CMDB sync, Problem management, auto-close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Automation</w:t>
            </w:r>
          </w:p>
        </w:tc>
        <w:tc>
          <w:tcPr>
            <w:tcW w:type="dxa" w:w="30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Dynatrace Workflows</w:t>
            </w:r>
          </w:p>
        </w:tc>
        <w:tc>
          <w:tcPr>
            <w:tcW w:type="dxa" w:w="3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Self-healing, auto-scaling triggers, runbook automation</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12.2 RACI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69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 – Responsible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role that performs the activity. There must be at least one R per activity.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 – Accountable</w:t>
            </w:r>
          </w:p>
        </w:tc>
        <w:tc>
          <w:tcPr>
            <w:tcW w:type="dxa" w:w="6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The role that owns the outcome and is answerable for correct completion. Only one A per activity.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 – Consulted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role whose input is sought before the activity is completed. Two-way communication.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 – Informed</w:t>
            </w:r>
          </w:p>
        </w:tc>
        <w:tc>
          <w:tcPr>
            <w:tcW w:type="dxa" w:w="69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The role kept up to date on progress and outcomes. One-way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(dash)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 direct involvement in this activity.</w:t>
            </w:r>
          </w:p>
        </w:tc>
      </w:tr>
    </w:tbl>
    <w:p>
      <w:pPr>
        <w:spacing w:after="0" w:before="80"/>
      </w:pPr>
      <w:r>
        <w:t xml:space="preserve"/>
      </w:r>
    </w:p>
    <w:p>
      <w:pPr>
        <w:pStyle w:val="Heading2"/>
        <w:spacing w:after="80" w:before="240"/>
      </w:pPr>
      <w:r>
        <w:rPr>
          <w:rFonts w:ascii="Arial" w:cs="Arial" w:eastAsia="Arial" w:hAnsi="Arial"/>
          <w:b/>
          <w:bCs/>
          <w:color w:val="1A1A2E"/>
          <w:sz w:val="26"/>
          <w:szCs w:val="26"/>
        </w:rPr>
        <w:t xml:space="preserve">12.3 Document Version History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60"/>
        <w:gridCol w:w="4400"/>
      </w:tblGrid>
      <w:tr>
        <w:trPr>
          <w:tblHeader/>
        </w:trPr>
        <w:tc>
          <w:tcPr>
            <w:tcW w:type="dxa" w:w="12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4400"/>
            <w:tcBorders>
              <w:top w:val="single" w:color="CCCCCC" w:sz="1"/>
              <w:left w:val="single" w:color="CCCCCC" w:sz="1"/>
              <w:bottom w:val="single" w:color="CCCCCC" w:sz="1"/>
              <w:right w:val="single" w:color="CCCCCC" w:sz="1"/>
            </w:tcBorders>
            <w:shd w:fill="1A4B8C"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2024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AJG IT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Initial governance document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2.0</w:t>
            </w:r>
          </w:p>
        </w:tc>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April 2025</w:t>
            </w:r>
          </w:p>
        </w:tc>
        <w:tc>
          <w:tcPr>
            <w:tcW w:type="dxa" w:w="2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Observability Team</w:t>
            </w:r>
          </w:p>
        </w:tc>
        <w:tc>
          <w:tcPr>
            <w:tcW w:type="dxa" w:w="4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Dynatrace-specific implementation guidance added throughout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April 2025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Observability Team</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7"/>
                <w:szCs w:val="17"/>
              </w:rPr>
              <w:t xml:space="preserve">Azure/AWS cloud metrics and NetApp storage monitoring added. Strict no-PII policy enforced.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4.0</w:t>
            </w:r>
          </w:p>
        </w:tc>
        <w:tc>
          <w:tcPr>
            <w:tcW w:type="dxa" w:w="16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April 2025</w:t>
            </w:r>
          </w:p>
        </w:tc>
        <w:tc>
          <w:tcPr>
            <w:tcW w:type="dxa" w:w="216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Observability Team</w:t>
            </w:r>
          </w:p>
        </w:tc>
        <w:tc>
          <w:tcPr>
            <w:tcW w:type="dxa" w:w="44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color w:val="1A1A2E"/>
                <w:sz w:val="17"/>
                <w:szCs w:val="17"/>
              </w:rPr>
              <w:t xml:space="preserve">Dynatrace recommendation boxes removed; content integrated as policy. RACI added. ServiceNow governance section added.</w:t>
            </w:r>
          </w:p>
        </w:tc>
      </w:tr>
    </w:tbl>
    <w:p>
      <w:pPr>
        <w:spacing w:after="0" w:before="100"/>
      </w:pPr>
      <w:r>
        <w:t xml:space="preserve"/>
      </w:r>
    </w:p>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B8C" w:sz="6" w:space="4"/>
      </w:pBdr>
      <w:tabs>
        <w:tab w:val="right" w:pos="9360"/>
      </w:tabs>
      <w:spacing w:before="60"/>
    </w:pPr>
    <w:r>
      <w:rPr>
        <w:rFonts w:ascii="Arial" w:cs="Arial" w:eastAsia="Arial" w:hAnsi="Arial"/>
        <w:color w:val="555555"/>
        <w:sz w:val="16"/>
        <w:szCs w:val="16"/>
      </w:rPr>
      <w:t xml:space="preserve">Confidential – AJG Internal Use Only</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B8C" w:sz="6" w:space="4"/>
      </w:pBdr>
      <w:tabs>
        <w:tab w:val="right" w:pos="9360"/>
      </w:tabs>
      <w:spacing w:after="80"/>
    </w:pPr>
    <w:r>
      <w:rPr>
        <w:rFonts w:ascii="Arial" w:cs="Arial" w:eastAsia="Arial" w:hAnsi="Arial"/>
        <w:b/>
        <w:bCs/>
        <w:color w:val="1A4B8C"/>
        <w:sz w:val="18"/>
        <w:szCs w:val="18"/>
      </w:rPr>
      <w:t xml:space="preserve">AJG Gallagher – Observability Governance v4.0</w:t>
    </w:r>
    <w:r>
      <w:rPr>
        <w:rFonts w:ascii="Arial" w:cs="Arial" w:eastAsia="Arial" w:hAnsi="Arial"/>
        <w:sz w:val="18"/>
        <w:szCs w:val="18"/>
      </w:rPr>
      <w:t xml:space="preserve">	</w:t>
    </w:r>
    <w:r>
      <w:rPr>
        <w:rFonts w:ascii="Arial" w:cs="Arial" w:eastAsia="Arial" w:hAnsi="Arial"/>
        <w:color w:val="555555"/>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B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2026-04-09T16:08:47.253Z</dcterms:created>
  <dcterms:modified xsi:type="dcterms:W3CDTF">2026-04-09T16:08:47.254Z</dcterms:modified>
</cp:coreProperties>
</file>

<file path=docProps/custom.xml><?xml version="1.0" encoding="utf-8"?>
<Properties xmlns="http://schemas.openxmlformats.org/officeDocument/2006/custom-properties" xmlns:vt="http://schemas.openxmlformats.org/officeDocument/2006/docPropsVTypes"/>
</file>