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85C86" w14:textId="67E5D0AD" w:rsidR="003A4F3B" w:rsidRPr="003A4F3B" w:rsidRDefault="003A4F3B" w:rsidP="003A4F3B">
      <w:pPr>
        <w:rPr>
          <w:b/>
          <w:bCs/>
        </w:rPr>
      </w:pPr>
      <w:r w:rsidRPr="003A4F3B">
        <w:rPr>
          <w:b/>
          <w:bCs/>
        </w:rPr>
        <w:t xml:space="preserve">EMPRESAS </w:t>
      </w:r>
      <w:r>
        <w:rPr>
          <w:b/>
          <w:bCs/>
        </w:rPr>
        <w:t>MÁS IMPORTANTES</w:t>
      </w:r>
    </w:p>
    <w:tbl>
      <w:tblPr>
        <w:tblW w:w="8984" w:type="dxa"/>
        <w:tblCellMar>
          <w:top w:w="15" w:type="dxa"/>
          <w:left w:w="15" w:type="dxa"/>
          <w:bottom w:w="15" w:type="dxa"/>
          <w:right w:w="15" w:type="dxa"/>
        </w:tblCellMar>
        <w:tblLook w:val="04A0" w:firstRow="1" w:lastRow="0" w:firstColumn="1" w:lastColumn="0" w:noHBand="0" w:noVBand="1"/>
      </w:tblPr>
      <w:tblGrid>
        <w:gridCol w:w="1174"/>
        <w:gridCol w:w="1796"/>
        <w:gridCol w:w="2381"/>
        <w:gridCol w:w="1197"/>
        <w:gridCol w:w="2436"/>
      </w:tblGrid>
      <w:tr w:rsidR="003A4F3B" w:rsidRPr="003A4F3B" w14:paraId="667B1A73" w14:textId="77777777" w:rsidTr="00197405">
        <w:trPr>
          <w:trHeight w:val="119"/>
          <w:tblHeader/>
        </w:trPr>
        <w:tc>
          <w:tcPr>
            <w:tcW w:w="0" w:type="auto"/>
            <w:tcMar>
              <w:top w:w="120" w:type="dxa"/>
              <w:left w:w="120" w:type="dxa"/>
              <w:bottom w:w="120" w:type="dxa"/>
              <w:right w:w="120" w:type="dxa"/>
            </w:tcMar>
            <w:hideMark/>
          </w:tcPr>
          <w:p w14:paraId="4653979E" w14:textId="77777777" w:rsidR="003A4F3B" w:rsidRPr="003A4F3B" w:rsidRDefault="003A4F3B" w:rsidP="00197405">
            <w:pPr>
              <w:rPr>
                <w:b/>
                <w:bCs/>
              </w:rPr>
            </w:pPr>
            <w:r w:rsidRPr="003A4F3B">
              <w:rPr>
                <w:b/>
                <w:bCs/>
              </w:rPr>
              <w:t>Posición</w:t>
            </w:r>
          </w:p>
        </w:tc>
        <w:tc>
          <w:tcPr>
            <w:tcW w:w="0" w:type="auto"/>
            <w:tcMar>
              <w:top w:w="120" w:type="dxa"/>
              <w:left w:w="120" w:type="dxa"/>
              <w:bottom w:w="120" w:type="dxa"/>
              <w:right w:w="120" w:type="dxa"/>
            </w:tcMar>
            <w:hideMark/>
          </w:tcPr>
          <w:p w14:paraId="0FEC70DA" w14:textId="77777777" w:rsidR="003A4F3B" w:rsidRPr="003A4F3B" w:rsidRDefault="003A4F3B" w:rsidP="00197405">
            <w:pPr>
              <w:rPr>
                <w:b/>
                <w:bCs/>
              </w:rPr>
            </w:pPr>
            <w:r w:rsidRPr="003A4F3B">
              <w:rPr>
                <w:b/>
                <w:bCs/>
              </w:rPr>
              <w:t>Empresa</w:t>
            </w:r>
          </w:p>
        </w:tc>
        <w:tc>
          <w:tcPr>
            <w:tcW w:w="0" w:type="auto"/>
            <w:tcMar>
              <w:top w:w="120" w:type="dxa"/>
              <w:left w:w="120" w:type="dxa"/>
              <w:bottom w:w="120" w:type="dxa"/>
              <w:right w:w="120" w:type="dxa"/>
            </w:tcMar>
            <w:hideMark/>
          </w:tcPr>
          <w:p w14:paraId="7CB2169C" w14:textId="77777777" w:rsidR="003A4F3B" w:rsidRPr="003A4F3B" w:rsidRDefault="003A4F3B" w:rsidP="00197405">
            <w:pPr>
              <w:rPr>
                <w:b/>
                <w:bCs/>
              </w:rPr>
            </w:pPr>
            <w:r w:rsidRPr="003A4F3B">
              <w:rPr>
                <w:b/>
                <w:bCs/>
              </w:rPr>
              <w:t>Sector</w:t>
            </w:r>
          </w:p>
        </w:tc>
        <w:tc>
          <w:tcPr>
            <w:tcW w:w="0" w:type="auto"/>
            <w:tcMar>
              <w:top w:w="120" w:type="dxa"/>
              <w:left w:w="120" w:type="dxa"/>
              <w:bottom w:w="120" w:type="dxa"/>
              <w:right w:w="120" w:type="dxa"/>
            </w:tcMar>
            <w:hideMark/>
          </w:tcPr>
          <w:p w14:paraId="571A6072" w14:textId="77777777" w:rsidR="003A4F3B" w:rsidRPr="003A4F3B" w:rsidRDefault="003A4F3B" w:rsidP="00197405">
            <w:pPr>
              <w:rPr>
                <w:b/>
                <w:bCs/>
              </w:rPr>
            </w:pPr>
            <w:r w:rsidRPr="003A4F3B">
              <w:rPr>
                <w:b/>
                <w:bCs/>
              </w:rPr>
              <w:t>País</w:t>
            </w:r>
          </w:p>
        </w:tc>
        <w:tc>
          <w:tcPr>
            <w:tcW w:w="0" w:type="auto"/>
            <w:tcMar>
              <w:top w:w="120" w:type="dxa"/>
              <w:left w:w="120" w:type="dxa"/>
              <w:bottom w:w="120" w:type="dxa"/>
              <w:right w:w="120" w:type="dxa"/>
            </w:tcMar>
            <w:hideMark/>
          </w:tcPr>
          <w:p w14:paraId="29F2E655" w14:textId="77777777" w:rsidR="003A4F3B" w:rsidRPr="003A4F3B" w:rsidRDefault="003A4F3B" w:rsidP="00197405">
            <w:pPr>
              <w:rPr>
                <w:b/>
                <w:bCs/>
              </w:rPr>
            </w:pPr>
            <w:r w:rsidRPr="003A4F3B">
              <w:rPr>
                <w:b/>
                <w:bCs/>
              </w:rPr>
              <w:t>Capitalización o Valor Comercial (aprox.)</w:t>
            </w:r>
          </w:p>
        </w:tc>
      </w:tr>
      <w:tr w:rsidR="003A4F3B" w:rsidRPr="003A4F3B" w14:paraId="112C4922" w14:textId="77777777" w:rsidTr="00197405">
        <w:trPr>
          <w:trHeight w:val="119"/>
        </w:trPr>
        <w:tc>
          <w:tcPr>
            <w:tcW w:w="0" w:type="auto"/>
            <w:tcMar>
              <w:top w:w="137" w:type="dxa"/>
              <w:left w:w="120" w:type="dxa"/>
              <w:bottom w:w="137" w:type="dxa"/>
              <w:right w:w="120" w:type="dxa"/>
            </w:tcMar>
            <w:vAlign w:val="bottom"/>
            <w:hideMark/>
          </w:tcPr>
          <w:p w14:paraId="1BB2AA3C" w14:textId="77777777" w:rsidR="003A4F3B" w:rsidRPr="003A4F3B" w:rsidRDefault="003A4F3B" w:rsidP="00197405">
            <w:r w:rsidRPr="003A4F3B">
              <w:t>1</w:t>
            </w:r>
          </w:p>
        </w:tc>
        <w:tc>
          <w:tcPr>
            <w:tcW w:w="0" w:type="auto"/>
            <w:tcMar>
              <w:top w:w="137" w:type="dxa"/>
              <w:left w:w="120" w:type="dxa"/>
              <w:bottom w:w="137" w:type="dxa"/>
              <w:right w:w="120" w:type="dxa"/>
            </w:tcMar>
            <w:vAlign w:val="bottom"/>
            <w:hideMark/>
          </w:tcPr>
          <w:p w14:paraId="30398E53" w14:textId="77777777" w:rsidR="003A4F3B" w:rsidRPr="003A4F3B" w:rsidRDefault="003A4F3B" w:rsidP="00197405">
            <w:r w:rsidRPr="003A4F3B">
              <w:t>Apple</w:t>
            </w:r>
          </w:p>
        </w:tc>
        <w:tc>
          <w:tcPr>
            <w:tcW w:w="0" w:type="auto"/>
            <w:tcMar>
              <w:top w:w="137" w:type="dxa"/>
              <w:left w:w="120" w:type="dxa"/>
              <w:bottom w:w="137" w:type="dxa"/>
              <w:right w:w="120" w:type="dxa"/>
            </w:tcMar>
            <w:vAlign w:val="bottom"/>
            <w:hideMark/>
          </w:tcPr>
          <w:p w14:paraId="2B15C76B" w14:textId="77777777" w:rsidR="003A4F3B" w:rsidRPr="003A4F3B" w:rsidRDefault="003A4F3B" w:rsidP="00197405">
            <w:r w:rsidRPr="003A4F3B">
              <w:t>Tecnología</w:t>
            </w:r>
          </w:p>
        </w:tc>
        <w:tc>
          <w:tcPr>
            <w:tcW w:w="0" w:type="auto"/>
            <w:tcMar>
              <w:top w:w="137" w:type="dxa"/>
              <w:left w:w="120" w:type="dxa"/>
              <w:bottom w:w="137" w:type="dxa"/>
              <w:right w:w="120" w:type="dxa"/>
            </w:tcMar>
            <w:vAlign w:val="bottom"/>
            <w:hideMark/>
          </w:tcPr>
          <w:p w14:paraId="7D900F5C" w14:textId="77777777" w:rsidR="003A4F3B" w:rsidRPr="003A4F3B" w:rsidRDefault="003A4F3B" w:rsidP="00197405">
            <w:r w:rsidRPr="003A4F3B">
              <w:t>Estados Unidos</w:t>
            </w:r>
          </w:p>
        </w:tc>
        <w:tc>
          <w:tcPr>
            <w:tcW w:w="0" w:type="auto"/>
            <w:tcMar>
              <w:top w:w="137" w:type="dxa"/>
              <w:left w:w="120" w:type="dxa"/>
              <w:bottom w:w="137" w:type="dxa"/>
              <w:right w:w="120" w:type="dxa"/>
            </w:tcMar>
            <w:vAlign w:val="bottom"/>
            <w:hideMark/>
          </w:tcPr>
          <w:p w14:paraId="1AAA452B" w14:textId="77777777" w:rsidR="003A4F3B" w:rsidRPr="003A4F3B" w:rsidRDefault="003A4F3B" w:rsidP="00197405">
            <w:r w:rsidRPr="003A4F3B">
              <w:t>Más de 3,3 billones de dólares</w:t>
            </w:r>
          </w:p>
        </w:tc>
      </w:tr>
      <w:tr w:rsidR="003A4F3B" w:rsidRPr="003A4F3B" w14:paraId="6DF8981F" w14:textId="77777777" w:rsidTr="00197405">
        <w:trPr>
          <w:trHeight w:val="119"/>
        </w:trPr>
        <w:tc>
          <w:tcPr>
            <w:tcW w:w="0" w:type="auto"/>
            <w:tcMar>
              <w:top w:w="137" w:type="dxa"/>
              <w:left w:w="120" w:type="dxa"/>
              <w:bottom w:w="137" w:type="dxa"/>
              <w:right w:w="120" w:type="dxa"/>
            </w:tcMar>
            <w:vAlign w:val="bottom"/>
            <w:hideMark/>
          </w:tcPr>
          <w:p w14:paraId="6AFE4DE7" w14:textId="77777777" w:rsidR="003A4F3B" w:rsidRPr="003A4F3B" w:rsidRDefault="003A4F3B" w:rsidP="00197405">
            <w:r w:rsidRPr="003A4F3B">
              <w:t>2</w:t>
            </w:r>
          </w:p>
        </w:tc>
        <w:tc>
          <w:tcPr>
            <w:tcW w:w="0" w:type="auto"/>
            <w:tcMar>
              <w:top w:w="137" w:type="dxa"/>
              <w:left w:w="120" w:type="dxa"/>
              <w:bottom w:w="137" w:type="dxa"/>
              <w:right w:w="120" w:type="dxa"/>
            </w:tcMar>
            <w:vAlign w:val="bottom"/>
            <w:hideMark/>
          </w:tcPr>
          <w:p w14:paraId="38FF8BBB" w14:textId="77777777" w:rsidR="003A4F3B" w:rsidRPr="003A4F3B" w:rsidRDefault="003A4F3B" w:rsidP="00197405">
            <w:r w:rsidRPr="003A4F3B">
              <w:t>Microsoft</w:t>
            </w:r>
          </w:p>
        </w:tc>
        <w:tc>
          <w:tcPr>
            <w:tcW w:w="0" w:type="auto"/>
            <w:tcMar>
              <w:top w:w="137" w:type="dxa"/>
              <w:left w:w="120" w:type="dxa"/>
              <w:bottom w:w="137" w:type="dxa"/>
              <w:right w:w="120" w:type="dxa"/>
            </w:tcMar>
            <w:vAlign w:val="bottom"/>
            <w:hideMark/>
          </w:tcPr>
          <w:p w14:paraId="3EA065AB" w14:textId="77777777" w:rsidR="003A4F3B" w:rsidRPr="003A4F3B" w:rsidRDefault="003A4F3B" w:rsidP="00197405">
            <w:r w:rsidRPr="003A4F3B">
              <w:t>Tecnología</w:t>
            </w:r>
          </w:p>
        </w:tc>
        <w:tc>
          <w:tcPr>
            <w:tcW w:w="0" w:type="auto"/>
            <w:tcMar>
              <w:top w:w="137" w:type="dxa"/>
              <w:left w:w="120" w:type="dxa"/>
              <w:bottom w:w="137" w:type="dxa"/>
              <w:right w:w="120" w:type="dxa"/>
            </w:tcMar>
            <w:vAlign w:val="bottom"/>
            <w:hideMark/>
          </w:tcPr>
          <w:p w14:paraId="2A6917B5" w14:textId="77777777" w:rsidR="003A4F3B" w:rsidRPr="003A4F3B" w:rsidRDefault="003A4F3B" w:rsidP="00197405">
            <w:r w:rsidRPr="003A4F3B">
              <w:t>Estados Unidos</w:t>
            </w:r>
          </w:p>
        </w:tc>
        <w:tc>
          <w:tcPr>
            <w:tcW w:w="0" w:type="auto"/>
            <w:tcMar>
              <w:top w:w="137" w:type="dxa"/>
              <w:left w:w="120" w:type="dxa"/>
              <w:bottom w:w="137" w:type="dxa"/>
              <w:right w:w="120" w:type="dxa"/>
            </w:tcMar>
            <w:vAlign w:val="bottom"/>
            <w:hideMark/>
          </w:tcPr>
          <w:p w14:paraId="1CBF3247" w14:textId="77777777" w:rsidR="003A4F3B" w:rsidRPr="003A4F3B" w:rsidRDefault="003A4F3B" w:rsidP="00197405">
            <w:r w:rsidRPr="003A4F3B">
              <w:t>Cerca de 2,9 billones de dólares</w:t>
            </w:r>
          </w:p>
        </w:tc>
      </w:tr>
      <w:tr w:rsidR="003A4F3B" w:rsidRPr="003A4F3B" w14:paraId="249ECEBE" w14:textId="77777777" w:rsidTr="00197405">
        <w:trPr>
          <w:trHeight w:val="119"/>
        </w:trPr>
        <w:tc>
          <w:tcPr>
            <w:tcW w:w="0" w:type="auto"/>
            <w:tcMar>
              <w:top w:w="137" w:type="dxa"/>
              <w:left w:w="120" w:type="dxa"/>
              <w:bottom w:w="137" w:type="dxa"/>
              <w:right w:w="120" w:type="dxa"/>
            </w:tcMar>
            <w:vAlign w:val="bottom"/>
            <w:hideMark/>
          </w:tcPr>
          <w:p w14:paraId="74F0BE4A" w14:textId="77777777" w:rsidR="003A4F3B" w:rsidRPr="003A4F3B" w:rsidRDefault="003A4F3B" w:rsidP="00197405">
            <w:r w:rsidRPr="003A4F3B">
              <w:t>3</w:t>
            </w:r>
          </w:p>
        </w:tc>
        <w:tc>
          <w:tcPr>
            <w:tcW w:w="0" w:type="auto"/>
            <w:tcMar>
              <w:top w:w="137" w:type="dxa"/>
              <w:left w:w="120" w:type="dxa"/>
              <w:bottom w:w="137" w:type="dxa"/>
              <w:right w:w="120" w:type="dxa"/>
            </w:tcMar>
            <w:vAlign w:val="bottom"/>
            <w:hideMark/>
          </w:tcPr>
          <w:p w14:paraId="52C125C7" w14:textId="77777777" w:rsidR="003A4F3B" w:rsidRPr="003A4F3B" w:rsidRDefault="003A4F3B" w:rsidP="00197405">
            <w:proofErr w:type="spellStart"/>
            <w:r w:rsidRPr="003A4F3B">
              <w:t>Saudi</w:t>
            </w:r>
            <w:proofErr w:type="spellEnd"/>
            <w:r w:rsidRPr="003A4F3B">
              <w:t xml:space="preserve"> </w:t>
            </w:r>
            <w:proofErr w:type="spellStart"/>
            <w:r w:rsidRPr="003A4F3B">
              <w:t>Aramco</w:t>
            </w:r>
            <w:proofErr w:type="spellEnd"/>
          </w:p>
        </w:tc>
        <w:tc>
          <w:tcPr>
            <w:tcW w:w="0" w:type="auto"/>
            <w:tcMar>
              <w:top w:w="137" w:type="dxa"/>
              <w:left w:w="120" w:type="dxa"/>
              <w:bottom w:w="137" w:type="dxa"/>
              <w:right w:w="120" w:type="dxa"/>
            </w:tcMar>
            <w:vAlign w:val="bottom"/>
            <w:hideMark/>
          </w:tcPr>
          <w:p w14:paraId="56D317BC" w14:textId="77777777" w:rsidR="003A4F3B" w:rsidRPr="003A4F3B" w:rsidRDefault="003A4F3B" w:rsidP="00197405">
            <w:r w:rsidRPr="003A4F3B">
              <w:t>Energía</w:t>
            </w:r>
          </w:p>
        </w:tc>
        <w:tc>
          <w:tcPr>
            <w:tcW w:w="0" w:type="auto"/>
            <w:tcMar>
              <w:top w:w="137" w:type="dxa"/>
              <w:left w:w="120" w:type="dxa"/>
              <w:bottom w:w="137" w:type="dxa"/>
              <w:right w:w="120" w:type="dxa"/>
            </w:tcMar>
            <w:vAlign w:val="bottom"/>
            <w:hideMark/>
          </w:tcPr>
          <w:p w14:paraId="7B427C55" w14:textId="77777777" w:rsidR="003A4F3B" w:rsidRPr="003A4F3B" w:rsidRDefault="003A4F3B" w:rsidP="00197405">
            <w:r w:rsidRPr="003A4F3B">
              <w:t>Arabia Saudita</w:t>
            </w:r>
          </w:p>
        </w:tc>
        <w:tc>
          <w:tcPr>
            <w:tcW w:w="0" w:type="auto"/>
            <w:tcMar>
              <w:top w:w="137" w:type="dxa"/>
              <w:left w:w="120" w:type="dxa"/>
              <w:bottom w:w="137" w:type="dxa"/>
              <w:right w:w="120" w:type="dxa"/>
            </w:tcMar>
            <w:vAlign w:val="bottom"/>
            <w:hideMark/>
          </w:tcPr>
          <w:p w14:paraId="40A8BE71" w14:textId="77777777" w:rsidR="003A4F3B" w:rsidRPr="003A4F3B" w:rsidRDefault="003A4F3B" w:rsidP="00197405">
            <w:r w:rsidRPr="003A4F3B">
              <w:t>Más de 1,6 billones de dólares</w:t>
            </w:r>
          </w:p>
        </w:tc>
      </w:tr>
      <w:tr w:rsidR="003A4F3B" w:rsidRPr="003A4F3B" w14:paraId="01054C69" w14:textId="77777777" w:rsidTr="00197405">
        <w:trPr>
          <w:trHeight w:val="119"/>
        </w:trPr>
        <w:tc>
          <w:tcPr>
            <w:tcW w:w="0" w:type="auto"/>
            <w:tcMar>
              <w:top w:w="137" w:type="dxa"/>
              <w:left w:w="120" w:type="dxa"/>
              <w:bottom w:w="137" w:type="dxa"/>
              <w:right w:w="120" w:type="dxa"/>
            </w:tcMar>
            <w:vAlign w:val="bottom"/>
            <w:hideMark/>
          </w:tcPr>
          <w:p w14:paraId="7B6E12C1" w14:textId="77777777" w:rsidR="003A4F3B" w:rsidRPr="003A4F3B" w:rsidRDefault="003A4F3B" w:rsidP="00197405">
            <w:r w:rsidRPr="003A4F3B">
              <w:t>4</w:t>
            </w:r>
          </w:p>
        </w:tc>
        <w:tc>
          <w:tcPr>
            <w:tcW w:w="0" w:type="auto"/>
            <w:tcMar>
              <w:top w:w="137" w:type="dxa"/>
              <w:left w:w="120" w:type="dxa"/>
              <w:bottom w:w="137" w:type="dxa"/>
              <w:right w:w="120" w:type="dxa"/>
            </w:tcMar>
            <w:vAlign w:val="bottom"/>
            <w:hideMark/>
          </w:tcPr>
          <w:p w14:paraId="48D27E1C" w14:textId="77777777" w:rsidR="003A4F3B" w:rsidRPr="003A4F3B" w:rsidRDefault="003A4F3B" w:rsidP="00197405">
            <w:r w:rsidRPr="003A4F3B">
              <w:t>Amazon</w:t>
            </w:r>
          </w:p>
        </w:tc>
        <w:tc>
          <w:tcPr>
            <w:tcW w:w="0" w:type="auto"/>
            <w:tcMar>
              <w:top w:w="137" w:type="dxa"/>
              <w:left w:w="120" w:type="dxa"/>
              <w:bottom w:w="137" w:type="dxa"/>
              <w:right w:w="120" w:type="dxa"/>
            </w:tcMar>
            <w:vAlign w:val="bottom"/>
            <w:hideMark/>
          </w:tcPr>
          <w:p w14:paraId="4E3CC5B9" w14:textId="77777777" w:rsidR="003A4F3B" w:rsidRPr="003A4F3B" w:rsidRDefault="003A4F3B" w:rsidP="00197405">
            <w:r w:rsidRPr="003A4F3B">
              <w:t>Comercio electrónico</w:t>
            </w:r>
          </w:p>
        </w:tc>
        <w:tc>
          <w:tcPr>
            <w:tcW w:w="0" w:type="auto"/>
            <w:tcMar>
              <w:top w:w="137" w:type="dxa"/>
              <w:left w:w="120" w:type="dxa"/>
              <w:bottom w:w="137" w:type="dxa"/>
              <w:right w:w="120" w:type="dxa"/>
            </w:tcMar>
            <w:vAlign w:val="bottom"/>
            <w:hideMark/>
          </w:tcPr>
          <w:p w14:paraId="0C7A23F9" w14:textId="77777777" w:rsidR="003A4F3B" w:rsidRPr="003A4F3B" w:rsidRDefault="003A4F3B" w:rsidP="00197405">
            <w:r w:rsidRPr="003A4F3B">
              <w:t>Estados Unidos</w:t>
            </w:r>
          </w:p>
        </w:tc>
        <w:tc>
          <w:tcPr>
            <w:tcW w:w="0" w:type="auto"/>
            <w:tcMar>
              <w:top w:w="137" w:type="dxa"/>
              <w:left w:w="120" w:type="dxa"/>
              <w:bottom w:w="137" w:type="dxa"/>
              <w:right w:w="120" w:type="dxa"/>
            </w:tcMar>
            <w:vAlign w:val="bottom"/>
            <w:hideMark/>
          </w:tcPr>
          <w:p w14:paraId="44C2D229" w14:textId="77777777" w:rsidR="003A4F3B" w:rsidRPr="003A4F3B" w:rsidRDefault="003A4F3B" w:rsidP="00197405">
            <w:r w:rsidRPr="003A4F3B">
              <w:t>Más de 2 billones de dólares</w:t>
            </w:r>
          </w:p>
        </w:tc>
      </w:tr>
      <w:tr w:rsidR="003A4F3B" w:rsidRPr="003A4F3B" w14:paraId="31B09933" w14:textId="77777777" w:rsidTr="00197405">
        <w:trPr>
          <w:trHeight w:val="119"/>
        </w:trPr>
        <w:tc>
          <w:tcPr>
            <w:tcW w:w="0" w:type="auto"/>
            <w:tcMar>
              <w:top w:w="137" w:type="dxa"/>
              <w:left w:w="120" w:type="dxa"/>
              <w:bottom w:w="137" w:type="dxa"/>
              <w:right w:w="120" w:type="dxa"/>
            </w:tcMar>
            <w:vAlign w:val="bottom"/>
            <w:hideMark/>
          </w:tcPr>
          <w:p w14:paraId="4350FFA2" w14:textId="77777777" w:rsidR="003A4F3B" w:rsidRPr="003A4F3B" w:rsidRDefault="003A4F3B" w:rsidP="00197405">
            <w:r w:rsidRPr="003A4F3B">
              <w:t>5</w:t>
            </w:r>
          </w:p>
        </w:tc>
        <w:tc>
          <w:tcPr>
            <w:tcW w:w="0" w:type="auto"/>
            <w:tcMar>
              <w:top w:w="137" w:type="dxa"/>
              <w:left w:w="120" w:type="dxa"/>
              <w:bottom w:w="137" w:type="dxa"/>
              <w:right w:w="120" w:type="dxa"/>
            </w:tcMar>
            <w:vAlign w:val="bottom"/>
            <w:hideMark/>
          </w:tcPr>
          <w:p w14:paraId="156BB921" w14:textId="77777777" w:rsidR="003A4F3B" w:rsidRPr="003A4F3B" w:rsidRDefault="003A4F3B" w:rsidP="00197405">
            <w:proofErr w:type="spellStart"/>
            <w:r w:rsidRPr="003A4F3B">
              <w:t>Alphabet</w:t>
            </w:r>
            <w:proofErr w:type="spellEnd"/>
            <w:r w:rsidRPr="003A4F3B">
              <w:t xml:space="preserve"> (Google)</w:t>
            </w:r>
          </w:p>
        </w:tc>
        <w:tc>
          <w:tcPr>
            <w:tcW w:w="0" w:type="auto"/>
            <w:tcMar>
              <w:top w:w="137" w:type="dxa"/>
              <w:left w:w="120" w:type="dxa"/>
              <w:bottom w:w="137" w:type="dxa"/>
              <w:right w:w="120" w:type="dxa"/>
            </w:tcMar>
            <w:vAlign w:val="bottom"/>
            <w:hideMark/>
          </w:tcPr>
          <w:p w14:paraId="60A9ECAC" w14:textId="77777777" w:rsidR="003A4F3B" w:rsidRPr="003A4F3B" w:rsidRDefault="003A4F3B" w:rsidP="00197405">
            <w:r w:rsidRPr="003A4F3B">
              <w:t>Tecnología</w:t>
            </w:r>
          </w:p>
        </w:tc>
        <w:tc>
          <w:tcPr>
            <w:tcW w:w="0" w:type="auto"/>
            <w:tcMar>
              <w:top w:w="137" w:type="dxa"/>
              <w:left w:w="120" w:type="dxa"/>
              <w:bottom w:w="137" w:type="dxa"/>
              <w:right w:w="120" w:type="dxa"/>
            </w:tcMar>
            <w:vAlign w:val="bottom"/>
            <w:hideMark/>
          </w:tcPr>
          <w:p w14:paraId="71E95979" w14:textId="77777777" w:rsidR="003A4F3B" w:rsidRPr="003A4F3B" w:rsidRDefault="003A4F3B" w:rsidP="00197405">
            <w:r w:rsidRPr="003A4F3B">
              <w:t>Estados Unidos</w:t>
            </w:r>
          </w:p>
        </w:tc>
        <w:tc>
          <w:tcPr>
            <w:tcW w:w="0" w:type="auto"/>
            <w:tcMar>
              <w:top w:w="137" w:type="dxa"/>
              <w:left w:w="120" w:type="dxa"/>
              <w:bottom w:w="137" w:type="dxa"/>
              <w:right w:w="120" w:type="dxa"/>
            </w:tcMar>
            <w:vAlign w:val="bottom"/>
            <w:hideMark/>
          </w:tcPr>
          <w:p w14:paraId="201A72BE" w14:textId="77777777" w:rsidR="003A4F3B" w:rsidRPr="003A4F3B" w:rsidRDefault="003A4F3B" w:rsidP="00197405">
            <w:r w:rsidRPr="003A4F3B">
              <w:t>Cerca de 2 billones de dólares</w:t>
            </w:r>
          </w:p>
        </w:tc>
      </w:tr>
      <w:tr w:rsidR="003A4F3B" w:rsidRPr="003A4F3B" w14:paraId="7FC4C04D" w14:textId="77777777" w:rsidTr="00197405">
        <w:trPr>
          <w:trHeight w:val="119"/>
        </w:trPr>
        <w:tc>
          <w:tcPr>
            <w:tcW w:w="0" w:type="auto"/>
            <w:tcMar>
              <w:top w:w="137" w:type="dxa"/>
              <w:left w:w="120" w:type="dxa"/>
              <w:bottom w:w="137" w:type="dxa"/>
              <w:right w:w="120" w:type="dxa"/>
            </w:tcMar>
            <w:vAlign w:val="bottom"/>
            <w:hideMark/>
          </w:tcPr>
          <w:p w14:paraId="5EF1F984" w14:textId="77777777" w:rsidR="003A4F3B" w:rsidRPr="003A4F3B" w:rsidRDefault="003A4F3B" w:rsidP="00197405">
            <w:r w:rsidRPr="003A4F3B">
              <w:t>6</w:t>
            </w:r>
          </w:p>
        </w:tc>
        <w:tc>
          <w:tcPr>
            <w:tcW w:w="0" w:type="auto"/>
            <w:tcMar>
              <w:top w:w="137" w:type="dxa"/>
              <w:left w:w="120" w:type="dxa"/>
              <w:bottom w:w="137" w:type="dxa"/>
              <w:right w:w="120" w:type="dxa"/>
            </w:tcMar>
            <w:vAlign w:val="bottom"/>
            <w:hideMark/>
          </w:tcPr>
          <w:p w14:paraId="03FE1B71" w14:textId="77777777" w:rsidR="003A4F3B" w:rsidRPr="003A4F3B" w:rsidRDefault="003A4F3B" w:rsidP="00197405">
            <w:r w:rsidRPr="003A4F3B">
              <w:t>Berkshire Hathaway</w:t>
            </w:r>
          </w:p>
        </w:tc>
        <w:tc>
          <w:tcPr>
            <w:tcW w:w="0" w:type="auto"/>
            <w:tcMar>
              <w:top w:w="137" w:type="dxa"/>
              <w:left w:w="120" w:type="dxa"/>
              <w:bottom w:w="137" w:type="dxa"/>
              <w:right w:w="120" w:type="dxa"/>
            </w:tcMar>
            <w:vAlign w:val="bottom"/>
            <w:hideMark/>
          </w:tcPr>
          <w:p w14:paraId="466F7366" w14:textId="77777777" w:rsidR="003A4F3B" w:rsidRPr="003A4F3B" w:rsidRDefault="003A4F3B" w:rsidP="00197405">
            <w:r w:rsidRPr="003A4F3B">
              <w:t>Servicios financieros</w:t>
            </w:r>
          </w:p>
        </w:tc>
        <w:tc>
          <w:tcPr>
            <w:tcW w:w="0" w:type="auto"/>
            <w:tcMar>
              <w:top w:w="137" w:type="dxa"/>
              <w:left w:w="120" w:type="dxa"/>
              <w:bottom w:w="137" w:type="dxa"/>
              <w:right w:w="120" w:type="dxa"/>
            </w:tcMar>
            <w:vAlign w:val="bottom"/>
            <w:hideMark/>
          </w:tcPr>
          <w:p w14:paraId="3CAAF67B" w14:textId="77777777" w:rsidR="003A4F3B" w:rsidRPr="003A4F3B" w:rsidRDefault="003A4F3B" w:rsidP="00197405">
            <w:r w:rsidRPr="003A4F3B">
              <w:t>Estados Unidos</w:t>
            </w:r>
          </w:p>
        </w:tc>
        <w:tc>
          <w:tcPr>
            <w:tcW w:w="0" w:type="auto"/>
            <w:tcMar>
              <w:top w:w="137" w:type="dxa"/>
              <w:left w:w="120" w:type="dxa"/>
              <w:bottom w:w="137" w:type="dxa"/>
              <w:right w:w="120" w:type="dxa"/>
            </w:tcMar>
            <w:vAlign w:val="bottom"/>
            <w:hideMark/>
          </w:tcPr>
          <w:p w14:paraId="05BEB224" w14:textId="77777777" w:rsidR="003A4F3B" w:rsidRPr="003A4F3B" w:rsidRDefault="003A4F3B" w:rsidP="00197405">
            <w:r w:rsidRPr="003A4F3B">
              <w:t>Más de 1 billón de dólares</w:t>
            </w:r>
          </w:p>
        </w:tc>
      </w:tr>
      <w:tr w:rsidR="003A4F3B" w:rsidRPr="003A4F3B" w14:paraId="3001B743" w14:textId="77777777" w:rsidTr="00197405">
        <w:trPr>
          <w:trHeight w:val="119"/>
        </w:trPr>
        <w:tc>
          <w:tcPr>
            <w:tcW w:w="0" w:type="auto"/>
            <w:tcMar>
              <w:top w:w="137" w:type="dxa"/>
              <w:left w:w="120" w:type="dxa"/>
              <w:bottom w:w="137" w:type="dxa"/>
              <w:right w:w="120" w:type="dxa"/>
            </w:tcMar>
            <w:vAlign w:val="bottom"/>
            <w:hideMark/>
          </w:tcPr>
          <w:p w14:paraId="3A125723" w14:textId="77777777" w:rsidR="003A4F3B" w:rsidRPr="003A4F3B" w:rsidRDefault="003A4F3B" w:rsidP="00197405">
            <w:r w:rsidRPr="003A4F3B">
              <w:t>7</w:t>
            </w:r>
          </w:p>
        </w:tc>
        <w:tc>
          <w:tcPr>
            <w:tcW w:w="0" w:type="auto"/>
            <w:tcMar>
              <w:top w:w="137" w:type="dxa"/>
              <w:left w:w="120" w:type="dxa"/>
              <w:bottom w:w="137" w:type="dxa"/>
              <w:right w:w="120" w:type="dxa"/>
            </w:tcMar>
            <w:vAlign w:val="bottom"/>
            <w:hideMark/>
          </w:tcPr>
          <w:p w14:paraId="6CA5BBA5" w14:textId="77777777" w:rsidR="003A4F3B" w:rsidRPr="003A4F3B" w:rsidRDefault="003A4F3B" w:rsidP="00197405">
            <w:proofErr w:type="spellStart"/>
            <w:r w:rsidRPr="003A4F3B">
              <w:t>Nvidia</w:t>
            </w:r>
            <w:proofErr w:type="spellEnd"/>
          </w:p>
        </w:tc>
        <w:tc>
          <w:tcPr>
            <w:tcW w:w="0" w:type="auto"/>
            <w:tcMar>
              <w:top w:w="137" w:type="dxa"/>
              <w:left w:w="120" w:type="dxa"/>
              <w:bottom w:w="137" w:type="dxa"/>
              <w:right w:w="120" w:type="dxa"/>
            </w:tcMar>
            <w:vAlign w:val="bottom"/>
            <w:hideMark/>
          </w:tcPr>
          <w:p w14:paraId="2D1C924B" w14:textId="77777777" w:rsidR="003A4F3B" w:rsidRPr="003A4F3B" w:rsidRDefault="003A4F3B" w:rsidP="00197405">
            <w:r w:rsidRPr="003A4F3B">
              <w:t>Tecnología (IA y semiconductores)</w:t>
            </w:r>
          </w:p>
        </w:tc>
        <w:tc>
          <w:tcPr>
            <w:tcW w:w="0" w:type="auto"/>
            <w:tcMar>
              <w:top w:w="137" w:type="dxa"/>
              <w:left w:w="120" w:type="dxa"/>
              <w:bottom w:w="137" w:type="dxa"/>
              <w:right w:w="120" w:type="dxa"/>
            </w:tcMar>
            <w:vAlign w:val="bottom"/>
            <w:hideMark/>
          </w:tcPr>
          <w:p w14:paraId="3C2509B5" w14:textId="77777777" w:rsidR="003A4F3B" w:rsidRPr="003A4F3B" w:rsidRDefault="003A4F3B" w:rsidP="00197405">
            <w:r w:rsidRPr="003A4F3B">
              <w:t>Estados Unidos</w:t>
            </w:r>
          </w:p>
        </w:tc>
        <w:tc>
          <w:tcPr>
            <w:tcW w:w="0" w:type="auto"/>
            <w:tcMar>
              <w:top w:w="137" w:type="dxa"/>
              <w:left w:w="120" w:type="dxa"/>
              <w:bottom w:w="137" w:type="dxa"/>
              <w:right w:w="120" w:type="dxa"/>
            </w:tcMar>
            <w:vAlign w:val="bottom"/>
            <w:hideMark/>
          </w:tcPr>
          <w:p w14:paraId="73F24303" w14:textId="77777777" w:rsidR="003A4F3B" w:rsidRPr="003A4F3B" w:rsidRDefault="003A4F3B" w:rsidP="00197405">
            <w:r w:rsidRPr="003A4F3B">
              <w:t>Cerca de 3 billones de dólares (varía según fuente)</w:t>
            </w:r>
          </w:p>
        </w:tc>
      </w:tr>
      <w:tr w:rsidR="003A4F3B" w:rsidRPr="003A4F3B" w14:paraId="57235551" w14:textId="77777777" w:rsidTr="00197405">
        <w:trPr>
          <w:trHeight w:val="119"/>
        </w:trPr>
        <w:tc>
          <w:tcPr>
            <w:tcW w:w="0" w:type="auto"/>
            <w:tcMar>
              <w:top w:w="137" w:type="dxa"/>
              <w:left w:w="120" w:type="dxa"/>
              <w:bottom w:w="137" w:type="dxa"/>
              <w:right w:w="120" w:type="dxa"/>
            </w:tcMar>
            <w:vAlign w:val="bottom"/>
            <w:hideMark/>
          </w:tcPr>
          <w:p w14:paraId="4CE051D7" w14:textId="77777777" w:rsidR="003A4F3B" w:rsidRPr="003A4F3B" w:rsidRDefault="003A4F3B" w:rsidP="00197405">
            <w:r w:rsidRPr="003A4F3B">
              <w:t>8</w:t>
            </w:r>
          </w:p>
        </w:tc>
        <w:tc>
          <w:tcPr>
            <w:tcW w:w="0" w:type="auto"/>
            <w:tcMar>
              <w:top w:w="137" w:type="dxa"/>
              <w:left w:w="120" w:type="dxa"/>
              <w:bottom w:w="137" w:type="dxa"/>
              <w:right w:w="120" w:type="dxa"/>
            </w:tcMar>
            <w:vAlign w:val="bottom"/>
            <w:hideMark/>
          </w:tcPr>
          <w:p w14:paraId="54B09067" w14:textId="77777777" w:rsidR="003A4F3B" w:rsidRPr="003A4F3B" w:rsidRDefault="003A4F3B" w:rsidP="00197405">
            <w:r w:rsidRPr="003A4F3B">
              <w:t>JPMorgan Chase</w:t>
            </w:r>
          </w:p>
        </w:tc>
        <w:tc>
          <w:tcPr>
            <w:tcW w:w="0" w:type="auto"/>
            <w:tcMar>
              <w:top w:w="137" w:type="dxa"/>
              <w:left w:w="120" w:type="dxa"/>
              <w:bottom w:w="137" w:type="dxa"/>
              <w:right w:w="120" w:type="dxa"/>
            </w:tcMar>
            <w:vAlign w:val="bottom"/>
            <w:hideMark/>
          </w:tcPr>
          <w:p w14:paraId="14A09D75" w14:textId="77777777" w:rsidR="003A4F3B" w:rsidRPr="003A4F3B" w:rsidRDefault="003A4F3B" w:rsidP="00197405">
            <w:r w:rsidRPr="003A4F3B">
              <w:t>Servicios financieros</w:t>
            </w:r>
          </w:p>
        </w:tc>
        <w:tc>
          <w:tcPr>
            <w:tcW w:w="0" w:type="auto"/>
            <w:tcMar>
              <w:top w:w="137" w:type="dxa"/>
              <w:left w:w="120" w:type="dxa"/>
              <w:bottom w:w="137" w:type="dxa"/>
              <w:right w:w="120" w:type="dxa"/>
            </w:tcMar>
            <w:vAlign w:val="bottom"/>
            <w:hideMark/>
          </w:tcPr>
          <w:p w14:paraId="70C54367" w14:textId="77777777" w:rsidR="003A4F3B" w:rsidRPr="003A4F3B" w:rsidRDefault="003A4F3B" w:rsidP="00197405">
            <w:r w:rsidRPr="003A4F3B">
              <w:t>Estados Unidos</w:t>
            </w:r>
          </w:p>
        </w:tc>
        <w:tc>
          <w:tcPr>
            <w:tcW w:w="0" w:type="auto"/>
            <w:tcMar>
              <w:top w:w="137" w:type="dxa"/>
              <w:left w:w="120" w:type="dxa"/>
              <w:bottom w:w="137" w:type="dxa"/>
              <w:right w:w="120" w:type="dxa"/>
            </w:tcMar>
            <w:vAlign w:val="bottom"/>
            <w:hideMark/>
          </w:tcPr>
          <w:p w14:paraId="5AB7C592" w14:textId="77777777" w:rsidR="003A4F3B" w:rsidRPr="003A4F3B" w:rsidRDefault="003A4F3B" w:rsidP="00197405">
            <w:r w:rsidRPr="003A4F3B">
              <w:t>Valor comercial cercano a 678 mil millones de dólares</w:t>
            </w:r>
          </w:p>
        </w:tc>
      </w:tr>
      <w:tr w:rsidR="003A4F3B" w:rsidRPr="003A4F3B" w14:paraId="4741C2D5" w14:textId="77777777" w:rsidTr="00197405">
        <w:trPr>
          <w:trHeight w:val="119"/>
        </w:trPr>
        <w:tc>
          <w:tcPr>
            <w:tcW w:w="0" w:type="auto"/>
            <w:tcMar>
              <w:top w:w="137" w:type="dxa"/>
              <w:left w:w="120" w:type="dxa"/>
              <w:bottom w:w="137" w:type="dxa"/>
              <w:right w:w="120" w:type="dxa"/>
            </w:tcMar>
            <w:vAlign w:val="bottom"/>
            <w:hideMark/>
          </w:tcPr>
          <w:p w14:paraId="018CF81F" w14:textId="77777777" w:rsidR="003A4F3B" w:rsidRPr="003A4F3B" w:rsidRDefault="003A4F3B" w:rsidP="00197405">
            <w:r w:rsidRPr="003A4F3B">
              <w:t>9</w:t>
            </w:r>
          </w:p>
        </w:tc>
        <w:tc>
          <w:tcPr>
            <w:tcW w:w="0" w:type="auto"/>
            <w:tcMar>
              <w:top w:w="137" w:type="dxa"/>
              <w:left w:w="120" w:type="dxa"/>
              <w:bottom w:w="137" w:type="dxa"/>
              <w:right w:w="120" w:type="dxa"/>
            </w:tcMar>
            <w:vAlign w:val="bottom"/>
            <w:hideMark/>
          </w:tcPr>
          <w:p w14:paraId="18175BC3" w14:textId="77777777" w:rsidR="003A4F3B" w:rsidRPr="003A4F3B" w:rsidRDefault="003A4F3B" w:rsidP="00197405">
            <w:r w:rsidRPr="003A4F3B">
              <w:t xml:space="preserve">Bank </w:t>
            </w:r>
            <w:proofErr w:type="spellStart"/>
            <w:r w:rsidRPr="003A4F3B">
              <w:t>of</w:t>
            </w:r>
            <w:proofErr w:type="spellEnd"/>
            <w:r w:rsidRPr="003A4F3B">
              <w:t xml:space="preserve"> </w:t>
            </w:r>
            <w:proofErr w:type="spellStart"/>
            <w:r w:rsidRPr="003A4F3B">
              <w:t>America</w:t>
            </w:r>
            <w:proofErr w:type="spellEnd"/>
          </w:p>
        </w:tc>
        <w:tc>
          <w:tcPr>
            <w:tcW w:w="0" w:type="auto"/>
            <w:tcMar>
              <w:top w:w="137" w:type="dxa"/>
              <w:left w:w="120" w:type="dxa"/>
              <w:bottom w:w="137" w:type="dxa"/>
              <w:right w:w="120" w:type="dxa"/>
            </w:tcMar>
            <w:vAlign w:val="bottom"/>
            <w:hideMark/>
          </w:tcPr>
          <w:p w14:paraId="5327F88B" w14:textId="77777777" w:rsidR="003A4F3B" w:rsidRPr="003A4F3B" w:rsidRDefault="003A4F3B" w:rsidP="00197405">
            <w:r w:rsidRPr="003A4F3B">
              <w:t>Servicios financieros</w:t>
            </w:r>
          </w:p>
        </w:tc>
        <w:tc>
          <w:tcPr>
            <w:tcW w:w="0" w:type="auto"/>
            <w:tcMar>
              <w:top w:w="137" w:type="dxa"/>
              <w:left w:w="120" w:type="dxa"/>
              <w:bottom w:w="137" w:type="dxa"/>
              <w:right w:w="120" w:type="dxa"/>
            </w:tcMar>
            <w:vAlign w:val="bottom"/>
            <w:hideMark/>
          </w:tcPr>
          <w:p w14:paraId="3F76D462" w14:textId="77777777" w:rsidR="003A4F3B" w:rsidRPr="003A4F3B" w:rsidRDefault="003A4F3B" w:rsidP="00197405">
            <w:r w:rsidRPr="003A4F3B">
              <w:t>Estados Unidos</w:t>
            </w:r>
          </w:p>
        </w:tc>
        <w:tc>
          <w:tcPr>
            <w:tcW w:w="0" w:type="auto"/>
            <w:tcMar>
              <w:top w:w="137" w:type="dxa"/>
              <w:left w:w="120" w:type="dxa"/>
              <w:bottom w:w="137" w:type="dxa"/>
              <w:right w:w="120" w:type="dxa"/>
            </w:tcMar>
            <w:vAlign w:val="bottom"/>
            <w:hideMark/>
          </w:tcPr>
          <w:p w14:paraId="4CBE9AB4" w14:textId="77777777" w:rsidR="003A4F3B" w:rsidRPr="003A4F3B" w:rsidRDefault="003A4F3B" w:rsidP="00197405">
            <w:r w:rsidRPr="003A4F3B">
              <w:t>Valor comercial alrededor de 300 mil millones</w:t>
            </w:r>
          </w:p>
        </w:tc>
      </w:tr>
      <w:tr w:rsidR="003A4F3B" w:rsidRPr="003A4F3B" w14:paraId="2A8E3611" w14:textId="77777777" w:rsidTr="00197405">
        <w:trPr>
          <w:trHeight w:val="119"/>
        </w:trPr>
        <w:tc>
          <w:tcPr>
            <w:tcW w:w="0" w:type="auto"/>
            <w:tcMar>
              <w:top w:w="137" w:type="dxa"/>
              <w:left w:w="120" w:type="dxa"/>
              <w:bottom w:w="137" w:type="dxa"/>
              <w:right w:w="120" w:type="dxa"/>
            </w:tcMar>
            <w:vAlign w:val="bottom"/>
            <w:hideMark/>
          </w:tcPr>
          <w:p w14:paraId="40DC3E3E" w14:textId="77777777" w:rsidR="003A4F3B" w:rsidRPr="003A4F3B" w:rsidRDefault="003A4F3B" w:rsidP="00197405">
            <w:r w:rsidRPr="003A4F3B">
              <w:lastRenderedPageBreak/>
              <w:t>10</w:t>
            </w:r>
          </w:p>
        </w:tc>
        <w:tc>
          <w:tcPr>
            <w:tcW w:w="0" w:type="auto"/>
            <w:tcMar>
              <w:top w:w="137" w:type="dxa"/>
              <w:left w:w="120" w:type="dxa"/>
              <w:bottom w:w="137" w:type="dxa"/>
              <w:right w:w="120" w:type="dxa"/>
            </w:tcMar>
            <w:vAlign w:val="bottom"/>
            <w:hideMark/>
          </w:tcPr>
          <w:p w14:paraId="5C4CBAB2" w14:textId="77777777" w:rsidR="003A4F3B" w:rsidRPr="003A4F3B" w:rsidRDefault="003A4F3B" w:rsidP="00197405">
            <w:r w:rsidRPr="003A4F3B">
              <w:t xml:space="preserve">China </w:t>
            </w:r>
            <w:proofErr w:type="spellStart"/>
            <w:r w:rsidRPr="003A4F3B">
              <w:t>Construction</w:t>
            </w:r>
            <w:proofErr w:type="spellEnd"/>
            <w:r w:rsidRPr="003A4F3B">
              <w:t xml:space="preserve"> Bank</w:t>
            </w:r>
          </w:p>
        </w:tc>
        <w:tc>
          <w:tcPr>
            <w:tcW w:w="0" w:type="auto"/>
            <w:tcMar>
              <w:top w:w="137" w:type="dxa"/>
              <w:left w:w="120" w:type="dxa"/>
              <w:bottom w:w="137" w:type="dxa"/>
              <w:right w:w="120" w:type="dxa"/>
            </w:tcMar>
            <w:vAlign w:val="bottom"/>
            <w:hideMark/>
          </w:tcPr>
          <w:p w14:paraId="06A32745" w14:textId="77777777" w:rsidR="003A4F3B" w:rsidRPr="003A4F3B" w:rsidRDefault="003A4F3B" w:rsidP="00197405">
            <w:r w:rsidRPr="003A4F3B">
              <w:t>Servicios financieros</w:t>
            </w:r>
          </w:p>
        </w:tc>
        <w:tc>
          <w:tcPr>
            <w:tcW w:w="0" w:type="auto"/>
            <w:tcMar>
              <w:top w:w="137" w:type="dxa"/>
              <w:left w:w="120" w:type="dxa"/>
              <w:bottom w:w="137" w:type="dxa"/>
              <w:right w:w="120" w:type="dxa"/>
            </w:tcMar>
            <w:vAlign w:val="bottom"/>
            <w:hideMark/>
          </w:tcPr>
          <w:p w14:paraId="3C26250F" w14:textId="77777777" w:rsidR="003A4F3B" w:rsidRPr="003A4F3B" w:rsidRDefault="003A4F3B" w:rsidP="00197405">
            <w:r w:rsidRPr="003A4F3B">
              <w:t>China</w:t>
            </w:r>
          </w:p>
        </w:tc>
        <w:tc>
          <w:tcPr>
            <w:tcW w:w="0" w:type="auto"/>
            <w:tcMar>
              <w:top w:w="137" w:type="dxa"/>
              <w:left w:w="120" w:type="dxa"/>
              <w:bottom w:w="137" w:type="dxa"/>
              <w:right w:w="120" w:type="dxa"/>
            </w:tcMar>
            <w:vAlign w:val="bottom"/>
            <w:hideMark/>
          </w:tcPr>
          <w:p w14:paraId="1E68839F" w14:textId="77777777" w:rsidR="003A4F3B" w:rsidRPr="003A4F3B" w:rsidRDefault="003A4F3B" w:rsidP="00197405">
            <w:r w:rsidRPr="003A4F3B">
              <w:t>Valor comercial cerca de 220 mil millones</w:t>
            </w:r>
          </w:p>
        </w:tc>
      </w:tr>
    </w:tbl>
    <w:p w14:paraId="1CC5E2DF" w14:textId="77777777" w:rsidR="003A4F3B" w:rsidRDefault="003A4F3B" w:rsidP="003A4F3B"/>
    <w:p w14:paraId="2B932235" w14:textId="1537E7D7" w:rsidR="003A4F3B" w:rsidRPr="003A4F3B" w:rsidRDefault="003A4F3B" w:rsidP="003A4F3B">
      <w:r w:rsidRPr="003A4F3B">
        <w:t>Estas empresas dominan tanto por su capitalización bursátil como por su influencia en sectores clave como inteligencia artificial, servicios financieros, energía y comercio digital.</w:t>
      </w:r>
    </w:p>
    <w:p w14:paraId="46940CD1" w14:textId="689300D3" w:rsidR="003A4F3B" w:rsidRPr="003A4F3B" w:rsidRDefault="003A4F3B" w:rsidP="003A4F3B">
      <w:r>
        <w:rPr>
          <w:b/>
          <w:bCs/>
        </w:rPr>
        <w:t>Bo</w:t>
      </w:r>
      <w:r w:rsidRPr="003A4F3B">
        <w:rPr>
          <w:b/>
          <w:bCs/>
        </w:rPr>
        <w:t>lsas de valores más poderosas</w:t>
      </w:r>
      <w:r>
        <w:rPr>
          <w:b/>
          <w:bCs/>
        </w:rPr>
        <w:t xml:space="preserve"> </w:t>
      </w:r>
      <w:r w:rsidRPr="003A4F3B">
        <w:rPr>
          <w:b/>
          <w:bCs/>
        </w:rPr>
        <w:t>para 2025</w:t>
      </w:r>
    </w:p>
    <w:tbl>
      <w:tblPr>
        <w:tblW w:w="8853" w:type="dxa"/>
        <w:tblCellMar>
          <w:top w:w="15" w:type="dxa"/>
          <w:left w:w="15" w:type="dxa"/>
          <w:bottom w:w="15" w:type="dxa"/>
          <w:right w:w="15" w:type="dxa"/>
        </w:tblCellMar>
        <w:tblLook w:val="04A0" w:firstRow="1" w:lastRow="0" w:firstColumn="1" w:lastColumn="0" w:noHBand="0" w:noVBand="1"/>
      </w:tblPr>
      <w:tblGrid>
        <w:gridCol w:w="2504"/>
        <w:gridCol w:w="1661"/>
        <w:gridCol w:w="4688"/>
      </w:tblGrid>
      <w:tr w:rsidR="003A4F3B" w:rsidRPr="003A4F3B" w14:paraId="65A2ABBC" w14:textId="77777777" w:rsidTr="003A4F3B">
        <w:trPr>
          <w:trHeight w:val="460"/>
          <w:tblHeader/>
        </w:trPr>
        <w:tc>
          <w:tcPr>
            <w:tcW w:w="0" w:type="auto"/>
            <w:tcMar>
              <w:top w:w="120" w:type="dxa"/>
              <w:left w:w="120" w:type="dxa"/>
              <w:bottom w:w="120" w:type="dxa"/>
              <w:right w:w="120" w:type="dxa"/>
            </w:tcMar>
            <w:hideMark/>
          </w:tcPr>
          <w:p w14:paraId="38BC854B" w14:textId="77777777" w:rsidR="003A4F3B" w:rsidRPr="003A4F3B" w:rsidRDefault="003A4F3B" w:rsidP="003A4F3B">
            <w:pPr>
              <w:rPr>
                <w:b/>
                <w:bCs/>
              </w:rPr>
            </w:pPr>
            <w:r w:rsidRPr="003A4F3B">
              <w:rPr>
                <w:b/>
                <w:bCs/>
              </w:rPr>
              <w:t>Bolsa de Valores</w:t>
            </w:r>
          </w:p>
        </w:tc>
        <w:tc>
          <w:tcPr>
            <w:tcW w:w="0" w:type="auto"/>
            <w:tcMar>
              <w:top w:w="120" w:type="dxa"/>
              <w:left w:w="120" w:type="dxa"/>
              <w:bottom w:w="120" w:type="dxa"/>
              <w:right w:w="120" w:type="dxa"/>
            </w:tcMar>
            <w:hideMark/>
          </w:tcPr>
          <w:p w14:paraId="33526025" w14:textId="77777777" w:rsidR="003A4F3B" w:rsidRPr="003A4F3B" w:rsidRDefault="003A4F3B" w:rsidP="003A4F3B">
            <w:pPr>
              <w:rPr>
                <w:b/>
                <w:bCs/>
              </w:rPr>
            </w:pPr>
            <w:r w:rsidRPr="003A4F3B">
              <w:rPr>
                <w:b/>
                <w:bCs/>
              </w:rPr>
              <w:t>País</w:t>
            </w:r>
          </w:p>
        </w:tc>
        <w:tc>
          <w:tcPr>
            <w:tcW w:w="0" w:type="auto"/>
            <w:tcMar>
              <w:top w:w="120" w:type="dxa"/>
              <w:left w:w="120" w:type="dxa"/>
              <w:bottom w:w="120" w:type="dxa"/>
              <w:right w:w="120" w:type="dxa"/>
            </w:tcMar>
            <w:hideMark/>
          </w:tcPr>
          <w:p w14:paraId="7A3F335F" w14:textId="77777777" w:rsidR="003A4F3B" w:rsidRPr="003A4F3B" w:rsidRDefault="003A4F3B" w:rsidP="003A4F3B">
            <w:pPr>
              <w:rPr>
                <w:b/>
                <w:bCs/>
              </w:rPr>
            </w:pPr>
            <w:r w:rsidRPr="003A4F3B">
              <w:rPr>
                <w:b/>
                <w:bCs/>
              </w:rPr>
              <w:t>Características principales</w:t>
            </w:r>
          </w:p>
        </w:tc>
      </w:tr>
      <w:tr w:rsidR="003A4F3B" w:rsidRPr="003A4F3B" w14:paraId="4B93D239" w14:textId="77777777" w:rsidTr="003A4F3B">
        <w:trPr>
          <w:trHeight w:val="460"/>
        </w:trPr>
        <w:tc>
          <w:tcPr>
            <w:tcW w:w="0" w:type="auto"/>
            <w:tcMar>
              <w:top w:w="137" w:type="dxa"/>
              <w:left w:w="120" w:type="dxa"/>
              <w:bottom w:w="137" w:type="dxa"/>
              <w:right w:w="120" w:type="dxa"/>
            </w:tcMar>
            <w:vAlign w:val="bottom"/>
            <w:hideMark/>
          </w:tcPr>
          <w:p w14:paraId="2CA33E9D" w14:textId="77777777" w:rsidR="003A4F3B" w:rsidRPr="003A4F3B" w:rsidRDefault="003A4F3B" w:rsidP="003A4F3B">
            <w:r w:rsidRPr="003A4F3B">
              <w:t>Bolsa de Nueva York (NYSE)</w:t>
            </w:r>
          </w:p>
        </w:tc>
        <w:tc>
          <w:tcPr>
            <w:tcW w:w="0" w:type="auto"/>
            <w:tcMar>
              <w:top w:w="137" w:type="dxa"/>
              <w:left w:w="120" w:type="dxa"/>
              <w:bottom w:w="137" w:type="dxa"/>
              <w:right w:w="120" w:type="dxa"/>
            </w:tcMar>
            <w:vAlign w:val="bottom"/>
            <w:hideMark/>
          </w:tcPr>
          <w:p w14:paraId="0DA5D56B" w14:textId="77777777" w:rsidR="003A4F3B" w:rsidRPr="003A4F3B" w:rsidRDefault="003A4F3B" w:rsidP="003A4F3B">
            <w:r w:rsidRPr="003A4F3B">
              <w:t>Estados Unidos</w:t>
            </w:r>
          </w:p>
        </w:tc>
        <w:tc>
          <w:tcPr>
            <w:tcW w:w="0" w:type="auto"/>
            <w:tcMar>
              <w:top w:w="137" w:type="dxa"/>
              <w:left w:w="120" w:type="dxa"/>
              <w:bottom w:w="137" w:type="dxa"/>
              <w:right w:w="120" w:type="dxa"/>
            </w:tcMar>
            <w:vAlign w:val="bottom"/>
            <w:hideMark/>
          </w:tcPr>
          <w:p w14:paraId="2DF92F2E" w14:textId="77777777" w:rsidR="003A4F3B" w:rsidRPr="003A4F3B" w:rsidRDefault="003A4F3B" w:rsidP="003A4F3B">
            <w:r w:rsidRPr="003A4F3B">
              <w:t>Mayor capitalización bursátil global</w:t>
            </w:r>
          </w:p>
        </w:tc>
      </w:tr>
      <w:tr w:rsidR="003A4F3B" w:rsidRPr="003A4F3B" w14:paraId="3919BB99" w14:textId="77777777" w:rsidTr="003A4F3B">
        <w:trPr>
          <w:trHeight w:val="471"/>
        </w:trPr>
        <w:tc>
          <w:tcPr>
            <w:tcW w:w="0" w:type="auto"/>
            <w:tcMar>
              <w:top w:w="137" w:type="dxa"/>
              <w:left w:w="120" w:type="dxa"/>
              <w:bottom w:w="137" w:type="dxa"/>
              <w:right w:w="120" w:type="dxa"/>
            </w:tcMar>
            <w:vAlign w:val="bottom"/>
            <w:hideMark/>
          </w:tcPr>
          <w:p w14:paraId="00F4BEBC" w14:textId="77777777" w:rsidR="003A4F3B" w:rsidRPr="003A4F3B" w:rsidRDefault="003A4F3B" w:rsidP="003A4F3B">
            <w:r w:rsidRPr="003A4F3B">
              <w:t>NASDAQ</w:t>
            </w:r>
          </w:p>
        </w:tc>
        <w:tc>
          <w:tcPr>
            <w:tcW w:w="0" w:type="auto"/>
            <w:tcMar>
              <w:top w:w="137" w:type="dxa"/>
              <w:left w:w="120" w:type="dxa"/>
              <w:bottom w:w="137" w:type="dxa"/>
              <w:right w:w="120" w:type="dxa"/>
            </w:tcMar>
            <w:vAlign w:val="bottom"/>
            <w:hideMark/>
          </w:tcPr>
          <w:p w14:paraId="4845E699" w14:textId="77777777" w:rsidR="003A4F3B" w:rsidRPr="003A4F3B" w:rsidRDefault="003A4F3B" w:rsidP="003A4F3B">
            <w:r w:rsidRPr="003A4F3B">
              <w:t>Estados Unidos</w:t>
            </w:r>
          </w:p>
        </w:tc>
        <w:tc>
          <w:tcPr>
            <w:tcW w:w="0" w:type="auto"/>
            <w:tcMar>
              <w:top w:w="137" w:type="dxa"/>
              <w:left w:w="120" w:type="dxa"/>
              <w:bottom w:w="137" w:type="dxa"/>
              <w:right w:w="120" w:type="dxa"/>
            </w:tcMar>
            <w:vAlign w:val="bottom"/>
            <w:hideMark/>
          </w:tcPr>
          <w:p w14:paraId="3CAC4D2E" w14:textId="77777777" w:rsidR="003A4F3B" w:rsidRPr="003A4F3B" w:rsidRDefault="003A4F3B" w:rsidP="003A4F3B">
            <w:r w:rsidRPr="003A4F3B">
              <w:t>Enfocada en tecnología y empresas innovadoras</w:t>
            </w:r>
          </w:p>
        </w:tc>
      </w:tr>
      <w:tr w:rsidR="003A4F3B" w:rsidRPr="003A4F3B" w14:paraId="6D3A51BC" w14:textId="77777777" w:rsidTr="003A4F3B">
        <w:trPr>
          <w:trHeight w:val="460"/>
        </w:trPr>
        <w:tc>
          <w:tcPr>
            <w:tcW w:w="0" w:type="auto"/>
            <w:tcMar>
              <w:top w:w="137" w:type="dxa"/>
              <w:left w:w="120" w:type="dxa"/>
              <w:bottom w:w="137" w:type="dxa"/>
              <w:right w:w="120" w:type="dxa"/>
            </w:tcMar>
            <w:vAlign w:val="bottom"/>
            <w:hideMark/>
          </w:tcPr>
          <w:p w14:paraId="2B3EA6EA" w14:textId="77777777" w:rsidR="003A4F3B" w:rsidRPr="003A4F3B" w:rsidRDefault="003A4F3B" w:rsidP="003A4F3B">
            <w:r w:rsidRPr="003A4F3B">
              <w:t>Bolsa de Tokio (TSE)</w:t>
            </w:r>
          </w:p>
        </w:tc>
        <w:tc>
          <w:tcPr>
            <w:tcW w:w="0" w:type="auto"/>
            <w:tcMar>
              <w:top w:w="137" w:type="dxa"/>
              <w:left w:w="120" w:type="dxa"/>
              <w:bottom w:w="137" w:type="dxa"/>
              <w:right w:w="120" w:type="dxa"/>
            </w:tcMar>
            <w:vAlign w:val="bottom"/>
            <w:hideMark/>
          </w:tcPr>
          <w:p w14:paraId="1D9619AE" w14:textId="77777777" w:rsidR="003A4F3B" w:rsidRPr="003A4F3B" w:rsidRDefault="003A4F3B" w:rsidP="003A4F3B">
            <w:r w:rsidRPr="003A4F3B">
              <w:t>Japón</w:t>
            </w:r>
          </w:p>
        </w:tc>
        <w:tc>
          <w:tcPr>
            <w:tcW w:w="0" w:type="auto"/>
            <w:tcMar>
              <w:top w:w="137" w:type="dxa"/>
              <w:left w:w="120" w:type="dxa"/>
              <w:bottom w:w="137" w:type="dxa"/>
              <w:right w:w="120" w:type="dxa"/>
            </w:tcMar>
            <w:vAlign w:val="bottom"/>
            <w:hideMark/>
          </w:tcPr>
          <w:p w14:paraId="2263E44E" w14:textId="77777777" w:rsidR="003A4F3B" w:rsidRPr="003A4F3B" w:rsidRDefault="003A4F3B" w:rsidP="003A4F3B">
            <w:r w:rsidRPr="003A4F3B">
              <w:t>Principal mercado bursátil de Asia</w:t>
            </w:r>
          </w:p>
        </w:tc>
      </w:tr>
      <w:tr w:rsidR="003A4F3B" w:rsidRPr="003A4F3B" w14:paraId="10B6850F" w14:textId="77777777" w:rsidTr="003A4F3B">
        <w:trPr>
          <w:trHeight w:val="460"/>
        </w:trPr>
        <w:tc>
          <w:tcPr>
            <w:tcW w:w="0" w:type="auto"/>
            <w:tcMar>
              <w:top w:w="137" w:type="dxa"/>
              <w:left w:w="120" w:type="dxa"/>
              <w:bottom w:w="137" w:type="dxa"/>
              <w:right w:w="120" w:type="dxa"/>
            </w:tcMar>
            <w:vAlign w:val="bottom"/>
            <w:hideMark/>
          </w:tcPr>
          <w:p w14:paraId="715E8B7C" w14:textId="77777777" w:rsidR="003A4F3B" w:rsidRPr="003A4F3B" w:rsidRDefault="003A4F3B" w:rsidP="003A4F3B">
            <w:r w:rsidRPr="003A4F3B">
              <w:t>Bolsa de Shanghái</w:t>
            </w:r>
          </w:p>
        </w:tc>
        <w:tc>
          <w:tcPr>
            <w:tcW w:w="0" w:type="auto"/>
            <w:tcMar>
              <w:top w:w="137" w:type="dxa"/>
              <w:left w:w="120" w:type="dxa"/>
              <w:bottom w:w="137" w:type="dxa"/>
              <w:right w:w="120" w:type="dxa"/>
            </w:tcMar>
            <w:vAlign w:val="bottom"/>
            <w:hideMark/>
          </w:tcPr>
          <w:p w14:paraId="531A0D5B" w14:textId="77777777" w:rsidR="003A4F3B" w:rsidRPr="003A4F3B" w:rsidRDefault="003A4F3B" w:rsidP="003A4F3B">
            <w:r w:rsidRPr="003A4F3B">
              <w:t>China</w:t>
            </w:r>
          </w:p>
        </w:tc>
        <w:tc>
          <w:tcPr>
            <w:tcW w:w="0" w:type="auto"/>
            <w:tcMar>
              <w:top w:w="137" w:type="dxa"/>
              <w:left w:w="120" w:type="dxa"/>
              <w:bottom w:w="137" w:type="dxa"/>
              <w:right w:w="120" w:type="dxa"/>
            </w:tcMar>
            <w:vAlign w:val="bottom"/>
            <w:hideMark/>
          </w:tcPr>
          <w:p w14:paraId="297F38E5" w14:textId="77777777" w:rsidR="003A4F3B" w:rsidRPr="003A4F3B" w:rsidRDefault="003A4F3B" w:rsidP="003A4F3B">
            <w:r w:rsidRPr="003A4F3B">
              <w:t>Gran volumen de empresas estatales y privadas</w:t>
            </w:r>
          </w:p>
        </w:tc>
      </w:tr>
      <w:tr w:rsidR="003A4F3B" w:rsidRPr="003A4F3B" w14:paraId="0C043732" w14:textId="77777777" w:rsidTr="003A4F3B">
        <w:trPr>
          <w:trHeight w:val="471"/>
        </w:trPr>
        <w:tc>
          <w:tcPr>
            <w:tcW w:w="0" w:type="auto"/>
            <w:tcMar>
              <w:top w:w="137" w:type="dxa"/>
              <w:left w:w="120" w:type="dxa"/>
              <w:bottom w:w="137" w:type="dxa"/>
              <w:right w:w="120" w:type="dxa"/>
            </w:tcMar>
            <w:vAlign w:val="bottom"/>
            <w:hideMark/>
          </w:tcPr>
          <w:p w14:paraId="451B3816" w14:textId="77777777" w:rsidR="003A4F3B" w:rsidRPr="003A4F3B" w:rsidRDefault="003A4F3B" w:rsidP="003A4F3B">
            <w:r w:rsidRPr="003A4F3B">
              <w:t>Bolsa de Hong Kong</w:t>
            </w:r>
          </w:p>
        </w:tc>
        <w:tc>
          <w:tcPr>
            <w:tcW w:w="0" w:type="auto"/>
            <w:tcMar>
              <w:top w:w="137" w:type="dxa"/>
              <w:left w:w="120" w:type="dxa"/>
              <w:bottom w:w="137" w:type="dxa"/>
              <w:right w:w="120" w:type="dxa"/>
            </w:tcMar>
            <w:vAlign w:val="bottom"/>
            <w:hideMark/>
          </w:tcPr>
          <w:p w14:paraId="40438134" w14:textId="77777777" w:rsidR="003A4F3B" w:rsidRPr="003A4F3B" w:rsidRDefault="003A4F3B" w:rsidP="003A4F3B">
            <w:r w:rsidRPr="003A4F3B">
              <w:t>Hong Kong</w:t>
            </w:r>
          </w:p>
        </w:tc>
        <w:tc>
          <w:tcPr>
            <w:tcW w:w="0" w:type="auto"/>
            <w:tcMar>
              <w:top w:w="137" w:type="dxa"/>
              <w:left w:w="120" w:type="dxa"/>
              <w:bottom w:w="137" w:type="dxa"/>
              <w:right w:w="120" w:type="dxa"/>
            </w:tcMar>
            <w:vAlign w:val="bottom"/>
            <w:hideMark/>
          </w:tcPr>
          <w:p w14:paraId="78C0803A" w14:textId="77777777" w:rsidR="003A4F3B" w:rsidRPr="003A4F3B" w:rsidRDefault="003A4F3B" w:rsidP="003A4F3B">
            <w:r w:rsidRPr="003A4F3B">
              <w:t>Puerta financiera entre Asia y Occidente</w:t>
            </w:r>
          </w:p>
        </w:tc>
      </w:tr>
      <w:tr w:rsidR="003A4F3B" w:rsidRPr="003A4F3B" w14:paraId="0D8EC968" w14:textId="77777777" w:rsidTr="003A4F3B">
        <w:trPr>
          <w:trHeight w:val="460"/>
        </w:trPr>
        <w:tc>
          <w:tcPr>
            <w:tcW w:w="0" w:type="auto"/>
            <w:tcMar>
              <w:top w:w="137" w:type="dxa"/>
              <w:left w:w="120" w:type="dxa"/>
              <w:bottom w:w="137" w:type="dxa"/>
              <w:right w:w="120" w:type="dxa"/>
            </w:tcMar>
            <w:vAlign w:val="bottom"/>
            <w:hideMark/>
          </w:tcPr>
          <w:p w14:paraId="18C6320A" w14:textId="77777777" w:rsidR="003A4F3B" w:rsidRPr="003A4F3B" w:rsidRDefault="003A4F3B" w:rsidP="003A4F3B">
            <w:r w:rsidRPr="003A4F3B">
              <w:t>Bolsa de Londres (LSE)</w:t>
            </w:r>
          </w:p>
        </w:tc>
        <w:tc>
          <w:tcPr>
            <w:tcW w:w="0" w:type="auto"/>
            <w:tcMar>
              <w:top w:w="137" w:type="dxa"/>
              <w:left w:w="120" w:type="dxa"/>
              <w:bottom w:w="137" w:type="dxa"/>
              <w:right w:w="120" w:type="dxa"/>
            </w:tcMar>
            <w:vAlign w:val="bottom"/>
            <w:hideMark/>
          </w:tcPr>
          <w:p w14:paraId="067A57F1" w14:textId="77777777" w:rsidR="003A4F3B" w:rsidRPr="003A4F3B" w:rsidRDefault="003A4F3B" w:rsidP="003A4F3B">
            <w:r w:rsidRPr="003A4F3B">
              <w:t>Reino Unido</w:t>
            </w:r>
          </w:p>
        </w:tc>
        <w:tc>
          <w:tcPr>
            <w:tcW w:w="0" w:type="auto"/>
            <w:tcMar>
              <w:top w:w="137" w:type="dxa"/>
              <w:left w:w="120" w:type="dxa"/>
              <w:bottom w:w="137" w:type="dxa"/>
              <w:right w:w="120" w:type="dxa"/>
            </w:tcMar>
            <w:vAlign w:val="bottom"/>
            <w:hideMark/>
          </w:tcPr>
          <w:p w14:paraId="1E8C75C5" w14:textId="77777777" w:rsidR="003A4F3B" w:rsidRPr="003A4F3B" w:rsidRDefault="003A4F3B" w:rsidP="003A4F3B">
            <w:r w:rsidRPr="003A4F3B">
              <w:t>Centro financiero europeo con alta liquidez</w:t>
            </w:r>
          </w:p>
        </w:tc>
      </w:tr>
      <w:tr w:rsidR="003A4F3B" w:rsidRPr="003A4F3B" w14:paraId="3C611553" w14:textId="77777777" w:rsidTr="003A4F3B">
        <w:trPr>
          <w:trHeight w:val="471"/>
        </w:trPr>
        <w:tc>
          <w:tcPr>
            <w:tcW w:w="0" w:type="auto"/>
            <w:tcMar>
              <w:top w:w="137" w:type="dxa"/>
              <w:left w:w="120" w:type="dxa"/>
              <w:bottom w:w="137" w:type="dxa"/>
              <w:right w:w="120" w:type="dxa"/>
            </w:tcMar>
            <w:vAlign w:val="bottom"/>
            <w:hideMark/>
          </w:tcPr>
          <w:p w14:paraId="39D14F28" w14:textId="77777777" w:rsidR="003A4F3B" w:rsidRPr="003A4F3B" w:rsidRDefault="003A4F3B" w:rsidP="003A4F3B">
            <w:r w:rsidRPr="003A4F3B">
              <w:t>Euronext</w:t>
            </w:r>
          </w:p>
        </w:tc>
        <w:tc>
          <w:tcPr>
            <w:tcW w:w="0" w:type="auto"/>
            <w:tcMar>
              <w:top w:w="137" w:type="dxa"/>
              <w:left w:w="120" w:type="dxa"/>
              <w:bottom w:w="137" w:type="dxa"/>
              <w:right w:w="120" w:type="dxa"/>
            </w:tcMar>
            <w:vAlign w:val="bottom"/>
            <w:hideMark/>
          </w:tcPr>
          <w:p w14:paraId="2DD68A19" w14:textId="77777777" w:rsidR="003A4F3B" w:rsidRPr="003A4F3B" w:rsidRDefault="003A4F3B" w:rsidP="003A4F3B">
            <w:r w:rsidRPr="003A4F3B">
              <w:t>Europa</w:t>
            </w:r>
          </w:p>
        </w:tc>
        <w:tc>
          <w:tcPr>
            <w:tcW w:w="0" w:type="auto"/>
            <w:tcMar>
              <w:top w:w="137" w:type="dxa"/>
              <w:left w:w="120" w:type="dxa"/>
              <w:bottom w:w="137" w:type="dxa"/>
              <w:right w:w="120" w:type="dxa"/>
            </w:tcMar>
            <w:vAlign w:val="bottom"/>
            <w:hideMark/>
          </w:tcPr>
          <w:p w14:paraId="1A7CAF62" w14:textId="77777777" w:rsidR="003A4F3B" w:rsidRPr="003A4F3B" w:rsidRDefault="003A4F3B" w:rsidP="003A4F3B">
            <w:r w:rsidRPr="003A4F3B">
              <w:t>Bolsa paneuropea que agrupa varios mercados</w:t>
            </w:r>
          </w:p>
        </w:tc>
      </w:tr>
      <w:tr w:rsidR="003A4F3B" w:rsidRPr="003A4F3B" w14:paraId="6703D1B6" w14:textId="77777777" w:rsidTr="003A4F3B">
        <w:trPr>
          <w:trHeight w:val="460"/>
        </w:trPr>
        <w:tc>
          <w:tcPr>
            <w:tcW w:w="0" w:type="auto"/>
            <w:tcMar>
              <w:top w:w="137" w:type="dxa"/>
              <w:left w:w="120" w:type="dxa"/>
              <w:bottom w:w="137" w:type="dxa"/>
              <w:right w:w="120" w:type="dxa"/>
            </w:tcMar>
            <w:vAlign w:val="bottom"/>
            <w:hideMark/>
          </w:tcPr>
          <w:p w14:paraId="737BD901" w14:textId="77777777" w:rsidR="003A4F3B" w:rsidRPr="003A4F3B" w:rsidRDefault="003A4F3B" w:rsidP="003A4F3B">
            <w:r w:rsidRPr="003A4F3B">
              <w:lastRenderedPageBreak/>
              <w:t>Bolsa de Frankfurt (FWB)</w:t>
            </w:r>
          </w:p>
        </w:tc>
        <w:tc>
          <w:tcPr>
            <w:tcW w:w="0" w:type="auto"/>
            <w:tcMar>
              <w:top w:w="137" w:type="dxa"/>
              <w:left w:w="120" w:type="dxa"/>
              <w:bottom w:w="137" w:type="dxa"/>
              <w:right w:w="120" w:type="dxa"/>
            </w:tcMar>
            <w:vAlign w:val="bottom"/>
            <w:hideMark/>
          </w:tcPr>
          <w:p w14:paraId="714102FB" w14:textId="77777777" w:rsidR="003A4F3B" w:rsidRPr="003A4F3B" w:rsidRDefault="003A4F3B" w:rsidP="003A4F3B">
            <w:r w:rsidRPr="003A4F3B">
              <w:t>Alemania</w:t>
            </w:r>
          </w:p>
        </w:tc>
        <w:tc>
          <w:tcPr>
            <w:tcW w:w="0" w:type="auto"/>
            <w:tcMar>
              <w:top w:w="137" w:type="dxa"/>
              <w:left w:w="120" w:type="dxa"/>
              <w:bottom w:w="137" w:type="dxa"/>
              <w:right w:w="120" w:type="dxa"/>
            </w:tcMar>
            <w:vAlign w:val="bottom"/>
            <w:hideMark/>
          </w:tcPr>
          <w:p w14:paraId="661C4EB1" w14:textId="77777777" w:rsidR="003A4F3B" w:rsidRPr="003A4F3B" w:rsidRDefault="003A4F3B" w:rsidP="003A4F3B">
            <w:r w:rsidRPr="003A4F3B">
              <w:t>Principal mercado bursátil de Alemania y Europa</w:t>
            </w:r>
          </w:p>
        </w:tc>
      </w:tr>
      <w:tr w:rsidR="003A4F3B" w:rsidRPr="003A4F3B" w14:paraId="765A15E0" w14:textId="77777777" w:rsidTr="003A4F3B">
        <w:trPr>
          <w:trHeight w:val="460"/>
        </w:trPr>
        <w:tc>
          <w:tcPr>
            <w:tcW w:w="0" w:type="auto"/>
            <w:tcMar>
              <w:top w:w="137" w:type="dxa"/>
              <w:left w:w="120" w:type="dxa"/>
              <w:bottom w:w="137" w:type="dxa"/>
              <w:right w:w="120" w:type="dxa"/>
            </w:tcMar>
            <w:vAlign w:val="bottom"/>
            <w:hideMark/>
          </w:tcPr>
          <w:p w14:paraId="18912529" w14:textId="77777777" w:rsidR="003A4F3B" w:rsidRPr="003A4F3B" w:rsidRDefault="003A4F3B" w:rsidP="003A4F3B">
            <w:r w:rsidRPr="003A4F3B">
              <w:t>Bolsa de Toronto (TSX)</w:t>
            </w:r>
          </w:p>
        </w:tc>
        <w:tc>
          <w:tcPr>
            <w:tcW w:w="0" w:type="auto"/>
            <w:tcMar>
              <w:top w:w="137" w:type="dxa"/>
              <w:left w:w="120" w:type="dxa"/>
              <w:bottom w:w="137" w:type="dxa"/>
              <w:right w:w="120" w:type="dxa"/>
            </w:tcMar>
            <w:vAlign w:val="bottom"/>
            <w:hideMark/>
          </w:tcPr>
          <w:p w14:paraId="134B5AE8" w14:textId="77777777" w:rsidR="003A4F3B" w:rsidRPr="003A4F3B" w:rsidRDefault="003A4F3B" w:rsidP="003A4F3B">
            <w:r w:rsidRPr="003A4F3B">
              <w:t>Canadá</w:t>
            </w:r>
          </w:p>
        </w:tc>
        <w:tc>
          <w:tcPr>
            <w:tcW w:w="0" w:type="auto"/>
            <w:tcMar>
              <w:top w:w="137" w:type="dxa"/>
              <w:left w:w="120" w:type="dxa"/>
              <w:bottom w:w="137" w:type="dxa"/>
              <w:right w:w="120" w:type="dxa"/>
            </w:tcMar>
            <w:vAlign w:val="bottom"/>
            <w:hideMark/>
          </w:tcPr>
          <w:p w14:paraId="4CEB34EC" w14:textId="77777777" w:rsidR="003A4F3B" w:rsidRPr="003A4F3B" w:rsidRDefault="003A4F3B" w:rsidP="003A4F3B">
            <w:r w:rsidRPr="003A4F3B">
              <w:t>Importante mercado para recursos naturales y finanzas</w:t>
            </w:r>
          </w:p>
        </w:tc>
      </w:tr>
      <w:tr w:rsidR="003A4F3B" w:rsidRPr="003A4F3B" w14:paraId="69ACBA64" w14:textId="77777777" w:rsidTr="003A4F3B">
        <w:trPr>
          <w:trHeight w:val="471"/>
        </w:trPr>
        <w:tc>
          <w:tcPr>
            <w:tcW w:w="0" w:type="auto"/>
            <w:tcMar>
              <w:top w:w="137" w:type="dxa"/>
              <w:left w:w="120" w:type="dxa"/>
              <w:bottom w:w="137" w:type="dxa"/>
              <w:right w:w="120" w:type="dxa"/>
            </w:tcMar>
            <w:vAlign w:val="bottom"/>
            <w:hideMark/>
          </w:tcPr>
          <w:p w14:paraId="790631E6" w14:textId="77777777" w:rsidR="003A4F3B" w:rsidRPr="003A4F3B" w:rsidRDefault="003A4F3B" w:rsidP="003A4F3B">
            <w:r w:rsidRPr="003A4F3B">
              <w:t>Bolsa de Bombay (BSE)</w:t>
            </w:r>
          </w:p>
        </w:tc>
        <w:tc>
          <w:tcPr>
            <w:tcW w:w="0" w:type="auto"/>
            <w:tcMar>
              <w:top w:w="137" w:type="dxa"/>
              <w:left w:w="120" w:type="dxa"/>
              <w:bottom w:w="137" w:type="dxa"/>
              <w:right w:w="120" w:type="dxa"/>
            </w:tcMar>
            <w:vAlign w:val="bottom"/>
            <w:hideMark/>
          </w:tcPr>
          <w:p w14:paraId="7DB54ABF" w14:textId="77777777" w:rsidR="003A4F3B" w:rsidRPr="003A4F3B" w:rsidRDefault="003A4F3B" w:rsidP="003A4F3B">
            <w:r w:rsidRPr="003A4F3B">
              <w:t>India</w:t>
            </w:r>
          </w:p>
        </w:tc>
        <w:tc>
          <w:tcPr>
            <w:tcW w:w="0" w:type="auto"/>
            <w:tcMar>
              <w:top w:w="137" w:type="dxa"/>
              <w:left w:w="120" w:type="dxa"/>
              <w:bottom w:w="137" w:type="dxa"/>
              <w:right w:w="120" w:type="dxa"/>
            </w:tcMar>
            <w:vAlign w:val="bottom"/>
            <w:hideMark/>
          </w:tcPr>
          <w:p w14:paraId="2F018DE1" w14:textId="77777777" w:rsidR="003A4F3B" w:rsidRPr="003A4F3B" w:rsidRDefault="003A4F3B" w:rsidP="003A4F3B">
            <w:r w:rsidRPr="003A4F3B">
              <w:t>Uno de los mercados más grandes y dinámicos de Asia</w:t>
            </w:r>
          </w:p>
        </w:tc>
      </w:tr>
    </w:tbl>
    <w:p w14:paraId="23DCDEEF" w14:textId="77777777" w:rsidR="003A4F3B" w:rsidRDefault="003A4F3B" w:rsidP="003A4F3B"/>
    <w:p w14:paraId="22777D60" w14:textId="6E9D4E97" w:rsidR="003A4F3B" w:rsidRPr="003A4F3B" w:rsidRDefault="003A4F3B" w:rsidP="003A4F3B">
      <w:r w:rsidRPr="003A4F3B">
        <w:t>Estas bolsas lideran el mercado financiero global por volumen de transacciones, capitalización total y diversidad de empresas listadas, siendo centros neurálgicos para la inversión y financiamiento empresarial</w:t>
      </w:r>
    </w:p>
    <w:p w14:paraId="01BD3D53" w14:textId="77777777" w:rsidR="003A4F3B" w:rsidRDefault="003A4F3B"/>
    <w:p w14:paraId="4489B480" w14:textId="2A566B0C" w:rsidR="003A4F3B" w:rsidRDefault="003A4F3B">
      <w:r>
        <w:t xml:space="preserve">Me llamo la atención en el caso de la empresa Amazon, ya que según yo y lo que había leído hace tiempo era una de las principales empresas, sin embargo me doy cuenta </w:t>
      </w:r>
      <w:proofErr w:type="gramStart"/>
      <w:r>
        <w:t>que</w:t>
      </w:r>
      <w:proofErr w:type="gramEnd"/>
      <w:r>
        <w:t xml:space="preserve"> conforme pase el tiempo las empresas van disminuyendo en el “puesto” por decirlo así</w:t>
      </w:r>
    </w:p>
    <w:p w14:paraId="5D189D73" w14:textId="71C305F6" w:rsidR="003A4F3B" w:rsidRDefault="003A4F3B">
      <w:r>
        <w:t>En el caso de las bolsas de valores, me sorprende que india este en este ranking ya que si se que exportan bastante producto sin embargo no esperaba que tuviera una bolsa de valores tan elevada</w:t>
      </w:r>
    </w:p>
    <w:sectPr w:rsidR="003A4F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EFB036" w14:textId="77777777" w:rsidR="00BB2B6A" w:rsidRDefault="00BB2B6A" w:rsidP="003A4F3B">
      <w:pPr>
        <w:spacing w:after="0" w:line="240" w:lineRule="auto"/>
      </w:pPr>
      <w:r>
        <w:separator/>
      </w:r>
    </w:p>
  </w:endnote>
  <w:endnote w:type="continuationSeparator" w:id="0">
    <w:p w14:paraId="27DD1D71" w14:textId="77777777" w:rsidR="00BB2B6A" w:rsidRDefault="00BB2B6A" w:rsidP="003A4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399F8" w14:textId="77777777" w:rsidR="00BB2B6A" w:rsidRDefault="00BB2B6A" w:rsidP="003A4F3B">
      <w:pPr>
        <w:spacing w:after="0" w:line="240" w:lineRule="auto"/>
      </w:pPr>
      <w:r>
        <w:separator/>
      </w:r>
    </w:p>
  </w:footnote>
  <w:footnote w:type="continuationSeparator" w:id="0">
    <w:p w14:paraId="75CC9925" w14:textId="77777777" w:rsidR="00BB2B6A" w:rsidRDefault="00BB2B6A" w:rsidP="003A4F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F3B"/>
    <w:rsid w:val="003A4F3B"/>
    <w:rsid w:val="00411438"/>
    <w:rsid w:val="00906F20"/>
    <w:rsid w:val="00BB2B6A"/>
    <w:rsid w:val="00DD76A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E176"/>
  <w15:chartTrackingRefBased/>
  <w15:docId w15:val="{3369D326-9B14-4666-A952-6C5AFD22A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4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A4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A4F3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A4F3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A4F3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A4F3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4F3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4F3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4F3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4F3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A4F3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A4F3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A4F3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A4F3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A4F3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A4F3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A4F3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A4F3B"/>
    <w:rPr>
      <w:rFonts w:eastAsiaTheme="majorEastAsia" w:cstheme="majorBidi"/>
      <w:color w:val="272727" w:themeColor="text1" w:themeTint="D8"/>
    </w:rPr>
  </w:style>
  <w:style w:type="paragraph" w:styleId="Ttulo">
    <w:name w:val="Title"/>
    <w:basedOn w:val="Normal"/>
    <w:next w:val="Normal"/>
    <w:link w:val="TtuloCar"/>
    <w:uiPriority w:val="10"/>
    <w:qFormat/>
    <w:rsid w:val="003A4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4F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A4F3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4F3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A4F3B"/>
    <w:pPr>
      <w:spacing w:before="160"/>
      <w:jc w:val="center"/>
    </w:pPr>
    <w:rPr>
      <w:i/>
      <w:iCs/>
      <w:color w:val="404040" w:themeColor="text1" w:themeTint="BF"/>
    </w:rPr>
  </w:style>
  <w:style w:type="character" w:customStyle="1" w:styleId="CitaCar">
    <w:name w:val="Cita Car"/>
    <w:basedOn w:val="Fuentedeprrafopredeter"/>
    <w:link w:val="Cita"/>
    <w:uiPriority w:val="29"/>
    <w:rsid w:val="003A4F3B"/>
    <w:rPr>
      <w:i/>
      <w:iCs/>
      <w:color w:val="404040" w:themeColor="text1" w:themeTint="BF"/>
    </w:rPr>
  </w:style>
  <w:style w:type="paragraph" w:styleId="Prrafodelista">
    <w:name w:val="List Paragraph"/>
    <w:basedOn w:val="Normal"/>
    <w:uiPriority w:val="34"/>
    <w:qFormat/>
    <w:rsid w:val="003A4F3B"/>
    <w:pPr>
      <w:ind w:left="720"/>
      <w:contextualSpacing/>
    </w:pPr>
  </w:style>
  <w:style w:type="character" w:styleId="nfasisintenso">
    <w:name w:val="Intense Emphasis"/>
    <w:basedOn w:val="Fuentedeprrafopredeter"/>
    <w:uiPriority w:val="21"/>
    <w:qFormat/>
    <w:rsid w:val="003A4F3B"/>
    <w:rPr>
      <w:i/>
      <w:iCs/>
      <w:color w:val="0F4761" w:themeColor="accent1" w:themeShade="BF"/>
    </w:rPr>
  </w:style>
  <w:style w:type="paragraph" w:styleId="Citadestacada">
    <w:name w:val="Intense Quote"/>
    <w:basedOn w:val="Normal"/>
    <w:next w:val="Normal"/>
    <w:link w:val="CitadestacadaCar"/>
    <w:uiPriority w:val="30"/>
    <w:qFormat/>
    <w:rsid w:val="003A4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A4F3B"/>
    <w:rPr>
      <w:i/>
      <w:iCs/>
      <w:color w:val="0F4761" w:themeColor="accent1" w:themeShade="BF"/>
    </w:rPr>
  </w:style>
  <w:style w:type="character" w:styleId="Referenciaintensa">
    <w:name w:val="Intense Reference"/>
    <w:basedOn w:val="Fuentedeprrafopredeter"/>
    <w:uiPriority w:val="32"/>
    <w:qFormat/>
    <w:rsid w:val="003A4F3B"/>
    <w:rPr>
      <w:b/>
      <w:bCs/>
      <w:smallCaps/>
      <w:color w:val="0F4761" w:themeColor="accent1" w:themeShade="BF"/>
      <w:spacing w:val="5"/>
    </w:rPr>
  </w:style>
  <w:style w:type="paragraph" w:styleId="Encabezado">
    <w:name w:val="header"/>
    <w:basedOn w:val="Normal"/>
    <w:link w:val="EncabezadoCar"/>
    <w:uiPriority w:val="99"/>
    <w:unhideWhenUsed/>
    <w:rsid w:val="003A4F3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A4F3B"/>
  </w:style>
  <w:style w:type="paragraph" w:styleId="Piedepgina">
    <w:name w:val="footer"/>
    <w:basedOn w:val="Normal"/>
    <w:link w:val="PiedepginaCar"/>
    <w:uiPriority w:val="99"/>
    <w:unhideWhenUsed/>
    <w:rsid w:val="003A4F3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A4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171829">
      <w:bodyDiv w:val="1"/>
      <w:marLeft w:val="0"/>
      <w:marRight w:val="0"/>
      <w:marTop w:val="0"/>
      <w:marBottom w:val="0"/>
      <w:divBdr>
        <w:top w:val="none" w:sz="0" w:space="0" w:color="auto"/>
        <w:left w:val="none" w:sz="0" w:space="0" w:color="auto"/>
        <w:bottom w:val="none" w:sz="0" w:space="0" w:color="auto"/>
        <w:right w:val="none" w:sz="0" w:space="0" w:color="auto"/>
      </w:divBdr>
      <w:divsChild>
        <w:div w:id="44372568">
          <w:marLeft w:val="0"/>
          <w:marRight w:val="0"/>
          <w:marTop w:val="0"/>
          <w:marBottom w:val="0"/>
          <w:divBdr>
            <w:top w:val="single" w:sz="2" w:space="0" w:color="E5E7EB"/>
            <w:left w:val="single" w:sz="2" w:space="0" w:color="E5E7EB"/>
            <w:bottom w:val="single" w:sz="2" w:space="0" w:color="E5E7EB"/>
            <w:right w:val="single" w:sz="2" w:space="0" w:color="E5E7EB"/>
          </w:divBdr>
          <w:divsChild>
            <w:div w:id="208155765">
              <w:marLeft w:val="0"/>
              <w:marRight w:val="0"/>
              <w:marTop w:val="0"/>
              <w:marBottom w:val="0"/>
              <w:divBdr>
                <w:top w:val="none" w:sz="0" w:space="0" w:color="auto"/>
                <w:left w:val="none" w:sz="0" w:space="0" w:color="auto"/>
                <w:bottom w:val="none" w:sz="0" w:space="0" w:color="auto"/>
                <w:right w:val="none" w:sz="0" w:space="0" w:color="auto"/>
              </w:divBdr>
            </w:div>
          </w:divsChild>
        </w:div>
        <w:div w:id="99571599">
          <w:marLeft w:val="0"/>
          <w:marRight w:val="0"/>
          <w:marTop w:val="0"/>
          <w:marBottom w:val="0"/>
          <w:divBdr>
            <w:top w:val="single" w:sz="2" w:space="0" w:color="E5E7EB"/>
            <w:left w:val="single" w:sz="2" w:space="0" w:color="E5E7EB"/>
            <w:bottom w:val="single" w:sz="2" w:space="0" w:color="E5E7EB"/>
            <w:right w:val="single" w:sz="2" w:space="0" w:color="E5E7EB"/>
          </w:divBdr>
          <w:divsChild>
            <w:div w:id="200831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4974">
      <w:bodyDiv w:val="1"/>
      <w:marLeft w:val="0"/>
      <w:marRight w:val="0"/>
      <w:marTop w:val="0"/>
      <w:marBottom w:val="0"/>
      <w:divBdr>
        <w:top w:val="none" w:sz="0" w:space="0" w:color="auto"/>
        <w:left w:val="none" w:sz="0" w:space="0" w:color="auto"/>
        <w:bottom w:val="none" w:sz="0" w:space="0" w:color="auto"/>
        <w:right w:val="none" w:sz="0" w:space="0" w:color="auto"/>
      </w:divBdr>
      <w:divsChild>
        <w:div w:id="812065932">
          <w:marLeft w:val="0"/>
          <w:marRight w:val="0"/>
          <w:marTop w:val="0"/>
          <w:marBottom w:val="0"/>
          <w:divBdr>
            <w:top w:val="single" w:sz="2" w:space="0" w:color="E5E7EB"/>
            <w:left w:val="single" w:sz="2" w:space="0" w:color="E5E7EB"/>
            <w:bottom w:val="single" w:sz="2" w:space="0" w:color="E5E7EB"/>
            <w:right w:val="single" w:sz="2" w:space="0" w:color="E5E7EB"/>
          </w:divBdr>
          <w:divsChild>
            <w:div w:id="1992250655">
              <w:marLeft w:val="0"/>
              <w:marRight w:val="0"/>
              <w:marTop w:val="0"/>
              <w:marBottom w:val="0"/>
              <w:divBdr>
                <w:top w:val="none" w:sz="0" w:space="0" w:color="auto"/>
                <w:left w:val="none" w:sz="0" w:space="0" w:color="auto"/>
                <w:bottom w:val="none" w:sz="0" w:space="0" w:color="auto"/>
                <w:right w:val="none" w:sz="0" w:space="0" w:color="auto"/>
              </w:divBdr>
            </w:div>
          </w:divsChild>
        </w:div>
        <w:div w:id="874319053">
          <w:marLeft w:val="0"/>
          <w:marRight w:val="0"/>
          <w:marTop w:val="0"/>
          <w:marBottom w:val="0"/>
          <w:divBdr>
            <w:top w:val="single" w:sz="2" w:space="0" w:color="E5E7EB"/>
            <w:left w:val="single" w:sz="2" w:space="0" w:color="E5E7EB"/>
            <w:bottom w:val="single" w:sz="2" w:space="0" w:color="E5E7EB"/>
            <w:right w:val="single" w:sz="2" w:space="0" w:color="E5E7EB"/>
          </w:divBdr>
          <w:divsChild>
            <w:div w:id="7034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406</Words>
  <Characters>2239</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SANCHEZ TASEJ</dc:creator>
  <cp:keywords/>
  <dc:description/>
  <cp:lastModifiedBy>FRANCISCO JAVIER SANCHEZ TASEJ</cp:lastModifiedBy>
  <cp:revision>1</cp:revision>
  <dcterms:created xsi:type="dcterms:W3CDTF">2025-07-08T17:20:00Z</dcterms:created>
  <dcterms:modified xsi:type="dcterms:W3CDTF">2025-07-08T17:25:00Z</dcterms:modified>
</cp:coreProperties>
</file>