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C56" w:rsidRDefault="00A04C56" w:rsidP="00284320">
      <w:pPr>
        <w:rPr>
          <w:rFonts w:ascii="Times New Roman" w:hAnsi="Times New Roman" w:cs="Times New Roman"/>
          <w:b/>
        </w:rPr>
      </w:pPr>
    </w:p>
    <w:p w:rsidR="006421C9" w:rsidRDefault="00E85060" w:rsidP="006421C9">
      <w:pPr>
        <w:pStyle w:val="Prrafodelista"/>
        <w:ind w:left="436"/>
        <w:rPr>
          <w:rFonts w:ascii="Times New Roman" w:hAnsi="Times New Roman" w:cs="Times New Roman"/>
          <w:b/>
        </w:rPr>
      </w:pPr>
      <w:r w:rsidRPr="00C018F6">
        <w:rPr>
          <w:rFonts w:eastAsia="Times New Roman"/>
          <w:noProof/>
          <w:color w:val="000000"/>
          <w:lang w:eastAsia="es-CL"/>
        </w:rPr>
        <w:drawing>
          <wp:anchor distT="0" distB="0" distL="114300" distR="114300" simplePos="0" relativeHeight="251659264" behindDoc="0" locked="0" layoutInCell="1" allowOverlap="1" wp14:anchorId="1C27B57D" wp14:editId="3A6A4A09">
            <wp:simplePos x="0" y="0"/>
            <wp:positionH relativeFrom="margin">
              <wp:posOffset>-171450</wp:posOffset>
            </wp:positionH>
            <wp:positionV relativeFrom="paragraph">
              <wp:posOffset>82550</wp:posOffset>
            </wp:positionV>
            <wp:extent cx="324485" cy="770890"/>
            <wp:effectExtent l="0" t="0" r="0" b="0"/>
            <wp:wrapSquare wrapText="largest"/>
            <wp:docPr id="2" name="Imagen 2" descr="Logo_Uch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_Uchi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1C9" w:rsidRPr="006421C9" w:rsidRDefault="006421C9" w:rsidP="006421C9">
      <w:pPr>
        <w:pStyle w:val="Prrafodelista"/>
        <w:ind w:left="436"/>
        <w:rPr>
          <w:rFonts w:ascii="Times New Roman" w:hAnsi="Times New Roman" w:cs="Times New Roman"/>
          <w:b/>
        </w:rPr>
      </w:pPr>
      <w:r w:rsidRPr="006421C9">
        <w:rPr>
          <w:rFonts w:ascii="Times New Roman" w:hAnsi="Times New Roman" w:cs="Times New Roman"/>
          <w:b/>
        </w:rPr>
        <w:t xml:space="preserve">Universidad de Chile </w:t>
      </w:r>
    </w:p>
    <w:p w:rsidR="006421C9" w:rsidRPr="006421C9" w:rsidRDefault="006421C9" w:rsidP="006421C9">
      <w:pPr>
        <w:pStyle w:val="Prrafodelista"/>
        <w:ind w:left="436"/>
        <w:rPr>
          <w:rFonts w:ascii="Times New Roman" w:hAnsi="Times New Roman" w:cs="Times New Roman"/>
          <w:b/>
        </w:rPr>
      </w:pPr>
      <w:r w:rsidRPr="006421C9">
        <w:rPr>
          <w:rFonts w:ascii="Times New Roman" w:hAnsi="Times New Roman" w:cs="Times New Roman"/>
          <w:b/>
        </w:rPr>
        <w:t>Facultad de Ciencias Sociales</w:t>
      </w:r>
    </w:p>
    <w:p w:rsidR="006421C9" w:rsidRDefault="006421C9" w:rsidP="006421C9">
      <w:pPr>
        <w:pStyle w:val="Prrafodelista"/>
        <w:ind w:left="436"/>
        <w:rPr>
          <w:rFonts w:ascii="Times New Roman" w:hAnsi="Times New Roman" w:cs="Times New Roman"/>
          <w:b/>
        </w:rPr>
      </w:pPr>
      <w:r w:rsidRPr="006421C9">
        <w:rPr>
          <w:rFonts w:ascii="Times New Roman" w:hAnsi="Times New Roman" w:cs="Times New Roman"/>
          <w:b/>
        </w:rPr>
        <w:t>Magíster en Ciencias Sociales mención Sociología de la Modernización</w:t>
      </w:r>
    </w:p>
    <w:p w:rsidR="006421C9" w:rsidRDefault="006421C9" w:rsidP="006421C9">
      <w:pPr>
        <w:pStyle w:val="Prrafodelista"/>
        <w:ind w:left="436"/>
        <w:rPr>
          <w:rFonts w:ascii="Times New Roman" w:hAnsi="Times New Roman" w:cs="Times New Roman"/>
          <w:b/>
        </w:rPr>
      </w:pPr>
    </w:p>
    <w:p w:rsidR="006421C9" w:rsidRDefault="006421C9" w:rsidP="006421C9">
      <w:pPr>
        <w:pStyle w:val="Prrafodelista"/>
        <w:ind w:left="436"/>
        <w:rPr>
          <w:rFonts w:ascii="Times New Roman" w:hAnsi="Times New Roman" w:cs="Times New Roman"/>
          <w:b/>
        </w:rPr>
      </w:pPr>
    </w:p>
    <w:p w:rsidR="006421C9" w:rsidRDefault="006421C9" w:rsidP="006421C9">
      <w:pPr>
        <w:pStyle w:val="Prrafodelista"/>
        <w:ind w:left="436"/>
        <w:rPr>
          <w:rFonts w:ascii="Times New Roman" w:hAnsi="Times New Roman" w:cs="Times New Roman"/>
          <w:b/>
        </w:rPr>
      </w:pPr>
    </w:p>
    <w:p w:rsidR="006421C9" w:rsidRDefault="006421C9" w:rsidP="006421C9">
      <w:pPr>
        <w:pStyle w:val="Prrafodelista"/>
        <w:ind w:left="436"/>
        <w:rPr>
          <w:rFonts w:ascii="Times New Roman" w:hAnsi="Times New Roman" w:cs="Times New Roman"/>
          <w:b/>
        </w:rPr>
      </w:pPr>
    </w:p>
    <w:p w:rsidR="006421C9" w:rsidRDefault="006421C9" w:rsidP="006421C9">
      <w:pPr>
        <w:pStyle w:val="Prrafodelista"/>
        <w:ind w:left="436"/>
        <w:rPr>
          <w:rFonts w:ascii="Times New Roman" w:hAnsi="Times New Roman" w:cs="Times New Roman"/>
          <w:b/>
        </w:rPr>
      </w:pPr>
    </w:p>
    <w:p w:rsidR="006421C9" w:rsidRDefault="006421C9" w:rsidP="006421C9">
      <w:pPr>
        <w:pStyle w:val="Prrafodelista"/>
        <w:ind w:left="436"/>
        <w:rPr>
          <w:rFonts w:ascii="Times New Roman" w:hAnsi="Times New Roman" w:cs="Times New Roman"/>
          <w:b/>
        </w:rPr>
      </w:pPr>
    </w:p>
    <w:p w:rsidR="006421C9" w:rsidRDefault="006421C9" w:rsidP="006421C9">
      <w:pPr>
        <w:pStyle w:val="Prrafodelista"/>
        <w:ind w:left="436"/>
        <w:rPr>
          <w:rFonts w:ascii="Times New Roman" w:hAnsi="Times New Roman" w:cs="Times New Roman"/>
          <w:b/>
        </w:rPr>
      </w:pPr>
    </w:p>
    <w:p w:rsidR="006421C9" w:rsidRDefault="006421C9" w:rsidP="006421C9">
      <w:pPr>
        <w:pStyle w:val="Prrafodelista"/>
        <w:ind w:left="436"/>
        <w:rPr>
          <w:rFonts w:ascii="Times New Roman" w:hAnsi="Times New Roman" w:cs="Times New Roman"/>
          <w:b/>
        </w:rPr>
      </w:pPr>
    </w:p>
    <w:p w:rsidR="006421C9" w:rsidRDefault="006421C9" w:rsidP="006421C9">
      <w:pPr>
        <w:pStyle w:val="Prrafodelista"/>
        <w:ind w:left="436"/>
        <w:rPr>
          <w:rFonts w:ascii="Times New Roman" w:hAnsi="Times New Roman" w:cs="Times New Roman"/>
          <w:b/>
        </w:rPr>
      </w:pPr>
    </w:p>
    <w:p w:rsidR="006421C9" w:rsidRDefault="00927467" w:rsidP="00E85060">
      <w:pPr>
        <w:pStyle w:val="Prrafodelista"/>
        <w:ind w:left="-284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INFORME DE AVANCE I</w:t>
      </w:r>
    </w:p>
    <w:p w:rsidR="006421C9" w:rsidRDefault="006421C9" w:rsidP="006421C9">
      <w:pPr>
        <w:pStyle w:val="Prrafodelista"/>
        <w:ind w:left="436"/>
        <w:rPr>
          <w:rFonts w:ascii="Times New Roman" w:hAnsi="Times New Roman" w:cs="Times New Roman"/>
          <w:b/>
        </w:rPr>
      </w:pPr>
    </w:p>
    <w:p w:rsidR="006421C9" w:rsidRDefault="006421C9">
      <w:pPr>
        <w:spacing w:after="240"/>
        <w:rPr>
          <w:rFonts w:ascii="Times New Roman" w:hAnsi="Times New Roman" w:cs="Times New Roman"/>
          <w:b/>
        </w:rPr>
      </w:pPr>
    </w:p>
    <w:p w:rsidR="006421C9" w:rsidRDefault="006421C9">
      <w:pPr>
        <w:spacing w:after="240"/>
        <w:rPr>
          <w:rFonts w:ascii="Times New Roman" w:hAnsi="Times New Roman" w:cs="Times New Roman"/>
          <w:b/>
        </w:rPr>
      </w:pPr>
    </w:p>
    <w:p w:rsidR="006421C9" w:rsidRDefault="006421C9">
      <w:pPr>
        <w:spacing w:after="240"/>
        <w:rPr>
          <w:rFonts w:ascii="Times New Roman" w:hAnsi="Times New Roman" w:cs="Times New Roman"/>
          <w:b/>
        </w:rPr>
      </w:pPr>
    </w:p>
    <w:p w:rsidR="006421C9" w:rsidRDefault="006421C9">
      <w:pPr>
        <w:spacing w:after="240"/>
        <w:rPr>
          <w:rFonts w:ascii="Times New Roman" w:hAnsi="Times New Roman" w:cs="Times New Roman"/>
          <w:b/>
        </w:rPr>
      </w:pPr>
    </w:p>
    <w:p w:rsidR="006421C9" w:rsidRDefault="006421C9">
      <w:pPr>
        <w:spacing w:after="240"/>
        <w:rPr>
          <w:rFonts w:ascii="Times New Roman" w:hAnsi="Times New Roman" w:cs="Times New Roman"/>
          <w:b/>
        </w:rPr>
      </w:pPr>
    </w:p>
    <w:p w:rsidR="006421C9" w:rsidRDefault="006421C9" w:rsidP="006421C9">
      <w:pPr>
        <w:spacing w:after="240"/>
        <w:ind w:left="0"/>
        <w:rPr>
          <w:rFonts w:ascii="Times New Roman" w:hAnsi="Times New Roman" w:cs="Times New Roman"/>
          <w:b/>
        </w:rPr>
      </w:pPr>
    </w:p>
    <w:p w:rsidR="006421C9" w:rsidRDefault="006421C9" w:rsidP="006421C9">
      <w:pPr>
        <w:spacing w:after="240"/>
        <w:ind w:left="0"/>
        <w:rPr>
          <w:rFonts w:ascii="Times New Roman" w:hAnsi="Times New Roman" w:cs="Times New Roman"/>
          <w:b/>
        </w:rPr>
      </w:pPr>
    </w:p>
    <w:p w:rsidR="006421C9" w:rsidRDefault="006421C9">
      <w:pPr>
        <w:spacing w:after="240"/>
        <w:rPr>
          <w:rFonts w:ascii="Times New Roman" w:hAnsi="Times New Roman" w:cs="Times New Roman"/>
          <w:b/>
        </w:rPr>
      </w:pPr>
    </w:p>
    <w:p w:rsidR="00927467" w:rsidRDefault="00927467">
      <w:pPr>
        <w:spacing w:after="240"/>
        <w:rPr>
          <w:rFonts w:ascii="Times New Roman" w:hAnsi="Times New Roman" w:cs="Times New Roman"/>
          <w:b/>
        </w:rPr>
      </w:pPr>
    </w:p>
    <w:p w:rsidR="00927467" w:rsidRDefault="00927467">
      <w:pPr>
        <w:spacing w:after="240"/>
        <w:rPr>
          <w:rFonts w:ascii="Times New Roman" w:hAnsi="Times New Roman" w:cs="Times New Roman"/>
          <w:b/>
        </w:rPr>
      </w:pPr>
    </w:p>
    <w:p w:rsidR="006421C9" w:rsidRPr="006421C9" w:rsidRDefault="006421C9" w:rsidP="006421C9">
      <w:pPr>
        <w:spacing w:after="240"/>
        <w:rPr>
          <w:rFonts w:ascii="Times New Roman" w:hAnsi="Times New Roman" w:cs="Times New Roman"/>
          <w:b/>
        </w:rPr>
      </w:pPr>
      <w:r w:rsidRPr="006421C9">
        <w:rPr>
          <w:rFonts w:ascii="Times New Roman" w:hAnsi="Times New Roman" w:cs="Times New Roman"/>
          <w:b/>
        </w:rPr>
        <w:t xml:space="preserve">Nombre: </w:t>
      </w:r>
      <w:r w:rsidRPr="00DB53FC">
        <w:rPr>
          <w:rFonts w:ascii="Times New Roman" w:hAnsi="Times New Roman" w:cs="Times New Roman"/>
        </w:rPr>
        <w:t>Javiera Rojas Cifuentes</w:t>
      </w:r>
      <w:r w:rsidR="00730B51">
        <w:rPr>
          <w:rFonts w:ascii="Times New Roman" w:hAnsi="Times New Roman" w:cs="Times New Roman"/>
        </w:rPr>
        <w:t>.</w:t>
      </w:r>
    </w:p>
    <w:p w:rsidR="006421C9" w:rsidRPr="006421C9" w:rsidRDefault="006421C9" w:rsidP="006421C9">
      <w:pPr>
        <w:spacing w:after="240"/>
        <w:rPr>
          <w:rFonts w:ascii="Times New Roman" w:hAnsi="Times New Roman" w:cs="Times New Roman"/>
          <w:b/>
        </w:rPr>
      </w:pPr>
      <w:r w:rsidRPr="006421C9">
        <w:rPr>
          <w:rFonts w:ascii="Times New Roman" w:hAnsi="Times New Roman" w:cs="Times New Roman"/>
          <w:b/>
        </w:rPr>
        <w:t xml:space="preserve">Docente: </w:t>
      </w:r>
      <w:r w:rsidRPr="00DB53FC">
        <w:rPr>
          <w:rFonts w:ascii="Times New Roman" w:hAnsi="Times New Roman" w:cs="Times New Roman"/>
        </w:rPr>
        <w:t>Felipe Ruiz y Cristóbal Moya</w:t>
      </w:r>
      <w:r w:rsidR="00730B51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6421C9" w:rsidRPr="00927467" w:rsidRDefault="006421C9" w:rsidP="006421C9">
      <w:pPr>
        <w:spacing w:after="240"/>
        <w:rPr>
          <w:rFonts w:ascii="Times New Roman" w:hAnsi="Times New Roman" w:cs="Times New Roman"/>
        </w:rPr>
      </w:pPr>
      <w:r w:rsidRPr="006421C9">
        <w:rPr>
          <w:rFonts w:ascii="Times New Roman" w:hAnsi="Times New Roman" w:cs="Times New Roman"/>
          <w:b/>
        </w:rPr>
        <w:t>Asignatura:</w:t>
      </w:r>
      <w:r w:rsidR="00DB53FC">
        <w:rPr>
          <w:rFonts w:ascii="Times New Roman" w:hAnsi="Times New Roman" w:cs="Times New Roman"/>
          <w:b/>
        </w:rPr>
        <w:t xml:space="preserve"> </w:t>
      </w:r>
      <w:r w:rsidR="00927467">
        <w:rPr>
          <w:rFonts w:ascii="Times New Roman" w:hAnsi="Times New Roman" w:cs="Times New Roman"/>
        </w:rPr>
        <w:t>Herramientas para la Investigación Social Cuantitativa: C</w:t>
      </w:r>
      <w:r w:rsidR="000D2EE9">
        <w:rPr>
          <w:rFonts w:ascii="Times New Roman" w:hAnsi="Times New Roman" w:cs="Times New Roman"/>
        </w:rPr>
        <w:t>iencia Abierta y Software Libre</w:t>
      </w:r>
      <w:r w:rsidR="00730B51">
        <w:rPr>
          <w:rFonts w:ascii="Times New Roman" w:hAnsi="Times New Roman" w:cs="Times New Roman"/>
        </w:rPr>
        <w:t>.</w:t>
      </w:r>
    </w:p>
    <w:p w:rsidR="006421C9" w:rsidRDefault="006421C9" w:rsidP="006421C9">
      <w:pPr>
        <w:spacing w:after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Fecha</w:t>
      </w:r>
      <w:r w:rsidRPr="00DB53FC">
        <w:rPr>
          <w:rFonts w:ascii="Times New Roman" w:hAnsi="Times New Roman" w:cs="Times New Roman"/>
        </w:rPr>
        <w:t>: 29-04-2020</w:t>
      </w:r>
      <w:r w:rsidR="00730B5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b/>
        </w:rPr>
        <w:br w:type="page"/>
      </w:r>
    </w:p>
    <w:p w:rsidR="00A04C56" w:rsidRDefault="00A04C56" w:rsidP="00A04C5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Introducción</w:t>
      </w:r>
    </w:p>
    <w:p w:rsidR="00341BD6" w:rsidRDefault="00A04C56" w:rsidP="000344EE">
      <w:pPr>
        <w:rPr>
          <w:rFonts w:ascii="Times New Roman" w:hAnsi="Times New Roman" w:cs="Times New Roman"/>
        </w:rPr>
      </w:pPr>
      <w:r w:rsidRPr="00A04C56">
        <w:rPr>
          <w:rFonts w:ascii="Times New Roman" w:hAnsi="Times New Roman" w:cs="Times New Roman"/>
        </w:rPr>
        <w:t>Se tra</w:t>
      </w:r>
      <w:r>
        <w:rPr>
          <w:rFonts w:ascii="Times New Roman" w:hAnsi="Times New Roman" w:cs="Times New Roman"/>
        </w:rPr>
        <w:t xml:space="preserve">bajará con una base de datos proporcionada por la Dirección General de Aguas (DGA) del Ministerio de Obras Públicas (MOP). </w:t>
      </w:r>
      <w:r w:rsidR="0053112C">
        <w:rPr>
          <w:rFonts w:ascii="Times New Roman" w:hAnsi="Times New Roman" w:cs="Times New Roman"/>
        </w:rPr>
        <w:t>La institución aludida proporciona bases de datos</w:t>
      </w:r>
      <w:r w:rsidR="00704066">
        <w:rPr>
          <w:rFonts w:ascii="Times New Roman" w:hAnsi="Times New Roman" w:cs="Times New Roman"/>
        </w:rPr>
        <w:t xml:space="preserve"> mensuales por región, en formato Excel, </w:t>
      </w:r>
      <w:r w:rsidR="0053112C">
        <w:rPr>
          <w:rFonts w:ascii="Times New Roman" w:hAnsi="Times New Roman" w:cs="Times New Roman"/>
        </w:rPr>
        <w:t>de los derechos de aprovechamiento de agu</w:t>
      </w:r>
      <w:r w:rsidR="003D46AC">
        <w:rPr>
          <w:rFonts w:ascii="Times New Roman" w:hAnsi="Times New Roman" w:cs="Times New Roman"/>
        </w:rPr>
        <w:t>a</w:t>
      </w:r>
      <w:r w:rsidR="00704066">
        <w:rPr>
          <w:rFonts w:ascii="Times New Roman" w:hAnsi="Times New Roman" w:cs="Times New Roman"/>
        </w:rPr>
        <w:t xml:space="preserve"> registrado</w:t>
      </w:r>
      <w:r w:rsidR="0053112C">
        <w:rPr>
          <w:rFonts w:ascii="Times New Roman" w:hAnsi="Times New Roman" w:cs="Times New Roman"/>
        </w:rPr>
        <w:t>s</w:t>
      </w:r>
      <w:r w:rsidR="00E62486">
        <w:rPr>
          <w:rStyle w:val="Refdenotaalpie"/>
          <w:rFonts w:ascii="Times New Roman" w:hAnsi="Times New Roman" w:cs="Times New Roman"/>
        </w:rPr>
        <w:footnoteReference w:id="1"/>
      </w:r>
      <w:r w:rsidR="00704066">
        <w:rPr>
          <w:rFonts w:ascii="Times New Roman" w:hAnsi="Times New Roman" w:cs="Times New Roman"/>
        </w:rPr>
        <w:t>. P</w:t>
      </w:r>
      <w:r w:rsidR="0053112C">
        <w:rPr>
          <w:rFonts w:ascii="Times New Roman" w:hAnsi="Times New Roman" w:cs="Times New Roman"/>
        </w:rPr>
        <w:t>ara este proyecto en particular hemos escogido los datos correspondientes a la Región Metropolitana</w:t>
      </w:r>
      <w:r w:rsidR="0070406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341BD6">
        <w:rPr>
          <w:rFonts w:ascii="Times New Roman" w:hAnsi="Times New Roman" w:cs="Times New Roman"/>
        </w:rPr>
        <w:t xml:space="preserve">entre los meses de marzo y abril, teniendo como fecha de corte de la información el 08-04-2020. </w:t>
      </w:r>
      <w:r w:rsidR="000344EE">
        <w:rPr>
          <w:rFonts w:ascii="Times New Roman" w:hAnsi="Times New Roman" w:cs="Times New Roman"/>
        </w:rPr>
        <w:t>Dicho esto, l</w:t>
      </w:r>
      <w:r w:rsidR="000344EE" w:rsidRPr="0045525F">
        <w:rPr>
          <w:rFonts w:ascii="Times New Roman" w:hAnsi="Times New Roman" w:cs="Times New Roman"/>
        </w:rPr>
        <w:t xml:space="preserve">a base de datos </w:t>
      </w:r>
      <w:r w:rsidR="000344EE">
        <w:rPr>
          <w:rFonts w:ascii="Times New Roman" w:hAnsi="Times New Roman" w:cs="Times New Roman"/>
        </w:rPr>
        <w:t>seleccionada “</w:t>
      </w:r>
      <w:proofErr w:type="spellStart"/>
      <w:r w:rsidR="000344EE">
        <w:rPr>
          <w:rFonts w:ascii="Times New Roman" w:hAnsi="Times New Roman" w:cs="Times New Roman"/>
        </w:rPr>
        <w:t>Der</w:t>
      </w:r>
      <w:r w:rsidR="0034103C">
        <w:rPr>
          <w:rFonts w:ascii="Times New Roman" w:hAnsi="Times New Roman" w:cs="Times New Roman"/>
        </w:rPr>
        <w:t>echosdeagua_RM</w:t>
      </w:r>
      <w:proofErr w:type="spellEnd"/>
      <w:r w:rsidR="000344EE">
        <w:rPr>
          <w:rFonts w:ascii="Times New Roman" w:hAnsi="Times New Roman" w:cs="Times New Roman"/>
        </w:rPr>
        <w:t xml:space="preserve">” </w:t>
      </w:r>
      <w:r w:rsidR="000344EE" w:rsidRPr="0045525F">
        <w:rPr>
          <w:rFonts w:ascii="Times New Roman" w:hAnsi="Times New Roman" w:cs="Times New Roman"/>
        </w:rPr>
        <w:t xml:space="preserve">está compuesta por </w:t>
      </w:r>
      <w:r w:rsidR="000344EE">
        <w:rPr>
          <w:rFonts w:ascii="Times New Roman" w:hAnsi="Times New Roman" w:cs="Times New Roman"/>
        </w:rPr>
        <w:t>10.014</w:t>
      </w:r>
      <w:r w:rsidR="000344EE" w:rsidRPr="0045525F">
        <w:rPr>
          <w:rFonts w:ascii="Times New Roman" w:hAnsi="Times New Roman" w:cs="Times New Roman"/>
        </w:rPr>
        <w:t xml:space="preserve"> filas y 65 columnas. </w:t>
      </w:r>
      <w:r w:rsidR="000344EE">
        <w:rPr>
          <w:rFonts w:ascii="Times New Roman" w:hAnsi="Times New Roman" w:cs="Times New Roman"/>
        </w:rPr>
        <w:t>Las filas representan los nombres de los solicitantes de dere</w:t>
      </w:r>
      <w:r w:rsidR="003D46AC">
        <w:rPr>
          <w:rFonts w:ascii="Times New Roman" w:hAnsi="Times New Roman" w:cs="Times New Roman"/>
        </w:rPr>
        <w:t>chos de aprovechamiento de agua</w:t>
      </w:r>
      <w:r w:rsidR="000344EE">
        <w:rPr>
          <w:rFonts w:ascii="Times New Roman" w:hAnsi="Times New Roman" w:cs="Times New Roman"/>
        </w:rPr>
        <w:t xml:space="preserve"> registrados para la Región Metropolitana. Las columnas representan una serie de atributos que permiten caracterizar las solicitudes, ta</w:t>
      </w:r>
      <w:r w:rsidR="00D0481F">
        <w:rPr>
          <w:rFonts w:ascii="Times New Roman" w:hAnsi="Times New Roman" w:cs="Times New Roman"/>
        </w:rPr>
        <w:t>les como: Código de expediente</w:t>
      </w:r>
      <w:r w:rsidR="000344EE">
        <w:rPr>
          <w:rFonts w:ascii="Times New Roman" w:hAnsi="Times New Roman" w:cs="Times New Roman"/>
        </w:rPr>
        <w:t>, regi</w:t>
      </w:r>
      <w:r w:rsidR="00D0481F">
        <w:rPr>
          <w:rFonts w:ascii="Times New Roman" w:hAnsi="Times New Roman" w:cs="Times New Roman"/>
        </w:rPr>
        <w:t>ón, provincia, comuna, tipo de derecho</w:t>
      </w:r>
      <w:r w:rsidR="000344EE">
        <w:rPr>
          <w:rFonts w:ascii="Times New Roman" w:hAnsi="Times New Roman" w:cs="Times New Roman"/>
        </w:rPr>
        <w:t>,</w:t>
      </w:r>
      <w:r w:rsidR="00D0481F">
        <w:rPr>
          <w:rFonts w:ascii="Times New Roman" w:hAnsi="Times New Roman" w:cs="Times New Roman"/>
        </w:rPr>
        <w:t xml:space="preserve"> naturaleza del agua,</w:t>
      </w:r>
      <w:r w:rsidR="000344EE">
        <w:rPr>
          <w:rFonts w:ascii="Times New Roman" w:hAnsi="Times New Roman" w:cs="Times New Roman"/>
        </w:rPr>
        <w:t xml:space="preserve"> etc.</w:t>
      </w:r>
    </w:p>
    <w:p w:rsidR="00A04C56" w:rsidRPr="00A04C56" w:rsidRDefault="00D0481F" w:rsidP="00A04C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341BD6">
        <w:rPr>
          <w:rFonts w:ascii="Times New Roman" w:hAnsi="Times New Roman" w:cs="Times New Roman"/>
        </w:rPr>
        <w:t>abe señalar, según lo menciona el Código de Aguas del año 1981, que el derecho de aprovechamiento es “un derecho real que recae sobre las aguas y consiste en el uso y goce de ellas (…). El derecho de aprovechamiento sobre las aguas es de dominio de su titular, quien podrá usar, gozar y disponer de él en conformidad a la Ley” (Código de Aguas, 1981, p.4).</w:t>
      </w:r>
    </w:p>
    <w:p w:rsidR="00FB12CB" w:rsidRPr="00284320" w:rsidRDefault="00223941" w:rsidP="0028432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84320">
        <w:rPr>
          <w:rFonts w:ascii="Times New Roman" w:hAnsi="Times New Roman" w:cs="Times New Roman"/>
          <w:b/>
        </w:rPr>
        <w:t>Objetivo general</w:t>
      </w:r>
    </w:p>
    <w:p w:rsidR="00265B0A" w:rsidRPr="00C7518E" w:rsidRDefault="003E0DB3" w:rsidP="00265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Identificar</w:t>
      </w:r>
      <w:r w:rsidR="00FB12CB">
        <w:rPr>
          <w:rFonts w:ascii="Times New Roman" w:hAnsi="Times New Roman" w:cs="Times New Roman"/>
        </w:rPr>
        <w:t xml:space="preserve"> </w:t>
      </w:r>
      <w:r w:rsidR="00284320">
        <w:rPr>
          <w:rFonts w:ascii="Times New Roman" w:hAnsi="Times New Roman" w:cs="Times New Roman"/>
        </w:rPr>
        <w:t xml:space="preserve">las características de los </w:t>
      </w:r>
      <w:r w:rsidR="00FB12CB">
        <w:rPr>
          <w:rFonts w:ascii="Times New Roman" w:hAnsi="Times New Roman" w:cs="Times New Roman"/>
        </w:rPr>
        <w:t>derechos de aprovechamiento de agua de la Región Metropolitana</w:t>
      </w:r>
      <w:r w:rsidR="00284320">
        <w:rPr>
          <w:rFonts w:ascii="Times New Roman" w:hAnsi="Times New Roman" w:cs="Times New Roman"/>
        </w:rPr>
        <w:t xml:space="preserve"> y a sus principales solicitantes</w:t>
      </w:r>
      <w:r w:rsidR="00FB12CB">
        <w:rPr>
          <w:rFonts w:ascii="Times New Roman" w:hAnsi="Times New Roman" w:cs="Times New Roman"/>
        </w:rPr>
        <w:t xml:space="preserve">.  </w:t>
      </w:r>
    </w:p>
    <w:p w:rsidR="00223941" w:rsidRPr="00284320" w:rsidRDefault="00223941" w:rsidP="0028432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84320">
        <w:rPr>
          <w:rFonts w:ascii="Times New Roman" w:hAnsi="Times New Roman" w:cs="Times New Roman"/>
          <w:b/>
        </w:rPr>
        <w:t xml:space="preserve">Cuenta </w:t>
      </w:r>
      <w:proofErr w:type="spellStart"/>
      <w:r w:rsidRPr="00284320">
        <w:rPr>
          <w:rFonts w:ascii="Times New Roman" w:hAnsi="Times New Roman" w:cs="Times New Roman"/>
          <w:b/>
        </w:rPr>
        <w:t>GitHub</w:t>
      </w:r>
      <w:proofErr w:type="spellEnd"/>
    </w:p>
    <w:p w:rsidR="00FB12CB" w:rsidRDefault="00800219">
      <w:pPr>
        <w:rPr>
          <w:rFonts w:ascii="Times New Roman" w:hAnsi="Times New Roman" w:cs="Times New Roman"/>
        </w:rPr>
      </w:pPr>
      <w:hyperlink r:id="rId9" w:history="1">
        <w:r w:rsidR="00FB12CB" w:rsidRPr="00FA4451">
          <w:rPr>
            <w:rStyle w:val="Hipervnculo"/>
            <w:rFonts w:ascii="Times New Roman" w:hAnsi="Times New Roman" w:cs="Times New Roman"/>
          </w:rPr>
          <w:t>https://github.com/JavieraRojas</w:t>
        </w:r>
      </w:hyperlink>
    </w:p>
    <w:p w:rsidR="00FB12CB" w:rsidRPr="00284320" w:rsidRDefault="00FB12CB" w:rsidP="0028432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84320">
        <w:rPr>
          <w:rFonts w:ascii="Times New Roman" w:hAnsi="Times New Roman" w:cs="Times New Roman"/>
          <w:b/>
        </w:rPr>
        <w:t xml:space="preserve">Repositorio del proyecto </w:t>
      </w:r>
    </w:p>
    <w:p w:rsidR="00FB12CB" w:rsidRDefault="00800219" w:rsidP="00FB12CB">
      <w:pPr>
        <w:rPr>
          <w:rFonts w:ascii="Times New Roman" w:hAnsi="Times New Roman" w:cs="Times New Roman"/>
        </w:rPr>
      </w:pPr>
      <w:hyperlink r:id="rId10" w:history="1">
        <w:r w:rsidR="00FB12CB" w:rsidRPr="00FA4451">
          <w:rPr>
            <w:rStyle w:val="Hipervnculo"/>
            <w:rFonts w:ascii="Times New Roman" w:hAnsi="Times New Roman" w:cs="Times New Roman"/>
          </w:rPr>
          <w:t>https://github.com/JavieraRojas/DerechosdeAgua-DGA</w:t>
        </w:r>
      </w:hyperlink>
    </w:p>
    <w:p w:rsidR="00223941" w:rsidRDefault="00223941" w:rsidP="0028432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84320">
        <w:rPr>
          <w:rFonts w:ascii="Times New Roman" w:hAnsi="Times New Roman" w:cs="Times New Roman"/>
          <w:b/>
        </w:rPr>
        <w:t>Definición explicativa</w:t>
      </w:r>
      <w:r w:rsidR="00284320" w:rsidRPr="00284320">
        <w:rPr>
          <w:rFonts w:ascii="Times New Roman" w:hAnsi="Times New Roman" w:cs="Times New Roman"/>
          <w:b/>
        </w:rPr>
        <w:t xml:space="preserve"> de variables</w:t>
      </w:r>
    </w:p>
    <w:p w:rsidR="00E67D09" w:rsidRPr="00284320" w:rsidRDefault="00E67D09" w:rsidP="00E67D09">
      <w:pPr>
        <w:pStyle w:val="Prrafodelista"/>
        <w:ind w:left="436"/>
        <w:rPr>
          <w:rFonts w:ascii="Times New Roman" w:hAnsi="Times New Roman" w:cs="Times New Roman"/>
          <w:b/>
        </w:rPr>
      </w:pPr>
    </w:p>
    <w:p w:rsidR="00284320" w:rsidRPr="00284320" w:rsidRDefault="00284320" w:rsidP="0028432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CD6AB2">
        <w:rPr>
          <w:rFonts w:ascii="Times New Roman" w:hAnsi="Times New Roman" w:cs="Times New Roman"/>
          <w:b/>
        </w:rPr>
        <w:t>Provincia</w:t>
      </w:r>
      <w:r w:rsidR="00E67D09">
        <w:rPr>
          <w:rFonts w:ascii="Times New Roman" w:hAnsi="Times New Roman" w:cs="Times New Roman"/>
        </w:rPr>
        <w:t>: Provincia donde se localiz</w:t>
      </w:r>
      <w:r w:rsidR="00CD6AB2">
        <w:rPr>
          <w:rFonts w:ascii="Times New Roman" w:hAnsi="Times New Roman" w:cs="Times New Roman"/>
        </w:rPr>
        <w:t>a el derecho de aprovechamiento de agua.</w:t>
      </w:r>
    </w:p>
    <w:p w:rsidR="00284320" w:rsidRPr="00284320" w:rsidRDefault="00284320" w:rsidP="0028432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CD6AB2">
        <w:rPr>
          <w:rFonts w:ascii="Times New Roman" w:hAnsi="Times New Roman" w:cs="Times New Roman"/>
          <w:b/>
        </w:rPr>
        <w:t>Comuna</w:t>
      </w:r>
      <w:r w:rsidR="00E67D09">
        <w:rPr>
          <w:rFonts w:ascii="Times New Roman" w:hAnsi="Times New Roman" w:cs="Times New Roman"/>
        </w:rPr>
        <w:t>: Comuna donde se localiz</w:t>
      </w:r>
      <w:r w:rsidR="00CD6AB2">
        <w:rPr>
          <w:rFonts w:ascii="Times New Roman" w:hAnsi="Times New Roman" w:cs="Times New Roman"/>
        </w:rPr>
        <w:t>a el derecho de aprovechamiento de agua.</w:t>
      </w:r>
    </w:p>
    <w:p w:rsidR="00284320" w:rsidRPr="00284320" w:rsidRDefault="00284320" w:rsidP="0028432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CD6AB2">
        <w:rPr>
          <w:rFonts w:ascii="Times New Roman" w:hAnsi="Times New Roman" w:cs="Times New Roman"/>
          <w:b/>
        </w:rPr>
        <w:t>Nombre Solicitante</w:t>
      </w:r>
      <w:r w:rsidR="00E67D09">
        <w:rPr>
          <w:rFonts w:ascii="Times New Roman" w:hAnsi="Times New Roman" w:cs="Times New Roman"/>
        </w:rPr>
        <w:t>: Persona natural</w:t>
      </w:r>
      <w:r w:rsidR="00CC54FE">
        <w:rPr>
          <w:rFonts w:ascii="Times New Roman" w:hAnsi="Times New Roman" w:cs="Times New Roman"/>
        </w:rPr>
        <w:t xml:space="preserve"> o jurídica</w:t>
      </w:r>
      <w:r w:rsidR="00E67D09">
        <w:rPr>
          <w:rFonts w:ascii="Times New Roman" w:hAnsi="Times New Roman" w:cs="Times New Roman"/>
        </w:rPr>
        <w:t xml:space="preserve"> </w:t>
      </w:r>
      <w:r w:rsidR="00CC54FE">
        <w:rPr>
          <w:rFonts w:ascii="Times New Roman" w:hAnsi="Times New Roman" w:cs="Times New Roman"/>
        </w:rPr>
        <w:t>(</w:t>
      </w:r>
      <w:r w:rsidR="00E67D09">
        <w:rPr>
          <w:rFonts w:ascii="Times New Roman" w:hAnsi="Times New Roman" w:cs="Times New Roman"/>
        </w:rPr>
        <w:t>socieda</w:t>
      </w:r>
      <w:r w:rsidR="00A725B7">
        <w:rPr>
          <w:rFonts w:ascii="Times New Roman" w:hAnsi="Times New Roman" w:cs="Times New Roman"/>
        </w:rPr>
        <w:t>d anónima o sociedad limitada</w:t>
      </w:r>
      <w:r w:rsidR="00CC54FE">
        <w:rPr>
          <w:rFonts w:ascii="Times New Roman" w:hAnsi="Times New Roman" w:cs="Times New Roman"/>
        </w:rPr>
        <w:t>)</w:t>
      </w:r>
      <w:r w:rsidR="00A725B7">
        <w:rPr>
          <w:rFonts w:ascii="Times New Roman" w:hAnsi="Times New Roman" w:cs="Times New Roman"/>
        </w:rPr>
        <w:t xml:space="preserve"> bajo el </w:t>
      </w:r>
      <w:r w:rsidR="00E67D09">
        <w:rPr>
          <w:rFonts w:ascii="Times New Roman" w:hAnsi="Times New Roman" w:cs="Times New Roman"/>
        </w:rPr>
        <w:t xml:space="preserve"> cual está inscrito el derecho de aprovechamiento de agua. </w:t>
      </w:r>
    </w:p>
    <w:p w:rsidR="00284320" w:rsidRPr="00284320" w:rsidRDefault="00284320" w:rsidP="0028432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CD6AB2">
        <w:rPr>
          <w:rFonts w:ascii="Times New Roman" w:hAnsi="Times New Roman" w:cs="Times New Roman"/>
          <w:b/>
        </w:rPr>
        <w:t>Fecha de resolución</w:t>
      </w:r>
      <w:r w:rsidR="00E67D09">
        <w:rPr>
          <w:rFonts w:ascii="Times New Roman" w:hAnsi="Times New Roman" w:cs="Times New Roman"/>
        </w:rPr>
        <w:t xml:space="preserve">: Fecha en la que se resolvió a través de un juez la inscripción del derecho de aprovechamiento de agua. </w:t>
      </w:r>
    </w:p>
    <w:p w:rsidR="00284320" w:rsidRPr="00284320" w:rsidRDefault="00284320" w:rsidP="00AE57F1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CD6AB2">
        <w:rPr>
          <w:rFonts w:ascii="Times New Roman" w:hAnsi="Times New Roman" w:cs="Times New Roman"/>
          <w:b/>
        </w:rPr>
        <w:t>Tipo Derecho</w:t>
      </w:r>
      <w:r w:rsidR="003D46AC">
        <w:rPr>
          <w:rFonts w:ascii="Times New Roman" w:hAnsi="Times New Roman" w:cs="Times New Roman"/>
        </w:rPr>
        <w:t xml:space="preserve">: Los derechos de </w:t>
      </w:r>
      <w:r w:rsidR="003D46AC" w:rsidRPr="00AE57F1">
        <w:rPr>
          <w:rFonts w:ascii="Times New Roman" w:hAnsi="Times New Roman" w:cs="Times New Roman"/>
        </w:rPr>
        <w:t>aprovechamiento son</w:t>
      </w:r>
      <w:r w:rsidR="00E67D09" w:rsidRPr="00AE57F1">
        <w:rPr>
          <w:rFonts w:ascii="Times New Roman" w:hAnsi="Times New Roman" w:cs="Times New Roman"/>
        </w:rPr>
        <w:t xml:space="preserve"> “consuntivos” o “no consuntivos”.</w:t>
      </w:r>
      <w:r w:rsidR="003D46AC" w:rsidRPr="00AE57F1">
        <w:rPr>
          <w:rFonts w:ascii="Times New Roman" w:hAnsi="Times New Roman" w:cs="Times New Roman"/>
        </w:rPr>
        <w:t xml:space="preserve"> El derecho consuntivo “es aquel que faculta a su titular para consumir totalmente las aguas en cualquier actividad”</w:t>
      </w:r>
      <w:r w:rsidR="000F6D7E">
        <w:rPr>
          <w:rFonts w:ascii="Times New Roman" w:hAnsi="Times New Roman" w:cs="Times New Roman"/>
        </w:rPr>
        <w:t xml:space="preserve">, mientras que </w:t>
      </w:r>
      <w:r w:rsidR="00E62486" w:rsidRPr="00AE57F1">
        <w:rPr>
          <w:rFonts w:ascii="Times New Roman" w:hAnsi="Times New Roman" w:cs="Times New Roman"/>
        </w:rPr>
        <w:t>el no consuntivo “es aquel que permite emplear el agua sin consumirla y obliga a restituirla en la forma que lo determine el acto de adquisición o de constitución del derecho” (</w:t>
      </w:r>
      <w:r w:rsidR="00AE57F1" w:rsidRPr="00AE57F1">
        <w:rPr>
          <w:rFonts w:ascii="Times New Roman" w:hAnsi="Times New Roman" w:cs="Times New Roman"/>
        </w:rPr>
        <w:t>Código de Aguas, 1981, p.4-5).</w:t>
      </w:r>
    </w:p>
    <w:p w:rsidR="00284320" w:rsidRPr="00284320" w:rsidRDefault="00284320" w:rsidP="0028432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CD6AB2">
        <w:rPr>
          <w:rFonts w:ascii="Times New Roman" w:hAnsi="Times New Roman" w:cs="Times New Roman"/>
          <w:b/>
        </w:rPr>
        <w:lastRenderedPageBreak/>
        <w:t>Naturaleza del agua</w:t>
      </w:r>
      <w:r w:rsidR="00E67D09">
        <w:rPr>
          <w:rFonts w:ascii="Times New Roman" w:hAnsi="Times New Roman" w:cs="Times New Roman"/>
        </w:rPr>
        <w:t>:</w:t>
      </w:r>
      <w:r w:rsidR="00CD6AB2">
        <w:rPr>
          <w:rFonts w:ascii="Times New Roman" w:hAnsi="Times New Roman" w:cs="Times New Roman"/>
        </w:rPr>
        <w:t xml:space="preserve"> La naturaleza del agua puede ser de carácter superficial o </w:t>
      </w:r>
      <w:proofErr w:type="gramStart"/>
      <w:r w:rsidR="00CD6AB2">
        <w:rPr>
          <w:rFonts w:ascii="Times New Roman" w:hAnsi="Times New Roman" w:cs="Times New Roman"/>
        </w:rPr>
        <w:t>subterránea</w:t>
      </w:r>
      <w:proofErr w:type="gramEnd"/>
      <w:r w:rsidR="00CD6AB2">
        <w:rPr>
          <w:rFonts w:ascii="Times New Roman" w:hAnsi="Times New Roman" w:cs="Times New Roman"/>
        </w:rPr>
        <w:t>. Son superficiales “aquellas que se encuentran naturalmente a la vista del hombre y pueden ser corrientes o detenidas” y son subterráneas “las que están ocultas en el seno de la tierra y no han sido alumbradas” (Código de Aguas, 1981, p.3).</w:t>
      </w:r>
    </w:p>
    <w:p w:rsidR="00284320" w:rsidRPr="00284320" w:rsidRDefault="00284320" w:rsidP="0028432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CD6AB2">
        <w:rPr>
          <w:rFonts w:ascii="Times New Roman" w:hAnsi="Times New Roman" w:cs="Times New Roman"/>
          <w:b/>
        </w:rPr>
        <w:t>Clasificación Fuente</w:t>
      </w:r>
      <w:r w:rsidR="00E67D09">
        <w:rPr>
          <w:rFonts w:ascii="Times New Roman" w:hAnsi="Times New Roman" w:cs="Times New Roman"/>
        </w:rPr>
        <w:t>:</w:t>
      </w:r>
      <w:r w:rsidR="001A1C4E">
        <w:rPr>
          <w:rFonts w:ascii="Times New Roman" w:hAnsi="Times New Roman" w:cs="Times New Roman"/>
        </w:rPr>
        <w:t xml:space="preserve"> Las fuentes refieren a las siguientes clasificaciones; acuífero, arroyo, derrame, lago, laguna, quebrada, río, estero, vertiente y zanjón.</w:t>
      </w:r>
    </w:p>
    <w:p w:rsidR="00284320" w:rsidRPr="00284320" w:rsidRDefault="00284320" w:rsidP="0028432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CD6AB2">
        <w:rPr>
          <w:rFonts w:ascii="Times New Roman" w:hAnsi="Times New Roman" w:cs="Times New Roman"/>
          <w:b/>
        </w:rPr>
        <w:t>Uso del Agua</w:t>
      </w:r>
      <w:r w:rsidR="00E67D09">
        <w:rPr>
          <w:rFonts w:ascii="Times New Roman" w:hAnsi="Times New Roman" w:cs="Times New Roman"/>
        </w:rPr>
        <w:t>:</w:t>
      </w:r>
      <w:r w:rsidR="00E04964">
        <w:rPr>
          <w:rFonts w:ascii="Times New Roman" w:hAnsi="Times New Roman" w:cs="Times New Roman"/>
        </w:rPr>
        <w:t xml:space="preserve"> Refiere a los diferentes usos a los cuales pueden estar asociados los derechos de aprovechamiento; bebida/uso doméstico/saneamiento, energía hidroeléctrica, piscicultura, riego, uso industrial, uso medicinal, uso minero, otros usos. </w:t>
      </w:r>
    </w:p>
    <w:p w:rsidR="00284320" w:rsidRPr="00284320" w:rsidRDefault="00284320" w:rsidP="0028432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CD6AB2">
        <w:rPr>
          <w:rFonts w:ascii="Times New Roman" w:hAnsi="Times New Roman" w:cs="Times New Roman"/>
          <w:b/>
        </w:rPr>
        <w:t>Cuenca</w:t>
      </w:r>
      <w:r w:rsidR="00E67D09">
        <w:rPr>
          <w:rFonts w:ascii="Times New Roman" w:hAnsi="Times New Roman" w:cs="Times New Roman"/>
        </w:rPr>
        <w:t>:</w:t>
      </w:r>
      <w:r w:rsidR="00CD6AB2">
        <w:rPr>
          <w:rFonts w:ascii="Times New Roman" w:hAnsi="Times New Roman" w:cs="Times New Roman"/>
        </w:rPr>
        <w:t xml:space="preserve"> “La cuenca u hoya hidrográfica de un caudal de aguas la forman todos los afluentes, subafluentes, quebradas, esteros, lagos y lagunas que afluyen a ella, en forma continua o discontinua, superficial o subterráneamente” (Código de Aguas, 1981, p.3). </w:t>
      </w:r>
    </w:p>
    <w:p w:rsidR="00284320" w:rsidRPr="00284320" w:rsidRDefault="00284320" w:rsidP="0028432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D6AB2">
        <w:rPr>
          <w:rFonts w:ascii="Times New Roman" w:hAnsi="Times New Roman" w:cs="Times New Roman"/>
          <w:b/>
        </w:rPr>
        <w:t>Subcuenca</w:t>
      </w:r>
      <w:proofErr w:type="spellEnd"/>
      <w:r w:rsidR="00E67D09">
        <w:rPr>
          <w:rFonts w:ascii="Times New Roman" w:hAnsi="Times New Roman" w:cs="Times New Roman"/>
        </w:rPr>
        <w:t>:</w:t>
      </w:r>
      <w:r w:rsidR="001F192E">
        <w:rPr>
          <w:rFonts w:ascii="Times New Roman" w:hAnsi="Times New Roman" w:cs="Times New Roman"/>
        </w:rPr>
        <w:t xml:space="preserve"> “Subdivisión al interior de una cuenca para denominar a la superficie de menor jerarquía u orden que realiza el drenaje por un tributario del curso principal” (CIREN, 2014 p.10).</w:t>
      </w:r>
    </w:p>
    <w:p w:rsidR="00284320" w:rsidRPr="00284320" w:rsidRDefault="00284320" w:rsidP="0028432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CD6AB2">
        <w:rPr>
          <w:rFonts w:ascii="Times New Roman" w:hAnsi="Times New Roman" w:cs="Times New Roman"/>
          <w:b/>
        </w:rPr>
        <w:t>Fuente</w:t>
      </w:r>
      <w:r w:rsidR="00E67D09">
        <w:rPr>
          <w:rFonts w:ascii="Times New Roman" w:hAnsi="Times New Roman" w:cs="Times New Roman"/>
        </w:rPr>
        <w:t>:</w:t>
      </w:r>
      <w:r w:rsidR="00791F27">
        <w:rPr>
          <w:rFonts w:ascii="Times New Roman" w:hAnsi="Times New Roman" w:cs="Times New Roman"/>
        </w:rPr>
        <w:t xml:space="preserve"> Hace referencia a la fuente natural de agua desde la cual se accede al ejercicio del derecho de aprovechamiento.</w:t>
      </w:r>
    </w:p>
    <w:p w:rsidR="00284320" w:rsidRPr="00284320" w:rsidRDefault="00284320" w:rsidP="0028432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CD6AB2">
        <w:rPr>
          <w:rFonts w:ascii="Times New Roman" w:hAnsi="Times New Roman" w:cs="Times New Roman"/>
          <w:b/>
        </w:rPr>
        <w:t>Ejercicio del Derecho</w:t>
      </w:r>
      <w:r w:rsidR="00E67D09">
        <w:rPr>
          <w:rFonts w:ascii="Times New Roman" w:hAnsi="Times New Roman" w:cs="Times New Roman"/>
        </w:rPr>
        <w:t>:</w:t>
      </w:r>
      <w:r w:rsidR="002F658F">
        <w:rPr>
          <w:rFonts w:ascii="Times New Roman" w:hAnsi="Times New Roman" w:cs="Times New Roman"/>
        </w:rPr>
        <w:t xml:space="preserve"> </w:t>
      </w:r>
      <w:r w:rsidR="00E80C54">
        <w:rPr>
          <w:rFonts w:ascii="Times New Roman" w:hAnsi="Times New Roman" w:cs="Times New Roman"/>
        </w:rPr>
        <w:t>Refiere al carácter temporal definido por la ley para hacer uso de un determinado derecho. En este sentido, e</w:t>
      </w:r>
      <w:r w:rsidR="002F658F">
        <w:rPr>
          <w:rFonts w:ascii="Times New Roman" w:hAnsi="Times New Roman" w:cs="Times New Roman"/>
        </w:rPr>
        <w:t>l ejercicio de los derechos de aprovechamiento puede ser pe</w:t>
      </w:r>
      <w:r w:rsidR="00E80C54">
        <w:rPr>
          <w:rFonts w:ascii="Times New Roman" w:hAnsi="Times New Roman" w:cs="Times New Roman"/>
        </w:rPr>
        <w:t xml:space="preserve">rmanente o eventual; continuo, </w:t>
      </w:r>
      <w:r w:rsidR="002F658F">
        <w:rPr>
          <w:rFonts w:ascii="Times New Roman" w:hAnsi="Times New Roman" w:cs="Times New Roman"/>
        </w:rPr>
        <w:t>discontinuo</w:t>
      </w:r>
      <w:r w:rsidR="00E80C54">
        <w:rPr>
          <w:rFonts w:ascii="Times New Roman" w:hAnsi="Times New Roman" w:cs="Times New Roman"/>
        </w:rPr>
        <w:t xml:space="preserve"> o alternado entre varias personas.</w:t>
      </w:r>
    </w:p>
    <w:p w:rsidR="00E85060" w:rsidRDefault="00284320" w:rsidP="00D0481F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CD6AB2">
        <w:rPr>
          <w:rFonts w:ascii="Times New Roman" w:hAnsi="Times New Roman" w:cs="Times New Roman"/>
          <w:b/>
        </w:rPr>
        <w:t xml:space="preserve">Caudal anual </w:t>
      </w:r>
      <w:proofErr w:type="spellStart"/>
      <w:r w:rsidRPr="00CD6AB2">
        <w:rPr>
          <w:rFonts w:ascii="Times New Roman" w:hAnsi="Times New Roman" w:cs="Times New Roman"/>
          <w:b/>
        </w:rPr>
        <w:t>prom</w:t>
      </w:r>
      <w:proofErr w:type="spellEnd"/>
      <w:r w:rsidR="005B0B0E">
        <w:rPr>
          <w:rStyle w:val="Refdenotaalpie"/>
          <w:rFonts w:ascii="Times New Roman" w:hAnsi="Times New Roman" w:cs="Times New Roman"/>
          <w:b/>
        </w:rPr>
        <w:footnoteReference w:id="2"/>
      </w:r>
      <w:r w:rsidR="00E67D09">
        <w:rPr>
          <w:rFonts w:ascii="Times New Roman" w:hAnsi="Times New Roman" w:cs="Times New Roman"/>
        </w:rPr>
        <w:t>:</w:t>
      </w:r>
    </w:p>
    <w:p w:rsidR="00D0481F" w:rsidRDefault="00D0481F" w:rsidP="00D0481F">
      <w:pPr>
        <w:pStyle w:val="Prrafodelista"/>
        <w:ind w:left="436"/>
        <w:rPr>
          <w:rFonts w:ascii="Times New Roman" w:hAnsi="Times New Roman" w:cs="Times New Roman"/>
        </w:rPr>
      </w:pPr>
    </w:p>
    <w:p w:rsidR="00D0481F" w:rsidRPr="00D0481F" w:rsidRDefault="00D0481F" w:rsidP="00D0481F">
      <w:pPr>
        <w:pStyle w:val="Prrafodelista"/>
        <w:ind w:left="436"/>
        <w:rPr>
          <w:rFonts w:ascii="Times New Roman" w:hAnsi="Times New Roman" w:cs="Times New Roman"/>
        </w:rPr>
      </w:pPr>
    </w:p>
    <w:p w:rsidR="00A72189" w:rsidRDefault="00E85060" w:rsidP="007B3C4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7B3C47">
        <w:rPr>
          <w:rFonts w:ascii="Times New Roman" w:hAnsi="Times New Roman" w:cs="Times New Roman"/>
          <w:b/>
        </w:rPr>
        <w:t>Bibliografía</w:t>
      </w:r>
    </w:p>
    <w:p w:rsidR="007B3C47" w:rsidRPr="007B3C47" w:rsidRDefault="007B3C47" w:rsidP="007B3C47">
      <w:pPr>
        <w:pStyle w:val="Prrafodelista"/>
        <w:ind w:left="436"/>
        <w:rPr>
          <w:rFonts w:ascii="Times New Roman" w:hAnsi="Times New Roman" w:cs="Times New Roman"/>
          <w:b/>
        </w:rPr>
      </w:pPr>
    </w:p>
    <w:p w:rsidR="00E85060" w:rsidRDefault="008D285B" w:rsidP="00E85060">
      <w:pPr>
        <w:spacing w:line="36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CIREN (2014</w:t>
      </w:r>
      <w:r w:rsidR="00E85060" w:rsidRPr="00E85060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>Informe final. Redefinición de la clasificación red hidrográfica a nivel Nacional. Santiago, Chile: MOP.</w:t>
      </w:r>
    </w:p>
    <w:p w:rsidR="008D285B" w:rsidRDefault="005C31E6" w:rsidP="00E85060">
      <w:pPr>
        <w:spacing w:line="360" w:lineRule="auto"/>
        <w:ind w:left="720" w:hanging="720"/>
        <w:rPr>
          <w:sz w:val="24"/>
          <w:szCs w:val="24"/>
        </w:rPr>
      </w:pPr>
      <w:r>
        <w:rPr>
          <w:rFonts w:ascii="Times New Roman" w:hAnsi="Times New Roman" w:cs="Times New Roman"/>
        </w:rPr>
        <w:t xml:space="preserve">República de Chile (2001). Código de Aguas. Santiago, Chile: Editorial Jurídica </w:t>
      </w:r>
      <w:proofErr w:type="spellStart"/>
      <w:r>
        <w:rPr>
          <w:rFonts w:ascii="Times New Roman" w:hAnsi="Times New Roman" w:cs="Times New Roman"/>
        </w:rPr>
        <w:t>ConoSur</w:t>
      </w:r>
      <w:proofErr w:type="spellEnd"/>
      <w:r>
        <w:rPr>
          <w:rFonts w:ascii="Times New Roman" w:hAnsi="Times New Roman" w:cs="Times New Roman"/>
        </w:rPr>
        <w:t xml:space="preserve"> Ltda. </w:t>
      </w:r>
    </w:p>
    <w:p w:rsidR="00E85060" w:rsidRPr="00C7518E" w:rsidRDefault="00E85060">
      <w:pPr>
        <w:rPr>
          <w:rFonts w:ascii="Times New Roman" w:hAnsi="Times New Roman" w:cs="Times New Roman"/>
        </w:rPr>
      </w:pPr>
    </w:p>
    <w:sectPr w:rsidR="00E85060" w:rsidRPr="00C7518E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219" w:rsidRDefault="00800219" w:rsidP="00E62486">
      <w:pPr>
        <w:spacing w:before="0" w:after="0" w:line="240" w:lineRule="auto"/>
      </w:pPr>
      <w:r>
        <w:separator/>
      </w:r>
    </w:p>
  </w:endnote>
  <w:endnote w:type="continuationSeparator" w:id="0">
    <w:p w:rsidR="00800219" w:rsidRDefault="00800219" w:rsidP="00E6248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9915934"/>
      <w:docPartObj>
        <w:docPartGallery w:val="Page Numbers (Bottom of Page)"/>
        <w:docPartUnique/>
      </w:docPartObj>
    </w:sdtPr>
    <w:sdtEndPr/>
    <w:sdtContent>
      <w:p w:rsidR="00E85060" w:rsidRDefault="00E8506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0B51" w:rsidRPr="00730B51">
          <w:rPr>
            <w:noProof/>
            <w:lang w:val="es-ES"/>
          </w:rPr>
          <w:t>3</w:t>
        </w:r>
        <w:r>
          <w:fldChar w:fldCharType="end"/>
        </w:r>
      </w:p>
    </w:sdtContent>
  </w:sdt>
  <w:p w:rsidR="00E85060" w:rsidRDefault="00E8506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219" w:rsidRDefault="00800219" w:rsidP="00E62486">
      <w:pPr>
        <w:spacing w:before="0" w:after="0" w:line="240" w:lineRule="auto"/>
      </w:pPr>
      <w:r>
        <w:separator/>
      </w:r>
    </w:p>
  </w:footnote>
  <w:footnote w:type="continuationSeparator" w:id="0">
    <w:p w:rsidR="00800219" w:rsidRDefault="00800219" w:rsidP="00E62486">
      <w:pPr>
        <w:spacing w:before="0" w:after="0" w:line="240" w:lineRule="auto"/>
      </w:pPr>
      <w:r>
        <w:continuationSeparator/>
      </w:r>
    </w:p>
  </w:footnote>
  <w:footnote w:id="1">
    <w:p w:rsidR="00E62486" w:rsidRPr="00E62486" w:rsidRDefault="00E62486">
      <w:pPr>
        <w:pStyle w:val="Textonotapie"/>
        <w:rPr>
          <w:rFonts w:ascii="Times New Roman" w:hAnsi="Times New Roman" w:cs="Times New Roman"/>
        </w:rPr>
      </w:pPr>
      <w:r w:rsidRPr="00E62486">
        <w:rPr>
          <w:rStyle w:val="Refdenotaalpie"/>
          <w:rFonts w:ascii="Times New Roman" w:hAnsi="Times New Roman" w:cs="Times New Roman"/>
        </w:rPr>
        <w:footnoteRef/>
      </w:r>
      <w:r w:rsidRPr="00E62486">
        <w:rPr>
          <w:rFonts w:ascii="Times New Roman" w:hAnsi="Times New Roman" w:cs="Times New Roman"/>
        </w:rPr>
        <w:t xml:space="preserve"> Fuente: </w:t>
      </w:r>
      <w:hyperlink r:id="rId1" w:history="1">
        <w:r w:rsidRPr="00E62486">
          <w:rPr>
            <w:rStyle w:val="Hipervnculo"/>
            <w:rFonts w:ascii="Times New Roman" w:hAnsi="Times New Roman" w:cs="Times New Roman"/>
          </w:rPr>
          <w:t>https://dga.mop.gob.cl/productosyservicios/derechos_historicos/Paginas/default.aspx</w:t>
        </w:r>
      </w:hyperlink>
    </w:p>
  </w:footnote>
  <w:footnote w:id="2">
    <w:p w:rsidR="005B0B0E" w:rsidRPr="005B0B0E" w:rsidRDefault="005B0B0E">
      <w:pPr>
        <w:pStyle w:val="Textonotapie"/>
        <w:rPr>
          <w:rFonts w:ascii="Times New Roman" w:hAnsi="Times New Roman" w:cs="Times New Roman"/>
        </w:rPr>
      </w:pPr>
      <w:r w:rsidRPr="005B0B0E">
        <w:rPr>
          <w:rStyle w:val="Refdenotaalpie"/>
          <w:rFonts w:ascii="Times New Roman" w:hAnsi="Times New Roman" w:cs="Times New Roman"/>
        </w:rPr>
        <w:footnoteRef/>
      </w:r>
      <w:r w:rsidRPr="005B0B0E">
        <w:rPr>
          <w:rFonts w:ascii="Times New Roman" w:hAnsi="Times New Roman" w:cs="Times New Roman"/>
        </w:rPr>
        <w:t xml:space="preserve"> La unidad de medida que proporciona la base</w:t>
      </w:r>
      <w:r w:rsidR="0011674F">
        <w:rPr>
          <w:rFonts w:ascii="Times New Roman" w:hAnsi="Times New Roman" w:cs="Times New Roman"/>
        </w:rPr>
        <w:t xml:space="preserve"> de datos</w:t>
      </w:r>
      <w:r w:rsidRPr="005B0B0E">
        <w:rPr>
          <w:rFonts w:ascii="Times New Roman" w:hAnsi="Times New Roman" w:cs="Times New Roman"/>
        </w:rPr>
        <w:t xml:space="preserve"> no es precisa, </w:t>
      </w:r>
      <w:r w:rsidR="0011674F">
        <w:rPr>
          <w:rFonts w:ascii="Times New Roman" w:hAnsi="Times New Roman" w:cs="Times New Roman"/>
        </w:rPr>
        <w:t>con lo cual</w:t>
      </w:r>
      <w:r w:rsidRPr="005B0B0E">
        <w:rPr>
          <w:rFonts w:ascii="Times New Roman" w:hAnsi="Times New Roman" w:cs="Times New Roman"/>
        </w:rPr>
        <w:t xml:space="preserve"> se está a la espera de la respuesta</w:t>
      </w:r>
      <w:r w:rsidR="00D0481F">
        <w:rPr>
          <w:rFonts w:ascii="Times New Roman" w:hAnsi="Times New Roman" w:cs="Times New Roman"/>
        </w:rPr>
        <w:t xml:space="preserve"> por parte de la institución</w:t>
      </w:r>
      <w:r w:rsidRPr="005B0B0E">
        <w:rPr>
          <w:rFonts w:ascii="Times New Roman" w:hAnsi="Times New Roman" w:cs="Times New Roman"/>
        </w:rPr>
        <w:t xml:space="preserve"> a la solicitud por transparencia.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B09A6"/>
    <w:multiLevelType w:val="hybridMultilevel"/>
    <w:tmpl w:val="BC00C1CC"/>
    <w:lvl w:ilvl="0" w:tplc="340A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253D5A07"/>
    <w:multiLevelType w:val="multilevel"/>
    <w:tmpl w:val="CCD826DC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4">
      <w:start w:val="1"/>
      <w:numFmt w:val="lowerRoman"/>
      <w:lvlText w:val="%5."/>
      <w:lvlJc w:val="righ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"/>
      <w:lvlJc w:val="left"/>
      <w:pPr>
        <w:tabs>
          <w:tab w:val="num" w:pos="72"/>
        </w:tabs>
        <w:ind w:left="7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04"/>
        </w:tabs>
        <w:ind w:left="504" w:hanging="1584"/>
      </w:pPr>
      <w:rPr>
        <w:rFonts w:hint="default"/>
      </w:rPr>
    </w:lvl>
  </w:abstractNum>
  <w:abstractNum w:abstractNumId="2" w15:restartNumberingAfterBreak="0">
    <w:nsid w:val="31901B91"/>
    <w:multiLevelType w:val="hybridMultilevel"/>
    <w:tmpl w:val="5E0A33E4"/>
    <w:lvl w:ilvl="0" w:tplc="340A000F">
      <w:start w:val="1"/>
      <w:numFmt w:val="decimal"/>
      <w:lvlText w:val="%1."/>
      <w:lvlJc w:val="left"/>
      <w:pPr>
        <w:ind w:left="436" w:hanging="360"/>
      </w:pPr>
    </w:lvl>
    <w:lvl w:ilvl="1" w:tplc="340A0019" w:tentative="1">
      <w:start w:val="1"/>
      <w:numFmt w:val="lowerLetter"/>
      <w:lvlText w:val="%2."/>
      <w:lvlJc w:val="left"/>
      <w:pPr>
        <w:ind w:left="1156" w:hanging="360"/>
      </w:pPr>
    </w:lvl>
    <w:lvl w:ilvl="2" w:tplc="340A001B" w:tentative="1">
      <w:start w:val="1"/>
      <w:numFmt w:val="lowerRoman"/>
      <w:lvlText w:val="%3."/>
      <w:lvlJc w:val="right"/>
      <w:pPr>
        <w:ind w:left="1876" w:hanging="180"/>
      </w:pPr>
    </w:lvl>
    <w:lvl w:ilvl="3" w:tplc="340A000F" w:tentative="1">
      <w:start w:val="1"/>
      <w:numFmt w:val="decimal"/>
      <w:lvlText w:val="%4."/>
      <w:lvlJc w:val="left"/>
      <w:pPr>
        <w:ind w:left="2596" w:hanging="360"/>
      </w:pPr>
    </w:lvl>
    <w:lvl w:ilvl="4" w:tplc="340A0019" w:tentative="1">
      <w:start w:val="1"/>
      <w:numFmt w:val="lowerLetter"/>
      <w:lvlText w:val="%5."/>
      <w:lvlJc w:val="left"/>
      <w:pPr>
        <w:ind w:left="3316" w:hanging="360"/>
      </w:pPr>
    </w:lvl>
    <w:lvl w:ilvl="5" w:tplc="340A001B" w:tentative="1">
      <w:start w:val="1"/>
      <w:numFmt w:val="lowerRoman"/>
      <w:lvlText w:val="%6."/>
      <w:lvlJc w:val="right"/>
      <w:pPr>
        <w:ind w:left="4036" w:hanging="180"/>
      </w:pPr>
    </w:lvl>
    <w:lvl w:ilvl="6" w:tplc="340A000F" w:tentative="1">
      <w:start w:val="1"/>
      <w:numFmt w:val="decimal"/>
      <w:lvlText w:val="%7."/>
      <w:lvlJc w:val="left"/>
      <w:pPr>
        <w:ind w:left="4756" w:hanging="360"/>
      </w:pPr>
    </w:lvl>
    <w:lvl w:ilvl="7" w:tplc="340A0019" w:tentative="1">
      <w:start w:val="1"/>
      <w:numFmt w:val="lowerLetter"/>
      <w:lvlText w:val="%8."/>
      <w:lvlJc w:val="left"/>
      <w:pPr>
        <w:ind w:left="5476" w:hanging="360"/>
      </w:pPr>
    </w:lvl>
    <w:lvl w:ilvl="8" w:tplc="340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6C8A4308"/>
    <w:multiLevelType w:val="hybridMultilevel"/>
    <w:tmpl w:val="C5EA4B70"/>
    <w:lvl w:ilvl="0" w:tplc="AC86024A">
      <w:start w:val="1"/>
      <w:numFmt w:val="decimal"/>
      <w:lvlText w:val="%1."/>
      <w:lvlJc w:val="left"/>
      <w:pPr>
        <w:ind w:left="436" w:hanging="360"/>
      </w:pPr>
      <w:rPr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1156" w:hanging="360"/>
      </w:pPr>
    </w:lvl>
    <w:lvl w:ilvl="2" w:tplc="340A001B" w:tentative="1">
      <w:start w:val="1"/>
      <w:numFmt w:val="lowerRoman"/>
      <w:lvlText w:val="%3."/>
      <w:lvlJc w:val="right"/>
      <w:pPr>
        <w:ind w:left="1876" w:hanging="180"/>
      </w:pPr>
    </w:lvl>
    <w:lvl w:ilvl="3" w:tplc="340A000F" w:tentative="1">
      <w:start w:val="1"/>
      <w:numFmt w:val="decimal"/>
      <w:lvlText w:val="%4."/>
      <w:lvlJc w:val="left"/>
      <w:pPr>
        <w:ind w:left="2596" w:hanging="360"/>
      </w:pPr>
    </w:lvl>
    <w:lvl w:ilvl="4" w:tplc="340A0019" w:tentative="1">
      <w:start w:val="1"/>
      <w:numFmt w:val="lowerLetter"/>
      <w:lvlText w:val="%5."/>
      <w:lvlJc w:val="left"/>
      <w:pPr>
        <w:ind w:left="3316" w:hanging="360"/>
      </w:pPr>
    </w:lvl>
    <w:lvl w:ilvl="5" w:tplc="340A001B" w:tentative="1">
      <w:start w:val="1"/>
      <w:numFmt w:val="lowerRoman"/>
      <w:lvlText w:val="%6."/>
      <w:lvlJc w:val="right"/>
      <w:pPr>
        <w:ind w:left="4036" w:hanging="180"/>
      </w:pPr>
    </w:lvl>
    <w:lvl w:ilvl="6" w:tplc="340A000F" w:tentative="1">
      <w:start w:val="1"/>
      <w:numFmt w:val="decimal"/>
      <w:lvlText w:val="%7."/>
      <w:lvlJc w:val="left"/>
      <w:pPr>
        <w:ind w:left="4756" w:hanging="360"/>
      </w:pPr>
    </w:lvl>
    <w:lvl w:ilvl="7" w:tplc="340A0019" w:tentative="1">
      <w:start w:val="1"/>
      <w:numFmt w:val="lowerLetter"/>
      <w:lvlText w:val="%8."/>
      <w:lvlJc w:val="left"/>
      <w:pPr>
        <w:ind w:left="5476" w:hanging="360"/>
      </w:pPr>
    </w:lvl>
    <w:lvl w:ilvl="8" w:tplc="340A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20B"/>
    <w:rsid w:val="000344EE"/>
    <w:rsid w:val="00035138"/>
    <w:rsid w:val="000C1DDF"/>
    <w:rsid w:val="000D2EE9"/>
    <w:rsid w:val="000F6D7E"/>
    <w:rsid w:val="0011674F"/>
    <w:rsid w:val="001A1C4E"/>
    <w:rsid w:val="001F093B"/>
    <w:rsid w:val="001F192E"/>
    <w:rsid w:val="00223941"/>
    <w:rsid w:val="00265B0A"/>
    <w:rsid w:val="00284320"/>
    <w:rsid w:val="002C0B84"/>
    <w:rsid w:val="002D410E"/>
    <w:rsid w:val="002F658F"/>
    <w:rsid w:val="0031226A"/>
    <w:rsid w:val="0034103C"/>
    <w:rsid w:val="00341BD6"/>
    <w:rsid w:val="0036507F"/>
    <w:rsid w:val="003D46AC"/>
    <w:rsid w:val="003E0DB3"/>
    <w:rsid w:val="0042293A"/>
    <w:rsid w:val="0045525F"/>
    <w:rsid w:val="00476F10"/>
    <w:rsid w:val="004A0926"/>
    <w:rsid w:val="004F413A"/>
    <w:rsid w:val="0053112C"/>
    <w:rsid w:val="00572B0C"/>
    <w:rsid w:val="00574C57"/>
    <w:rsid w:val="005B0B0E"/>
    <w:rsid w:val="005C31E6"/>
    <w:rsid w:val="005D3AA2"/>
    <w:rsid w:val="006421C9"/>
    <w:rsid w:val="00704066"/>
    <w:rsid w:val="00730B51"/>
    <w:rsid w:val="00791F27"/>
    <w:rsid w:val="007B3C47"/>
    <w:rsid w:val="007E3123"/>
    <w:rsid w:val="00800219"/>
    <w:rsid w:val="0086598C"/>
    <w:rsid w:val="008D285B"/>
    <w:rsid w:val="00927467"/>
    <w:rsid w:val="00944320"/>
    <w:rsid w:val="009D0470"/>
    <w:rsid w:val="009F1CE9"/>
    <w:rsid w:val="00A04C56"/>
    <w:rsid w:val="00A72189"/>
    <w:rsid w:val="00A725B7"/>
    <w:rsid w:val="00AE57F1"/>
    <w:rsid w:val="00BB493A"/>
    <w:rsid w:val="00C7518E"/>
    <w:rsid w:val="00CC54FE"/>
    <w:rsid w:val="00CD6AB2"/>
    <w:rsid w:val="00D0481F"/>
    <w:rsid w:val="00D0620B"/>
    <w:rsid w:val="00D25D90"/>
    <w:rsid w:val="00D764A9"/>
    <w:rsid w:val="00DB53FC"/>
    <w:rsid w:val="00DE4210"/>
    <w:rsid w:val="00E04964"/>
    <w:rsid w:val="00E62486"/>
    <w:rsid w:val="00E67D09"/>
    <w:rsid w:val="00E80C54"/>
    <w:rsid w:val="00E85060"/>
    <w:rsid w:val="00FB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B887851-B6B0-4FDD-B4B7-F7CC04E3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before="240" w:after="240" w:line="276" w:lineRule="auto"/>
        <w:ind w:left="-284" w:right="-323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</w:style>
  <w:style w:type="paragraph" w:styleId="Ttulo1">
    <w:name w:val="heading 1"/>
    <w:aliases w:val="Título 1 Memoria,Título1amb,abs,abs1,abs2,abs3,abs11,abs4,abs5,abs12,abs6,abs13,abs7,abs14,abs8,abs15,abs9,abs16,abs10,abs17,abs18,abs19,abs20,abs21,abs110,abs22,abs111,abs23,abs24,abs112,Título 1 Memoria1,abs31,abs41,abs51,abs121,abs61,. (1.0)"/>
    <w:basedOn w:val="Normal"/>
    <w:next w:val="Normal"/>
    <w:link w:val="Ttulo1Car"/>
    <w:qFormat/>
    <w:rsid w:val="00944320"/>
    <w:pPr>
      <w:keepNext/>
      <w:numPr>
        <w:numId w:val="1"/>
      </w:numPr>
      <w:spacing w:before="600" w:after="480" w:line="288" w:lineRule="auto"/>
      <w:outlineLvl w:val="0"/>
    </w:pPr>
    <w:rPr>
      <w:rFonts w:ascii="Arial" w:eastAsia="Times New Roman" w:hAnsi="Arial" w:cs="Arial"/>
      <w:b/>
      <w:bCs/>
      <w:caps/>
      <w:kern w:val="32"/>
      <w:sz w:val="28"/>
      <w:szCs w:val="3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MH">
    <w:name w:val="EMH"/>
    <w:basedOn w:val="Tablanormal"/>
    <w:uiPriority w:val="99"/>
    <w:rsid w:val="001F093B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7B7B7B" w:themeColor="accent3" w:themeShade="BF"/>
        <w:left w:val="single" w:sz="4" w:space="0" w:color="7B7B7B" w:themeColor="accent3" w:themeShade="BF"/>
        <w:bottom w:val="single" w:sz="4" w:space="0" w:color="7B7B7B" w:themeColor="accent3" w:themeShade="BF"/>
        <w:right w:val="single" w:sz="4" w:space="0" w:color="7B7B7B" w:themeColor="accent3" w:themeShade="BF"/>
        <w:insideH w:val="single" w:sz="4" w:space="0" w:color="7B7B7B" w:themeColor="accent3" w:themeShade="BF"/>
        <w:insideV w:val="single" w:sz="4" w:space="0" w:color="7B7B7B" w:themeColor="accent3" w:themeShade="BF"/>
      </w:tblBorders>
    </w:tblPr>
    <w:tblStylePr w:type="firstRow">
      <w:pPr>
        <w:jc w:val="center"/>
      </w:pPr>
      <w:rPr>
        <w:rFonts w:ascii="Arial" w:hAnsi="Arial"/>
        <w:b/>
        <w:color w:val="auto"/>
        <w:sz w:val="20"/>
      </w:rPr>
      <w:tblPr/>
      <w:tcPr>
        <w:shd w:val="clear" w:color="auto" w:fill="C9C9C9" w:themeFill="accent3" w:themeFillTint="99"/>
        <w:vAlign w:val="bottom"/>
      </w:tcPr>
    </w:tblStylePr>
  </w:style>
  <w:style w:type="character" w:customStyle="1" w:styleId="Ttulo1Car">
    <w:name w:val="Título 1 Car"/>
    <w:aliases w:val="Título 1 Memoria Car,Título1amb Car,abs Car,abs1 Car,abs2 Car,abs3 Car,abs11 Car,abs4 Car,abs5 Car,abs12 Car,abs6 Car,abs13 Car,abs7 Car,abs14 Car,abs8 Car,abs15 Car,abs9 Car,abs16 Car,abs10 Car,abs17 Car,abs18 Car,abs19 Car,abs20 Car"/>
    <w:basedOn w:val="Fuentedeprrafopredeter"/>
    <w:link w:val="Ttulo1"/>
    <w:rsid w:val="00944320"/>
    <w:rPr>
      <w:rFonts w:ascii="Arial" w:eastAsia="Times New Roman" w:hAnsi="Arial" w:cs="Arial"/>
      <w:b/>
      <w:bCs/>
      <w:caps/>
      <w:kern w:val="32"/>
      <w:sz w:val="28"/>
      <w:szCs w:val="32"/>
      <w:lang w:eastAsia="es-ES"/>
    </w:rPr>
  </w:style>
  <w:style w:type="character" w:styleId="Hipervnculo">
    <w:name w:val="Hyperlink"/>
    <w:basedOn w:val="Fuentedeprrafopredeter"/>
    <w:uiPriority w:val="99"/>
    <w:unhideWhenUsed/>
    <w:rsid w:val="00FB12C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8432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E62486"/>
    <w:pPr>
      <w:spacing w:before="0"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6248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62486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E85060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5060"/>
  </w:style>
  <w:style w:type="paragraph" w:styleId="Piedepgina">
    <w:name w:val="footer"/>
    <w:basedOn w:val="Normal"/>
    <w:link w:val="PiedepginaCar"/>
    <w:uiPriority w:val="99"/>
    <w:unhideWhenUsed/>
    <w:rsid w:val="00E85060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5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avieraRojas/DerechosdeAgua-DG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avieraRojas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ga.mop.gob.cl/productosyservicios/derechos_historicos/Paginas/default.asp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35212-DE58-4120-9FD3-641C533E5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3</Pages>
  <Words>731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Rojas</dc:creator>
  <cp:keywords/>
  <dc:description/>
  <cp:lastModifiedBy>Javiera Rojas</cp:lastModifiedBy>
  <cp:revision>44</cp:revision>
  <dcterms:created xsi:type="dcterms:W3CDTF">2020-04-23T19:22:00Z</dcterms:created>
  <dcterms:modified xsi:type="dcterms:W3CDTF">2020-04-29T16:08:00Z</dcterms:modified>
</cp:coreProperties>
</file>