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395"/>
      </w:tblGrid>
      <w:tr w:rsidR="00000000">
        <w:tblPrEx>
          <w:tblCellMar>
            <w:top w:w="0" w:type="dxa"/>
            <w:bottom w:w="0" w:type="dxa"/>
          </w:tblCellMar>
        </w:tblPrEx>
        <w:tc>
          <w:tcPr>
            <w:tcW w:w="10395" w:type="dxa"/>
          </w:tcPr>
          <w:p w:rsidR="00000000" w:rsidRDefault="00402D0A">
            <w:pPr>
              <w:rPr>
                <w:b/>
              </w:rPr>
            </w:pPr>
            <w:r>
              <w:rPr>
                <w:b/>
              </w:rPr>
              <w:t>Titulo: Operación de Bancos de Capacitores.</w:t>
            </w:r>
          </w:p>
          <w:p w:rsidR="00000000" w:rsidRDefault="00402D0A">
            <w:pPr>
              <w:rPr>
                <w:b/>
              </w:rPr>
            </w:pPr>
          </w:p>
        </w:tc>
      </w:tr>
    </w:tbl>
    <w:p w:rsidR="00000000" w:rsidRDefault="00402D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395"/>
      </w:tblGrid>
      <w:tr w:rsidR="00000000">
        <w:tblPrEx>
          <w:tblCellMar>
            <w:top w:w="0" w:type="dxa"/>
            <w:bottom w:w="0" w:type="dxa"/>
          </w:tblCellMar>
        </w:tblPrEx>
        <w:tc>
          <w:tcPr>
            <w:tcW w:w="10395" w:type="dxa"/>
          </w:tcPr>
          <w:p w:rsidR="00000000" w:rsidRDefault="00402D0A">
            <w:pPr>
              <w:pStyle w:val="Header"/>
              <w:tabs>
                <w:tab w:val="clear" w:pos="4419"/>
                <w:tab w:val="clear" w:pos="8838"/>
              </w:tabs>
              <w:rPr>
                <w:b/>
              </w:rPr>
            </w:pPr>
            <w:r>
              <w:rPr>
                <w:b/>
              </w:rPr>
              <w:t>Observaciones:</w:t>
            </w:r>
          </w:p>
          <w:p w:rsidR="00000000" w:rsidRDefault="00402D0A">
            <w:pPr>
              <w:pStyle w:val="Header"/>
              <w:tabs>
                <w:tab w:val="clear" w:pos="4419"/>
                <w:tab w:val="clear" w:pos="8838"/>
              </w:tabs>
              <w:rPr>
                <w:b/>
              </w:rPr>
            </w:pPr>
          </w:p>
        </w:tc>
      </w:tr>
    </w:tbl>
    <w:p w:rsidR="00000000" w:rsidRDefault="00402D0A">
      <w:pPr>
        <w:pStyle w:val="Header"/>
        <w:tabs>
          <w:tab w:val="clear" w:pos="4419"/>
          <w:tab w:val="clear" w:pos="8838"/>
        </w:tabs>
      </w:pPr>
    </w:p>
    <w:p w:rsidR="00000000" w:rsidRDefault="00402D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7229"/>
        <w:gridCol w:w="1678"/>
      </w:tblGrid>
      <w:tr w:rsidR="00000000">
        <w:tblPrEx>
          <w:tblCellMar>
            <w:top w:w="0" w:type="dxa"/>
            <w:bottom w:w="0" w:type="dxa"/>
          </w:tblCellMar>
        </w:tblPrEx>
        <w:tc>
          <w:tcPr>
            <w:tcW w:w="1488" w:type="dxa"/>
            <w:tcBorders>
              <w:top w:val="nil"/>
              <w:left w:val="nil"/>
            </w:tcBorders>
          </w:tcPr>
          <w:p w:rsidR="00000000" w:rsidRDefault="00402D0A">
            <w:pPr>
              <w:pStyle w:val="Header"/>
              <w:tabs>
                <w:tab w:val="clear" w:pos="4419"/>
                <w:tab w:val="clear" w:pos="8838"/>
              </w:tabs>
            </w:pPr>
          </w:p>
        </w:tc>
        <w:tc>
          <w:tcPr>
            <w:tcW w:w="7229" w:type="dxa"/>
          </w:tcPr>
          <w:p w:rsidR="00000000" w:rsidRDefault="00402D0A">
            <w:pPr>
              <w:pStyle w:val="Header"/>
              <w:tabs>
                <w:tab w:val="clear" w:pos="4419"/>
                <w:tab w:val="clear" w:pos="8838"/>
              </w:tabs>
              <w:jc w:val="center"/>
            </w:pPr>
            <w:r>
              <w:t>Nombre y Apellidos / Cargo / Organización</w:t>
            </w:r>
          </w:p>
        </w:tc>
        <w:tc>
          <w:tcPr>
            <w:tcW w:w="1678" w:type="dxa"/>
          </w:tcPr>
          <w:p w:rsidR="00000000" w:rsidRDefault="00402D0A">
            <w:pPr>
              <w:jc w:val="center"/>
            </w:pPr>
            <w:r>
              <w:t>Firma</w:t>
            </w:r>
          </w:p>
        </w:tc>
      </w:tr>
      <w:tr w:rsidR="00000000">
        <w:tblPrEx>
          <w:tblCellMar>
            <w:top w:w="0" w:type="dxa"/>
            <w:bottom w:w="0" w:type="dxa"/>
          </w:tblCellMar>
        </w:tblPrEx>
        <w:tc>
          <w:tcPr>
            <w:tcW w:w="1488" w:type="dxa"/>
          </w:tcPr>
          <w:p w:rsidR="00000000" w:rsidRDefault="00402D0A">
            <w:r>
              <w:t>Preparado</w:t>
            </w:r>
          </w:p>
        </w:tc>
        <w:tc>
          <w:tcPr>
            <w:tcW w:w="7229" w:type="dxa"/>
          </w:tcPr>
          <w:p w:rsidR="00000000" w:rsidRDefault="00402D0A">
            <w:pPr>
              <w:pStyle w:val="Heading5"/>
            </w:pPr>
            <w:r>
              <w:t>Ing. Rafael Siso Hermida / J’Dpto Explotación / OBEP C Habana</w:t>
            </w:r>
          </w:p>
        </w:tc>
        <w:tc>
          <w:tcPr>
            <w:tcW w:w="1678" w:type="dxa"/>
          </w:tcPr>
          <w:p w:rsidR="00000000" w:rsidRDefault="00402D0A">
            <w:pPr>
              <w:pStyle w:val="Heading5"/>
            </w:pPr>
          </w:p>
        </w:tc>
      </w:tr>
      <w:tr w:rsidR="00000000">
        <w:tblPrEx>
          <w:tblCellMar>
            <w:top w:w="0" w:type="dxa"/>
            <w:bottom w:w="0" w:type="dxa"/>
          </w:tblCellMar>
        </w:tblPrEx>
        <w:tc>
          <w:tcPr>
            <w:tcW w:w="1488" w:type="dxa"/>
          </w:tcPr>
          <w:p w:rsidR="00000000" w:rsidRDefault="00402D0A">
            <w:r>
              <w:t>Acordado</w:t>
            </w:r>
          </w:p>
        </w:tc>
        <w:tc>
          <w:tcPr>
            <w:tcW w:w="7229" w:type="dxa"/>
          </w:tcPr>
          <w:p w:rsidR="00000000" w:rsidRDefault="00402D0A">
            <w:pPr>
              <w:jc w:val="both"/>
            </w:pPr>
            <w:r>
              <w:t>Gabriel León Sánchez / Esp Ingeniería de Distribución / U</w:t>
            </w:r>
            <w:r>
              <w:t>NE</w:t>
            </w:r>
          </w:p>
        </w:tc>
        <w:tc>
          <w:tcPr>
            <w:tcW w:w="1678" w:type="dxa"/>
          </w:tcPr>
          <w:p w:rsidR="00000000" w:rsidRDefault="00402D0A">
            <w:pPr>
              <w:jc w:val="both"/>
            </w:pPr>
          </w:p>
        </w:tc>
      </w:tr>
      <w:tr w:rsidR="00000000">
        <w:tblPrEx>
          <w:tblCellMar>
            <w:top w:w="0" w:type="dxa"/>
            <w:bottom w:w="0" w:type="dxa"/>
          </w:tblCellMar>
        </w:tblPrEx>
        <w:tc>
          <w:tcPr>
            <w:tcW w:w="1488" w:type="dxa"/>
          </w:tcPr>
          <w:p w:rsidR="00000000" w:rsidRDefault="00402D0A"/>
        </w:tc>
        <w:tc>
          <w:tcPr>
            <w:tcW w:w="7229" w:type="dxa"/>
          </w:tcPr>
          <w:p w:rsidR="00000000" w:rsidRDefault="00402D0A">
            <w:pPr>
              <w:jc w:val="both"/>
            </w:pPr>
          </w:p>
        </w:tc>
        <w:tc>
          <w:tcPr>
            <w:tcW w:w="1678" w:type="dxa"/>
          </w:tcPr>
          <w:p w:rsidR="00000000" w:rsidRDefault="00402D0A">
            <w:pPr>
              <w:jc w:val="both"/>
            </w:pPr>
          </w:p>
        </w:tc>
      </w:tr>
      <w:tr w:rsidR="00000000">
        <w:tblPrEx>
          <w:tblCellMar>
            <w:top w:w="0" w:type="dxa"/>
            <w:bottom w:w="0" w:type="dxa"/>
          </w:tblCellMar>
        </w:tblPrEx>
        <w:tc>
          <w:tcPr>
            <w:tcW w:w="1488" w:type="dxa"/>
          </w:tcPr>
          <w:p w:rsidR="00000000" w:rsidRDefault="00402D0A"/>
        </w:tc>
        <w:tc>
          <w:tcPr>
            <w:tcW w:w="7229" w:type="dxa"/>
          </w:tcPr>
          <w:p w:rsidR="00000000" w:rsidRDefault="00402D0A">
            <w:pPr>
              <w:jc w:val="both"/>
            </w:pPr>
          </w:p>
        </w:tc>
        <w:tc>
          <w:tcPr>
            <w:tcW w:w="1678" w:type="dxa"/>
          </w:tcPr>
          <w:p w:rsidR="00000000" w:rsidRDefault="00402D0A">
            <w:pPr>
              <w:jc w:val="both"/>
            </w:pPr>
          </w:p>
        </w:tc>
      </w:tr>
      <w:tr w:rsidR="00000000">
        <w:tblPrEx>
          <w:tblCellMar>
            <w:top w:w="0" w:type="dxa"/>
            <w:bottom w:w="0" w:type="dxa"/>
          </w:tblCellMar>
        </w:tblPrEx>
        <w:tc>
          <w:tcPr>
            <w:tcW w:w="1488" w:type="dxa"/>
          </w:tcPr>
          <w:p w:rsidR="00000000" w:rsidRDefault="00402D0A"/>
        </w:tc>
        <w:tc>
          <w:tcPr>
            <w:tcW w:w="7229" w:type="dxa"/>
          </w:tcPr>
          <w:p w:rsidR="00000000" w:rsidRDefault="00402D0A">
            <w:pPr>
              <w:jc w:val="both"/>
            </w:pPr>
          </w:p>
        </w:tc>
        <w:tc>
          <w:tcPr>
            <w:tcW w:w="1678" w:type="dxa"/>
          </w:tcPr>
          <w:p w:rsidR="00000000" w:rsidRDefault="00402D0A">
            <w:pPr>
              <w:jc w:val="both"/>
            </w:pPr>
          </w:p>
        </w:tc>
      </w:tr>
      <w:tr w:rsidR="00000000">
        <w:tblPrEx>
          <w:tblCellMar>
            <w:top w:w="0" w:type="dxa"/>
            <w:bottom w:w="0" w:type="dxa"/>
          </w:tblCellMar>
        </w:tblPrEx>
        <w:tc>
          <w:tcPr>
            <w:tcW w:w="1488" w:type="dxa"/>
          </w:tcPr>
          <w:p w:rsidR="00000000" w:rsidRDefault="00402D0A"/>
        </w:tc>
        <w:tc>
          <w:tcPr>
            <w:tcW w:w="7229" w:type="dxa"/>
          </w:tcPr>
          <w:p w:rsidR="00000000" w:rsidRDefault="00402D0A">
            <w:pPr>
              <w:jc w:val="both"/>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24.35pt;margin-top:12.75pt;width:325.5pt;height:51pt;rotation:-695937fd;z-index:251657728;mso-position-horizontal-relative:text;mso-position-vertical-relative:text" filled="f">
                  <v:shadow color="#868686"/>
                  <v:textpath style="font-family:&quot;Arial Black&quot;;v-text-kern:t" trim="t" fitpath="t" string="Original Firmado"/>
                </v:shape>
              </w:pict>
            </w:r>
          </w:p>
        </w:tc>
        <w:tc>
          <w:tcPr>
            <w:tcW w:w="1678" w:type="dxa"/>
          </w:tcPr>
          <w:p w:rsidR="00000000" w:rsidRDefault="00402D0A">
            <w:pPr>
              <w:jc w:val="both"/>
            </w:pPr>
          </w:p>
        </w:tc>
      </w:tr>
      <w:tr w:rsidR="00000000">
        <w:tblPrEx>
          <w:tblCellMar>
            <w:top w:w="0" w:type="dxa"/>
            <w:bottom w:w="0" w:type="dxa"/>
          </w:tblCellMar>
        </w:tblPrEx>
        <w:tc>
          <w:tcPr>
            <w:tcW w:w="1488" w:type="dxa"/>
          </w:tcPr>
          <w:p w:rsidR="00000000" w:rsidRDefault="00402D0A"/>
        </w:tc>
        <w:tc>
          <w:tcPr>
            <w:tcW w:w="7229" w:type="dxa"/>
          </w:tcPr>
          <w:p w:rsidR="00000000" w:rsidRDefault="00402D0A">
            <w:pPr>
              <w:jc w:val="both"/>
            </w:pPr>
          </w:p>
        </w:tc>
        <w:tc>
          <w:tcPr>
            <w:tcW w:w="1678" w:type="dxa"/>
          </w:tcPr>
          <w:p w:rsidR="00000000" w:rsidRDefault="00402D0A">
            <w:pPr>
              <w:jc w:val="both"/>
            </w:pPr>
          </w:p>
        </w:tc>
      </w:tr>
      <w:tr w:rsidR="00000000">
        <w:tblPrEx>
          <w:tblCellMar>
            <w:top w:w="0" w:type="dxa"/>
            <w:bottom w:w="0" w:type="dxa"/>
          </w:tblCellMar>
        </w:tblPrEx>
        <w:tc>
          <w:tcPr>
            <w:tcW w:w="1488" w:type="dxa"/>
          </w:tcPr>
          <w:p w:rsidR="00000000" w:rsidRDefault="00402D0A">
            <w:r>
              <w:t>Aprobado</w:t>
            </w:r>
          </w:p>
        </w:tc>
        <w:tc>
          <w:tcPr>
            <w:tcW w:w="7229" w:type="dxa"/>
          </w:tcPr>
          <w:p w:rsidR="00000000" w:rsidRDefault="00402D0A">
            <w:pPr>
              <w:jc w:val="both"/>
            </w:pPr>
            <w:r>
              <w:t>Antonio Pías Gómez / Director de Distribución / UNE</w:t>
            </w:r>
          </w:p>
        </w:tc>
        <w:tc>
          <w:tcPr>
            <w:tcW w:w="1678" w:type="dxa"/>
          </w:tcPr>
          <w:p w:rsidR="00000000" w:rsidRDefault="00402D0A">
            <w:pPr>
              <w:jc w:val="both"/>
            </w:pPr>
          </w:p>
        </w:tc>
      </w:tr>
    </w:tbl>
    <w:p w:rsidR="00000000" w:rsidRDefault="00402D0A">
      <w:pPr>
        <w:pStyle w:val="Header"/>
        <w:tabs>
          <w:tab w:val="clear" w:pos="4419"/>
          <w:tab w:val="clear" w:pos="8838"/>
        </w:tabs>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000000" w:rsidRDefault="00402D0A">
      <w:r>
        <w:rPr>
          <w:b/>
        </w:rPr>
        <w:lastRenderedPageBreak/>
        <w:t>1.  OBJETIVO:</w:t>
      </w:r>
    </w:p>
    <w:p w:rsidR="00000000" w:rsidRDefault="00402D0A">
      <w:r>
        <w:t>1.1  Establecer los pasos a seguir para la Operación de Bancos de Capacitores.</w:t>
      </w:r>
    </w:p>
    <w:p w:rsidR="00000000" w:rsidRDefault="00402D0A"/>
    <w:p w:rsidR="00000000" w:rsidRDefault="00402D0A">
      <w:r>
        <w:rPr>
          <w:b/>
        </w:rPr>
        <w:t>2.  ALCANCE:</w:t>
      </w:r>
    </w:p>
    <w:p w:rsidR="00000000" w:rsidRDefault="00402D0A">
      <w:r>
        <w:t>2.1  Comprende  los  Bancos  de  Capacitores</w:t>
      </w:r>
      <w:r>
        <w:t xml:space="preserve">   instalados   en  Redes   de Distribución de 13.8 kV y menores, montados en postes ó subestaciones.</w:t>
      </w:r>
    </w:p>
    <w:p w:rsidR="00000000" w:rsidRDefault="00402D0A">
      <w:r>
        <w:t>2.2  Es  una  guía  de  trabajo  para el personal de líneas y subestaciones que  opera  Bancos  de Capacitores: Operario A y B de guardia eléctrica, Linie</w:t>
      </w:r>
      <w:r>
        <w:t>ro A de Construcción y Mantenimiento, Operario A y B de pruebas   eléctricas,  Operador   de   subestaciones,  Operario  A  de subestaciones.</w:t>
      </w:r>
    </w:p>
    <w:p w:rsidR="00000000" w:rsidRDefault="00402D0A"/>
    <w:p w:rsidR="00000000" w:rsidRDefault="00402D0A">
      <w:r>
        <w:rPr>
          <w:b/>
        </w:rPr>
        <w:t>3.  DEFINICIONES:</w:t>
      </w:r>
    </w:p>
    <w:p w:rsidR="00000000" w:rsidRDefault="00402D0A">
      <w:r>
        <w:t>3.1  Protección  segura  de  los  Bancos  de   Capacitores:  Selección   del Fusible adecuado p</w:t>
      </w:r>
      <w:r>
        <w:t>ara que este funda antes que el Capacitor explote por una falla interna.</w:t>
      </w:r>
    </w:p>
    <w:p w:rsidR="00000000" w:rsidRDefault="00402D0A">
      <w:r>
        <w:t>3.2  Control de tiempo: Equipo que funciona con un reloj eléctrico incorporado, cuerda  de  reserva  y   terminales   eléctricas  de  entrada  y salida. Habrá  potencial  a  la  salid</w:t>
      </w:r>
      <w:r>
        <w:t>a  en  dependencia de la hora de ajuste del equipo.</w:t>
      </w:r>
    </w:p>
    <w:p w:rsidR="00000000" w:rsidRDefault="00402D0A">
      <w:r>
        <w:t>3.3  Interruptor  tipo  Kyle  para  Capacitores: Interruptor monófasico en aceite que permite accionamiento manual y por control a distancia a través de una señal eléctrica de cierre.</w:t>
      </w:r>
    </w:p>
    <w:p w:rsidR="00000000" w:rsidRDefault="00402D0A">
      <w:r>
        <w:t>3.4  OBEP: Organizac</w:t>
      </w:r>
      <w:r>
        <w:t>ión Básica Eléctrica Provincial.</w:t>
      </w:r>
    </w:p>
    <w:p w:rsidR="00000000" w:rsidRDefault="00402D0A">
      <w:r>
        <w:t>3.5  I.D.: Ingeniería de Distribución.</w:t>
      </w:r>
    </w:p>
    <w:p w:rsidR="00000000" w:rsidRDefault="00402D0A">
      <w:r>
        <w:t>3.6  Drop out: Desconectivo Portafusible.</w:t>
      </w:r>
    </w:p>
    <w:p w:rsidR="00000000" w:rsidRDefault="00402D0A">
      <w:r>
        <w:t>3.7  Tronking : Medio de Comunicación privado entre los que  participan de la Comunicación.</w:t>
      </w:r>
    </w:p>
    <w:p w:rsidR="00000000" w:rsidRDefault="00402D0A">
      <w:r>
        <w:t>3.8  Vía Libre: Conjunto  de  medidas  Técnico-Org</w:t>
      </w:r>
      <w:r>
        <w:t>anizativas que aseguran  que  el  lugar y objeto de trabajo se hallan completamente aislados de toda fuente de energía declarada o conocida.</w:t>
      </w:r>
    </w:p>
    <w:p w:rsidR="00000000" w:rsidRDefault="00402D0A"/>
    <w:p w:rsidR="00000000" w:rsidRDefault="00402D0A">
      <w:pPr>
        <w:rPr>
          <w:b/>
        </w:rPr>
      </w:pPr>
      <w:r>
        <w:rPr>
          <w:b/>
        </w:rPr>
        <w:t>4.  REFERENCIAS:</w:t>
      </w:r>
    </w:p>
    <w:p w:rsidR="00000000" w:rsidRDefault="00402D0A">
      <w:r>
        <w:t>4.1  Tabla “Recomendaciones para la Instalación de Fusibles en Bancos de Capacitores”.</w:t>
      </w:r>
    </w:p>
    <w:p w:rsidR="00000000" w:rsidRDefault="00402D0A">
      <w:pPr>
        <w:rPr>
          <w:lang w:val="en-US"/>
        </w:rPr>
      </w:pPr>
      <w:r>
        <w:rPr>
          <w:lang w:val="en-US"/>
        </w:rPr>
        <w:t xml:space="preserve">4.2  Oil  </w:t>
      </w:r>
      <w:r>
        <w:rPr>
          <w:lang w:val="en-US"/>
        </w:rPr>
        <w:t>Switches  Types  NR,  NRV.  Model  5260-20-1   McGraw-Edison Power Systems.</w:t>
      </w:r>
    </w:p>
    <w:p w:rsidR="00000000" w:rsidRDefault="00402D0A" w:rsidP="00402D0A">
      <w:pPr>
        <w:numPr>
          <w:ilvl w:val="0"/>
          <w:numId w:val="7"/>
        </w:numPr>
      </w:pPr>
      <w:r>
        <w:t>UD-PG 0001 Rev 00 Metodologia para la emision, modificacion y cancelacion de los documentos del SAC.</w:t>
      </w:r>
    </w:p>
    <w:p w:rsidR="00000000" w:rsidRDefault="00402D0A"/>
    <w:p w:rsidR="00000000" w:rsidRDefault="00402D0A">
      <w:r>
        <w:rPr>
          <w:b/>
        </w:rPr>
        <w:t>5.  ANEXOS:</w:t>
      </w:r>
    </w:p>
    <w:p w:rsidR="00000000" w:rsidRDefault="00402D0A">
      <w:r>
        <w:t>5.1  No procede.</w:t>
      </w:r>
    </w:p>
    <w:p w:rsidR="00000000" w:rsidRDefault="00402D0A"/>
    <w:p w:rsidR="00000000" w:rsidRDefault="00402D0A">
      <w:r>
        <w:rPr>
          <w:b/>
        </w:rPr>
        <w:t>6.  RESPONSABILIDADES:</w:t>
      </w:r>
    </w:p>
    <w:p w:rsidR="00000000" w:rsidRDefault="00402D0A" w:rsidP="00402D0A">
      <w:pPr>
        <w:numPr>
          <w:ilvl w:val="1"/>
          <w:numId w:val="3"/>
        </w:numPr>
      </w:pPr>
      <w:r>
        <w:t>El Director de Distribuci</w:t>
      </w:r>
      <w:r>
        <w:t>ón de la UNE es responsable de aprobar el presente procedimiento.</w:t>
      </w:r>
    </w:p>
    <w:p w:rsidR="00000000" w:rsidRDefault="00402D0A" w:rsidP="00402D0A">
      <w:pPr>
        <w:numPr>
          <w:ilvl w:val="1"/>
          <w:numId w:val="3"/>
        </w:numPr>
      </w:pPr>
      <w:r>
        <w:t>El Subdirector  Técnico  de la OBEP es responsable de implantar el presente procedimiento.</w:t>
      </w:r>
    </w:p>
    <w:p w:rsidR="00000000" w:rsidRDefault="00402D0A" w:rsidP="00402D0A">
      <w:pPr>
        <w:numPr>
          <w:ilvl w:val="1"/>
          <w:numId w:val="3"/>
        </w:numPr>
      </w:pPr>
      <w:r>
        <w:t>El  Jefe  del  Departamento  de I.D. es responsable de Auditar, hacer cumplir y cumplir el presente</w:t>
      </w:r>
      <w:r>
        <w:t xml:space="preserve"> procedimiento.</w:t>
      </w:r>
    </w:p>
    <w:p w:rsidR="00000000" w:rsidRDefault="00402D0A" w:rsidP="00402D0A">
      <w:pPr>
        <w:numPr>
          <w:ilvl w:val="1"/>
          <w:numId w:val="3"/>
        </w:numPr>
      </w:pPr>
      <w:r>
        <w:t>El  Especialista  Principal  de  Operación Municipal que atiende I.D. es  responsable  de cumplir y hacer cumplir el presente procedimiento.</w:t>
      </w:r>
    </w:p>
    <w:p w:rsidR="00000000" w:rsidRDefault="00402D0A" w:rsidP="00402D0A">
      <w:pPr>
        <w:pStyle w:val="Header"/>
        <w:numPr>
          <w:ilvl w:val="1"/>
          <w:numId w:val="3"/>
        </w:numPr>
        <w:tabs>
          <w:tab w:val="clear" w:pos="4419"/>
          <w:tab w:val="clear" w:pos="8838"/>
          <w:tab w:val="left" w:pos="426"/>
        </w:tabs>
      </w:pPr>
      <w:r>
        <w:lastRenderedPageBreak/>
        <w:t>Todo  el  personal que manipule Bancos de Capacitores es responsable  de  cumplir  el presente  pro</w:t>
      </w:r>
      <w:r>
        <w:t>cedimiento  (Linieros, Operadores de Subestaciones, Operarios de Subestaciones, Operarios  A  y  B  de guardia  eléctrica  y  prueba  y análisis, así como Despachadores de Distribución y/o territorial.</w:t>
      </w:r>
    </w:p>
    <w:p w:rsidR="00000000" w:rsidRDefault="00402D0A">
      <w:pPr>
        <w:pStyle w:val="Header"/>
        <w:tabs>
          <w:tab w:val="clear" w:pos="4419"/>
          <w:tab w:val="clear" w:pos="8838"/>
          <w:tab w:val="left" w:pos="426"/>
        </w:tabs>
      </w:pPr>
    </w:p>
    <w:p w:rsidR="00000000" w:rsidRDefault="00402D0A">
      <w:r>
        <w:rPr>
          <w:b/>
        </w:rPr>
        <w:t>7.  DESARROLLO:</w:t>
      </w:r>
    </w:p>
    <w:p w:rsidR="00000000" w:rsidRDefault="00402D0A"/>
    <w:p w:rsidR="00000000" w:rsidRDefault="00402D0A" w:rsidP="00402D0A">
      <w:pPr>
        <w:numPr>
          <w:ilvl w:val="1"/>
          <w:numId w:val="4"/>
        </w:numPr>
      </w:pPr>
      <w:r>
        <w:t>Apertura de Bancos de Capacitores fi</w:t>
      </w:r>
      <w:r>
        <w:t>jos.</w:t>
      </w:r>
    </w:p>
    <w:p w:rsidR="00000000" w:rsidRDefault="00402D0A">
      <w:pPr>
        <w:ind w:left="60"/>
      </w:pPr>
    </w:p>
    <w:p w:rsidR="00000000" w:rsidRDefault="00402D0A">
      <w:r>
        <w:t xml:space="preserve"> 7.1.1  Gobernado por Dropout.</w:t>
      </w:r>
    </w:p>
    <w:p w:rsidR="00000000" w:rsidRDefault="00402D0A">
      <w:r>
        <w:t xml:space="preserve"> 7.1.1.1  Deberá  solicitar permiso al Despacho o estar bajo las ordenes  de  él  para  realizar  esta operación a través del medio de comunicación disponible teléfono, radio, tronking, etc.</w:t>
      </w:r>
    </w:p>
    <w:p w:rsidR="00000000" w:rsidRDefault="00402D0A">
      <w:r>
        <w:t xml:space="preserve"> 7.1.1.2  Deberá confecciona</w:t>
      </w:r>
      <w:r>
        <w:t>r el permiso de seguridad.</w:t>
      </w:r>
    </w:p>
    <w:p w:rsidR="00000000" w:rsidRDefault="00402D0A">
      <w:r>
        <w:t xml:space="preserve"> 7.1.1.3  Colocar y  amarrar  escalera  arriba y abajo ó escalar el poste o subir en equipo auxiliar.</w:t>
      </w:r>
    </w:p>
    <w:p w:rsidR="00000000" w:rsidRDefault="00402D0A">
      <w:r>
        <w:t xml:space="preserve"> 7.1.1.4  Abrir  los  dropout  de  las  fases  más  distantes  a   su posición  y  al  final  las  más  cercana, mediante  vara</w:t>
      </w:r>
      <w:r>
        <w:t xml:space="preserve"> aislada.</w:t>
      </w:r>
    </w:p>
    <w:p w:rsidR="00000000" w:rsidRDefault="00402D0A">
      <w:r>
        <w:t xml:space="preserve"> 7.1.1.5  Comprobar abierto las 3 fases .</w:t>
      </w:r>
    </w:p>
    <w:p w:rsidR="00000000" w:rsidRDefault="00402D0A">
      <w:r>
        <w:t xml:space="preserve"> 7.1.1.6  Informar  al Despacho  la  posición  abierta del Banco de Capacitores.</w:t>
      </w:r>
    </w:p>
    <w:p w:rsidR="00000000" w:rsidRDefault="00402D0A"/>
    <w:p w:rsidR="00000000" w:rsidRDefault="00402D0A">
      <w:r>
        <w:t>7.1.2 Gobernados por Dropout e interruptores tipo Kyle.</w:t>
      </w:r>
    </w:p>
    <w:p w:rsidR="00000000" w:rsidRDefault="00402D0A">
      <w:r>
        <w:t>7.1.2.1  Deberá  solicitar permiso al Despacho o estar bajo las or</w:t>
      </w:r>
      <w:r>
        <w:t>denes de el para realizar esta operación.</w:t>
      </w:r>
    </w:p>
    <w:p w:rsidR="00000000" w:rsidRDefault="00402D0A">
      <w:r>
        <w:t>7.1.2.2  Deberá confeccionar el permiso de seguridad.</w:t>
      </w:r>
    </w:p>
    <w:p w:rsidR="00000000" w:rsidRDefault="00402D0A">
      <w:r>
        <w:t>7.1.2.3  Colocar  y  amarrar  escalera arriba y abajo o escalar el poste o subir en equipo auxiliar.</w:t>
      </w:r>
    </w:p>
    <w:p w:rsidR="00000000" w:rsidRDefault="00402D0A">
      <w:r>
        <w:t>7.1.2.4  Abrir los interruptores tipo Kyle  accionando la p</w:t>
      </w:r>
      <w:r>
        <w:t>alanca  hacia  abajo  mediante  la vara aislada; cerciorandose que haga tope.</w:t>
      </w:r>
    </w:p>
    <w:p w:rsidR="00000000" w:rsidRDefault="00402D0A">
      <w:r>
        <w:t>7.1.2.5  Abrir  los  Dropout  de  las  fases  más  distantes  a  su posición  y  al  final  la  más  cercana   mediante   vara aislada.</w:t>
      </w:r>
    </w:p>
    <w:p w:rsidR="00000000" w:rsidRDefault="00402D0A">
      <w:r>
        <w:t>7.1.2.6  Comprobar abierta las tres fases.</w:t>
      </w:r>
    </w:p>
    <w:p w:rsidR="00000000" w:rsidRDefault="00402D0A">
      <w:r>
        <w:t>7.1.2.7  Informar  al  Despacho  la  posición abierta del Banco de Capacitores.</w:t>
      </w:r>
    </w:p>
    <w:p w:rsidR="00000000" w:rsidRDefault="00402D0A"/>
    <w:p w:rsidR="00000000" w:rsidRDefault="00402D0A">
      <w:r>
        <w:t>7.2  Apertura de Bancos de Capacitores controlados:</w:t>
      </w:r>
    </w:p>
    <w:p w:rsidR="00000000" w:rsidRDefault="00402D0A">
      <w:r>
        <w:t>7.2.1  Deberá confeccionar planilla de seguridad.</w:t>
      </w:r>
    </w:p>
    <w:p w:rsidR="00000000" w:rsidRDefault="00402D0A">
      <w:r>
        <w:t xml:space="preserve">7.2.2  Solicitar permiso al Despacho o estar bajo  las  ordenes  de  él </w:t>
      </w:r>
      <w:r>
        <w:t>para  realizar  esta  operación  a  través del medio de comunicación disponible teléfono, radio o Tronking.</w:t>
      </w:r>
    </w:p>
    <w:p w:rsidR="00000000" w:rsidRDefault="00402D0A">
      <w:r>
        <w:t>7.2.3  Idem al punto 3 del epígrafe 7.1.1.</w:t>
      </w:r>
    </w:p>
    <w:p w:rsidR="00000000" w:rsidRDefault="00402D0A">
      <w:r>
        <w:t>7.2.4  Abrir  los  interruptores  typo  Kyle mediante el accionamiento eléctrico del control que gobierne</w:t>
      </w:r>
      <w:r>
        <w:t xml:space="preserve"> al banco y desconectando el control de la fuente de suministro eléctrico.</w:t>
      </w:r>
    </w:p>
    <w:p w:rsidR="00000000" w:rsidRDefault="00402D0A">
      <w:r>
        <w:t>7.2.5  Idem al punto 4 del epígrafe 7.1.1.</w:t>
      </w:r>
    </w:p>
    <w:p w:rsidR="00000000" w:rsidRDefault="00402D0A">
      <w:r>
        <w:t>7.2.6  Comprobar abierto de 3 fases.</w:t>
      </w:r>
    </w:p>
    <w:p w:rsidR="00000000" w:rsidRDefault="00402D0A">
      <w:r>
        <w:t>7.2.7  Informar   al   despacho  la   posición   abierta  del  Banco   de Capacitores.</w:t>
      </w:r>
    </w:p>
    <w:p w:rsidR="00000000" w:rsidRDefault="00402D0A"/>
    <w:p w:rsidR="00000000" w:rsidRDefault="00402D0A">
      <w:r>
        <w:t>7.3  Cierre d</w:t>
      </w:r>
      <w:r>
        <w:t>e Banco de Capacitores.</w:t>
      </w:r>
    </w:p>
    <w:p w:rsidR="00000000" w:rsidRDefault="00402D0A">
      <w:r>
        <w:lastRenderedPageBreak/>
        <w:t>Si  la apertura se debió a una operación y no a una falla en el Banco Capacitores deberá proceder de la siguiente forma:</w:t>
      </w:r>
    </w:p>
    <w:p w:rsidR="00000000" w:rsidRDefault="00402D0A"/>
    <w:p w:rsidR="00000000" w:rsidRDefault="00402D0A">
      <w:r>
        <w:t>7.3.1  Para Banco de Capacitores fijos gobernada por Dropout.</w:t>
      </w:r>
    </w:p>
    <w:p w:rsidR="00000000" w:rsidRDefault="00402D0A">
      <w:r>
        <w:t>7.3.1.1  Cumplir los puntos 1, 2 y 3 del epígraf</w:t>
      </w:r>
      <w:r>
        <w:t>e 7.1.1.</w:t>
      </w:r>
    </w:p>
    <w:p w:rsidR="00000000" w:rsidRDefault="00402D0A">
      <w:r>
        <w:t>7.3.1.2  Solicitar  permiso  al   despacho  y  este  bloqueará  el resierre del interruptor.</w:t>
      </w:r>
    </w:p>
    <w:p w:rsidR="00000000" w:rsidRDefault="00402D0A">
      <w:r>
        <w:t>7.3.1.3  Cuando haya recibido la orden del  Despacho, Cerrar el  Dropout   mas   próximo  a  la   posición   donde  se encuentre  y  al  final  las más di</w:t>
      </w:r>
      <w:r>
        <w:t>stantes mediante vara aisladora. Deberá evitar situarse directamente debajo del Dropout  ya  que  al  cerrar  contra  una  falla  y el                                   fusible   fundir   saldrá  un  casquillo   impulsado  que puede herir al Liniero.</w:t>
      </w:r>
    </w:p>
    <w:p w:rsidR="00000000" w:rsidRDefault="00402D0A">
      <w:r>
        <w:t>7.3.1</w:t>
      </w:r>
      <w:r>
        <w:t>.4  Informar  al   despacho  la  posición   cerrada  en  que quedó el Banco de Capacitores.</w:t>
      </w:r>
    </w:p>
    <w:p w:rsidR="00000000" w:rsidRDefault="00402D0A"/>
    <w:p w:rsidR="00000000" w:rsidRDefault="00402D0A">
      <w:r>
        <w:t>7.3.2  Para  Banco de Capacitores fijos gobernado por interruptores tipos Kyles y Dropout.</w:t>
      </w:r>
    </w:p>
    <w:p w:rsidR="00000000" w:rsidRDefault="00402D0A">
      <w:r>
        <w:t>7.3.2.1  Realizar los puntos 1, 2 y 3 del epígrafe 7.1.1.</w:t>
      </w:r>
    </w:p>
    <w:p w:rsidR="00000000" w:rsidRDefault="00402D0A">
      <w:r>
        <w:t>7.3.2.2  Cerra</w:t>
      </w:r>
      <w:r>
        <w:t>r los 3 Dropout mediante vara aislada.</w:t>
      </w:r>
    </w:p>
    <w:p w:rsidR="00000000" w:rsidRDefault="00402D0A">
      <w:r>
        <w:t>7.3.2.3  Cerrar los 3 interruptores Kyle mediante vara aislante empujando  la palanca hacia arriba hasta que quede a nivel de la tapa superior del Kyle.</w:t>
      </w:r>
    </w:p>
    <w:p w:rsidR="00000000" w:rsidRDefault="00402D0A">
      <w:r>
        <w:t>7.3.2.4  Informar  al  despacho  la   posición   cerrada  en  qu</w:t>
      </w:r>
      <w:r>
        <w:t>e quedó el Banco de Capacitores.</w:t>
      </w:r>
    </w:p>
    <w:p w:rsidR="00000000" w:rsidRDefault="00402D0A"/>
    <w:p w:rsidR="00000000" w:rsidRDefault="00402D0A">
      <w:r>
        <w:t>7.3.3  Para Banco de Capacitores controlados.</w:t>
      </w:r>
    </w:p>
    <w:p w:rsidR="00000000" w:rsidRDefault="00402D0A">
      <w:r>
        <w:t>7.3.3.1  Realizar los puntos 1, 2 y 3 del epígrafe 7.1.1.</w:t>
      </w:r>
    </w:p>
    <w:p w:rsidR="00000000" w:rsidRDefault="00402D0A">
      <w:r>
        <w:t>7.3.3.2  Cerrar los 3 Dropout mediante una vara aislada.</w:t>
      </w:r>
    </w:p>
    <w:p w:rsidR="00000000" w:rsidRDefault="00402D0A">
      <w:r>
        <w:t xml:space="preserve">7.3.3.3  Hacer cierre eléctrico de los Kyles desde el equipo </w:t>
      </w:r>
      <w:r>
        <w:t>de control.</w:t>
      </w:r>
    </w:p>
    <w:p w:rsidR="00000000" w:rsidRDefault="00402D0A">
      <w:r>
        <w:t>7.3.3.4  Informar  al  despacho  la   posición   cerrada  en  que quedó el Banco de Capacitores</w:t>
      </w:r>
    </w:p>
    <w:p w:rsidR="00000000" w:rsidRDefault="00402D0A"/>
    <w:p w:rsidR="00000000" w:rsidRDefault="00402D0A">
      <w:r>
        <w:t xml:space="preserve">           </w:t>
      </w:r>
      <w:r>
        <w:rPr>
          <w:b/>
          <w:i/>
        </w:rPr>
        <w:t>PRECAUCIONES:</w:t>
      </w:r>
    </w:p>
    <w:p w:rsidR="00000000" w:rsidRDefault="00402D0A"/>
    <w:p w:rsidR="00000000" w:rsidRDefault="00402D0A">
      <w:r>
        <w:t xml:space="preserve">                       </w:t>
      </w:r>
      <w:r>
        <w:sym w:font="Symbol" w:char="F0B7"/>
      </w:r>
      <w:r>
        <w:t xml:space="preserve">  No cerrar el interruptor tipo Kyle contra posible falla.</w:t>
      </w:r>
    </w:p>
    <w:p w:rsidR="00000000" w:rsidRDefault="00402D0A">
      <w:r>
        <w:t xml:space="preserve">                       </w:t>
      </w:r>
      <w:r>
        <w:sym w:font="Symbol" w:char="F0B7"/>
      </w:r>
      <w:r>
        <w:t xml:space="preserve">  No operar el</w:t>
      </w:r>
      <w:r>
        <w:t xml:space="preserve"> interruptor más de 3 veces por minuto.</w:t>
      </w:r>
    </w:p>
    <w:p w:rsidR="00000000" w:rsidRDefault="00402D0A"/>
    <w:p w:rsidR="00000000" w:rsidRDefault="00402D0A" w:rsidP="00402D0A">
      <w:pPr>
        <w:numPr>
          <w:ilvl w:val="1"/>
          <w:numId w:val="5"/>
        </w:numPr>
      </w:pPr>
      <w:r>
        <w:t>Tratamiento a Bancos de Capacitores con una o más fases abiertas.</w:t>
      </w:r>
    </w:p>
    <w:p w:rsidR="00000000" w:rsidRDefault="00402D0A">
      <w:r>
        <w:t>7.4.1  Cuando el  Banco  de  Capacitores es detectado con una o más fases  abiertas  deberá  comunicarse  al  despacho de distribución  correspondien</w:t>
      </w:r>
      <w:r>
        <w:t>te  y  este indicará abrir las fases restantes para evitar desbalances de corriente en el circuito que puedan producir  operación de la protección por desbalance y apertura del interruptor del circuito.</w:t>
      </w:r>
    </w:p>
    <w:p w:rsidR="00000000" w:rsidRDefault="00402D0A">
      <w:r>
        <w:t>7.4.2  Posteriormente será enviado el carro de prueba</w:t>
      </w:r>
      <w:r>
        <w:t>s y Análisis, el que  procederá a comprobar las causas de apertura asimétrica del Banco, procediendo de la siguiente forma:</w:t>
      </w:r>
    </w:p>
    <w:p w:rsidR="00000000" w:rsidRDefault="00402D0A">
      <w:r>
        <w:t>7.4.3  Realizar los puntos 1, 2 y 3 del epígrafe 7.1.1.</w:t>
      </w:r>
    </w:p>
    <w:p w:rsidR="00000000" w:rsidRDefault="00402D0A">
      <w:r>
        <w:t>7.4.4  Solicitar vía libre sobre el Banco de Capacitores.</w:t>
      </w:r>
    </w:p>
    <w:p w:rsidR="00000000" w:rsidRDefault="00402D0A">
      <w:r>
        <w:t>7.4.5  Confecciona</w:t>
      </w:r>
      <w:r>
        <w:t>r planilla de seguridad.</w:t>
      </w:r>
    </w:p>
    <w:p w:rsidR="00000000" w:rsidRDefault="00402D0A">
      <w:r>
        <w:t>7.4.6  Enterrar   varilla  de   tierra  al   menor  50cm,  conectando  la cadena de prueba a esta varilla.</w:t>
      </w:r>
    </w:p>
    <w:p w:rsidR="00000000" w:rsidRDefault="00402D0A">
      <w:r>
        <w:t>7.4.7  Pasar  cadena de prueba aterrada sobre las fases de los capacitores  desconectados, mediante  vara  aislada  y  esper</w:t>
      </w:r>
      <w:r>
        <w:t>ar  10 minutos.</w:t>
      </w:r>
    </w:p>
    <w:p w:rsidR="00000000" w:rsidRDefault="00402D0A">
      <w:r>
        <w:lastRenderedPageBreak/>
        <w:t>7.4.8  Pasado  este  tiempo, retirar cadena de prueba y desacoplar el banco en unidades separadas.</w:t>
      </w:r>
    </w:p>
    <w:p w:rsidR="00000000" w:rsidRDefault="00402D0A">
      <w:r>
        <w:t>7.4.9  Medir  continuidad  a  cada unidad, conectando el megometro de aislamiento de 500 entre los bornos, si el  valor  de  lectura es cero,</w:t>
      </w:r>
      <w:r>
        <w:t xml:space="preserve"> existe continuidad.</w:t>
      </w:r>
    </w:p>
    <w:p w:rsidR="00000000" w:rsidRDefault="00402D0A">
      <w:r>
        <w:t>7.4.10 Medir  resistencia   de  aislamiento  de  cada  capacitor  con el megnometro  de  aislamiento, conectando el equipo de medida entre el una borna y el casco. El  resultado  debe  ser  al  menos  1 M</w:t>
      </w:r>
      <w:r>
        <w:sym w:font="Symbol" w:char="F057"/>
      </w:r>
      <w:r>
        <w:t xml:space="preserve"> / kV. Si  se   trata  de capa</w:t>
      </w:r>
      <w:r>
        <w:t>citores   de  una   sola   borna, no  es  posible  medirle   el aislamiento  y  se observará si está abofado u otro daño en  la unidad capacitora.</w:t>
      </w:r>
    </w:p>
    <w:p w:rsidR="00000000" w:rsidRDefault="00402D0A">
      <w:r>
        <w:t>7.4.11 Si existe un capacitor con bajo aislamiento deberá ser sustituido  por  otro  igual o reducir de las o</w:t>
      </w:r>
      <w:r>
        <w:t>tras fases la misma cantidad  de  forma  que  el  banco quede con la misma cantidad de capácitores por fase.</w:t>
      </w:r>
    </w:p>
    <w:p w:rsidR="00000000" w:rsidRDefault="00402D0A">
      <w:r>
        <w:t>7.4.12 Reponer por el fusible adecuado (ver referencia 4.1).</w:t>
      </w:r>
    </w:p>
    <w:p w:rsidR="00000000" w:rsidRDefault="00402D0A">
      <w:r>
        <w:t>7.4.13 Proceder al cierre del Banco de Capacitores por lo descrito en 7.3.1, 7.3.2 ó 7</w:t>
      </w:r>
      <w:r>
        <w:t>.3.3, según corresponda.</w:t>
      </w:r>
    </w:p>
    <w:p w:rsidR="00000000" w:rsidRDefault="00402D0A"/>
    <w:p w:rsidR="00000000" w:rsidRDefault="00402D0A">
      <w:r>
        <w:t>7.5  El  área  de  I.D.  de  la  OBE  Territorial  registrará  en la tarjeta de existencias  de  capacitores,  la  fecha,  causa,  fusible  dejado  en  el  Banco de Capacitores, lo cual permitirá analizar fallas repetitivas.</w:t>
      </w:r>
    </w:p>
    <w:p w:rsidR="00000000" w:rsidRDefault="00402D0A"/>
    <w:p w:rsidR="00000000" w:rsidRDefault="00402D0A">
      <w:pPr>
        <w:pStyle w:val="EncIN"/>
        <w:spacing w:before="0" w:after="0"/>
      </w:pPr>
      <w:r>
        <w:t>8. R</w:t>
      </w:r>
      <w:r>
        <w:t>egistros.</w:t>
      </w:r>
    </w:p>
    <w:p w:rsidR="00000000" w:rsidRDefault="00402D0A" w:rsidP="00402D0A">
      <w:pPr>
        <w:numPr>
          <w:ilvl w:val="1"/>
          <w:numId w:val="6"/>
        </w:numPr>
      </w:pPr>
      <w:r>
        <w:t xml:space="preserve"> No Procede.</w:t>
      </w:r>
    </w:p>
    <w:p w:rsidR="00000000" w:rsidRDefault="00402D0A">
      <w:pPr>
        <w:pStyle w:val="Nor"/>
        <w:numPr>
          <w:ilvl w:val="0"/>
          <w:numId w:val="0"/>
        </w:numPr>
      </w:pPr>
    </w:p>
    <w:p w:rsidR="00000000" w:rsidRDefault="00402D0A">
      <w:pPr>
        <w:pStyle w:val="Nor"/>
        <w:numPr>
          <w:ilvl w:val="0"/>
          <w:numId w:val="0"/>
        </w:numPr>
      </w:pPr>
    </w:p>
    <w:p w:rsidR="00000000" w:rsidRDefault="00402D0A">
      <w:pPr>
        <w:pStyle w:val="Nor"/>
        <w:numPr>
          <w:ilvl w:val="0"/>
          <w:numId w:val="0"/>
        </w:numPr>
      </w:pPr>
    </w:p>
    <w:p w:rsidR="00402D0A" w:rsidRDefault="00402D0A">
      <w:pPr>
        <w:pStyle w:val="Nor"/>
        <w:numPr>
          <w:ilvl w:val="0"/>
          <w:numId w:val="0"/>
        </w:numPr>
      </w:pPr>
    </w:p>
    <w:sectPr w:rsidR="00402D0A">
      <w:headerReference w:type="default" r:id="rId7"/>
      <w:footerReference w:type="default" r:id="rId8"/>
      <w:headerReference w:type="first" r:id="rId9"/>
      <w:footerReference w:type="first" r:id="rId10"/>
      <w:pgSz w:w="12240" w:h="15840" w:code="1"/>
      <w:pgMar w:top="567" w:right="567" w:bottom="567" w:left="567" w:header="567" w:footer="567" w:gutter="85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D0A" w:rsidRDefault="00402D0A">
      <w:r>
        <w:separator/>
      </w:r>
    </w:p>
  </w:endnote>
  <w:endnote w:type="continuationSeparator" w:id="0">
    <w:p w:rsidR="00402D0A" w:rsidRDefault="00402D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mall Fonts">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2338"/>
      <w:gridCol w:w="3261"/>
      <w:gridCol w:w="2268"/>
      <w:gridCol w:w="2525"/>
    </w:tblGrid>
    <w:tr w:rsidR="00000000">
      <w:tblPrEx>
        <w:tblCellMar>
          <w:top w:w="0" w:type="dxa"/>
          <w:bottom w:w="0" w:type="dxa"/>
        </w:tblCellMar>
      </w:tblPrEx>
      <w:tc>
        <w:tcPr>
          <w:tcW w:w="2338" w:type="dxa"/>
        </w:tcPr>
        <w:p w:rsidR="00000000" w:rsidRDefault="00402D0A">
          <w:pPr>
            <w:pStyle w:val="EncIN"/>
          </w:pPr>
          <w:r>
            <w:t>Copia Controlada:</w:t>
          </w:r>
        </w:p>
      </w:tc>
      <w:tc>
        <w:tcPr>
          <w:tcW w:w="3261" w:type="dxa"/>
        </w:tcPr>
        <w:p w:rsidR="00000000" w:rsidRDefault="00402D0A">
          <w:pPr>
            <w:pStyle w:val="EncIN"/>
          </w:pPr>
        </w:p>
      </w:tc>
      <w:tc>
        <w:tcPr>
          <w:tcW w:w="2268" w:type="dxa"/>
        </w:tcPr>
        <w:p w:rsidR="00000000" w:rsidRDefault="00402D0A">
          <w:pPr>
            <w:pStyle w:val="EncIN"/>
          </w:pPr>
          <w:r>
            <w:t>Fecha de Emisión:</w:t>
          </w:r>
        </w:p>
      </w:tc>
      <w:tc>
        <w:tcPr>
          <w:tcW w:w="2525" w:type="dxa"/>
        </w:tcPr>
        <w:p w:rsidR="00000000" w:rsidRDefault="00402D0A">
          <w:pPr>
            <w:pStyle w:val="EncIN"/>
          </w:pPr>
        </w:p>
      </w:tc>
    </w:tr>
  </w:tbl>
  <w:p w:rsidR="00000000" w:rsidRDefault="00402D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2338"/>
      <w:gridCol w:w="3261"/>
      <w:gridCol w:w="2268"/>
      <w:gridCol w:w="2525"/>
    </w:tblGrid>
    <w:tr w:rsidR="00000000">
      <w:tblPrEx>
        <w:tblCellMar>
          <w:top w:w="0" w:type="dxa"/>
          <w:bottom w:w="0" w:type="dxa"/>
        </w:tblCellMar>
      </w:tblPrEx>
      <w:tc>
        <w:tcPr>
          <w:tcW w:w="2338" w:type="dxa"/>
        </w:tcPr>
        <w:p w:rsidR="00000000" w:rsidRDefault="00402D0A">
          <w:pPr>
            <w:pStyle w:val="EncIN"/>
          </w:pPr>
          <w:r>
            <w:t>Copia Controlada:</w:t>
          </w:r>
        </w:p>
      </w:tc>
      <w:tc>
        <w:tcPr>
          <w:tcW w:w="3261" w:type="dxa"/>
        </w:tcPr>
        <w:p w:rsidR="00000000" w:rsidRDefault="00402D0A">
          <w:pPr>
            <w:pStyle w:val="EncIN"/>
          </w:pPr>
        </w:p>
      </w:tc>
      <w:tc>
        <w:tcPr>
          <w:tcW w:w="2268" w:type="dxa"/>
        </w:tcPr>
        <w:p w:rsidR="00000000" w:rsidRDefault="00402D0A">
          <w:pPr>
            <w:pStyle w:val="EncIN"/>
          </w:pPr>
          <w:r>
            <w:t>Fecha de Emisión:</w:t>
          </w:r>
        </w:p>
      </w:tc>
      <w:tc>
        <w:tcPr>
          <w:tcW w:w="2525" w:type="dxa"/>
        </w:tcPr>
        <w:p w:rsidR="00000000" w:rsidRDefault="00402D0A">
          <w:pPr>
            <w:pStyle w:val="EncIN"/>
          </w:pPr>
          <w:r>
            <w:t>12/03/01</w:t>
          </w:r>
        </w:p>
      </w:tc>
    </w:tr>
  </w:tbl>
  <w:p w:rsidR="00000000" w:rsidRDefault="00402D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D0A" w:rsidRDefault="00402D0A">
      <w:r>
        <w:separator/>
      </w:r>
    </w:p>
  </w:footnote>
  <w:footnote w:type="continuationSeparator" w:id="0">
    <w:p w:rsidR="00402D0A" w:rsidRDefault="00402D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7"/>
      <w:gridCol w:w="5528"/>
      <w:gridCol w:w="2693"/>
    </w:tblGrid>
    <w:tr w:rsidR="00000000">
      <w:tblPrEx>
        <w:tblCellMar>
          <w:top w:w="0" w:type="dxa"/>
          <w:bottom w:w="0" w:type="dxa"/>
        </w:tblCellMar>
      </w:tblPrEx>
      <w:tc>
        <w:tcPr>
          <w:tcW w:w="2197" w:type="dxa"/>
        </w:tcPr>
        <w:p w:rsidR="00000000" w:rsidRDefault="00402D0A">
          <w:pPr>
            <w:pStyle w:val="PequeC"/>
          </w:pPr>
          <w:r>
            <w:object w:dxaOrig="541" w:dyaOrig="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pt;height:49pt" o:ole="" fillcolor="window">
                <v:imagedata r:id="rId1" o:title=""/>
              </v:shape>
              <o:OLEObject Type="Embed" ProgID="Word.Picture.8" ShapeID="_x0000_i1026" DrawAspect="Content" ObjectID="_1330325281" r:id="rId2"/>
            </w:object>
          </w:r>
        </w:p>
        <w:p w:rsidR="00000000" w:rsidRDefault="00402D0A">
          <w:pPr>
            <w:pStyle w:val="EncCM"/>
          </w:pPr>
          <w:r>
            <w:t>UNE</w:t>
          </w:r>
        </w:p>
      </w:tc>
      <w:tc>
        <w:tcPr>
          <w:tcW w:w="5528" w:type="dxa"/>
        </w:tcPr>
        <w:p w:rsidR="00000000" w:rsidRDefault="00402D0A">
          <w:pPr>
            <w:pStyle w:val="EncCNM"/>
          </w:pPr>
          <w:r>
            <w:t>MINISTERIO DE LA INDUSTRIA BASICA</w:t>
          </w:r>
        </w:p>
        <w:p w:rsidR="00000000" w:rsidRDefault="00402D0A">
          <w:pPr>
            <w:pStyle w:val="EncCNM"/>
          </w:pPr>
          <w:r>
            <w:t>UNION ELECTRICA</w:t>
          </w:r>
        </w:p>
        <w:p w:rsidR="00000000" w:rsidRDefault="00402D0A">
          <w:pPr>
            <w:pStyle w:val="EncCNIM"/>
            <w:rPr>
              <w:i w:val="0"/>
            </w:rPr>
          </w:pPr>
          <w:r>
            <w:rPr>
              <w:i w:val="0"/>
            </w:rPr>
            <w:t>MANUAL DE distribucion</w:t>
          </w:r>
        </w:p>
      </w:tc>
      <w:tc>
        <w:tcPr>
          <w:tcW w:w="2693" w:type="dxa"/>
        </w:tcPr>
        <w:p w:rsidR="00000000" w:rsidRDefault="00402D0A">
          <w:pPr>
            <w:pStyle w:val="EncIN"/>
            <w:rPr>
              <w:lang w:val="en-US"/>
            </w:rPr>
          </w:pPr>
          <w:r>
            <w:rPr>
              <w:lang w:val="en-US"/>
            </w:rPr>
            <w:t>Cód: UR-BE 0203</w:t>
          </w:r>
        </w:p>
        <w:p w:rsidR="00000000" w:rsidRDefault="00402D0A">
          <w:pPr>
            <w:pStyle w:val="EncIN"/>
          </w:pPr>
          <w:r>
            <w:t>Rev: 00</w:t>
          </w:r>
        </w:p>
        <w:p w:rsidR="00000000" w:rsidRDefault="00402D0A">
          <w:pPr>
            <w:pStyle w:val="EncIN"/>
          </w:pPr>
          <w:r>
            <w:t xml:space="preserve">Pág. </w:t>
          </w:r>
          <w:r>
            <w:rPr>
              <w:rStyle w:val="PageNumber"/>
            </w:rPr>
            <w:fldChar w:fldCharType="begin"/>
          </w:r>
          <w:r>
            <w:rPr>
              <w:rStyle w:val="PageNumber"/>
            </w:rPr>
            <w:instrText xml:space="preserve"> PAGE </w:instrText>
          </w:r>
          <w:r>
            <w:rPr>
              <w:rStyle w:val="PageNumber"/>
            </w:rPr>
            <w:fldChar w:fldCharType="separate"/>
          </w:r>
          <w:r w:rsidR="00F72DE4">
            <w:rPr>
              <w:rStyle w:val="PageNumber"/>
              <w:noProof/>
            </w:rPr>
            <w:t>5</w:t>
          </w:r>
          <w:r>
            <w:rPr>
              <w:rStyle w:val="PageNumber"/>
            </w:rPr>
            <w:fldChar w:fldCharType="end"/>
          </w:r>
          <w:r>
            <w:t xml:space="preserve"> de </w:t>
          </w:r>
          <w:r>
            <w:rPr>
              <w:rStyle w:val="PageNumber"/>
            </w:rPr>
            <w:t>9</w:t>
          </w:r>
        </w:p>
      </w:tc>
    </w:tr>
  </w:tbl>
  <w:p w:rsidR="00000000" w:rsidRDefault="00402D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7"/>
      <w:gridCol w:w="5528"/>
      <w:gridCol w:w="2693"/>
    </w:tblGrid>
    <w:tr w:rsidR="00000000">
      <w:tblPrEx>
        <w:tblCellMar>
          <w:top w:w="0" w:type="dxa"/>
          <w:bottom w:w="0" w:type="dxa"/>
        </w:tblCellMar>
      </w:tblPrEx>
      <w:tc>
        <w:tcPr>
          <w:tcW w:w="2197" w:type="dxa"/>
        </w:tcPr>
        <w:p w:rsidR="00000000" w:rsidRDefault="00402D0A">
          <w:pPr>
            <w:pStyle w:val="PequeC"/>
          </w:pPr>
          <w:r>
            <w:object w:dxaOrig="541" w:dyaOrig="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49pt" o:ole="" fillcolor="window">
                <v:imagedata r:id="rId1" o:title=""/>
              </v:shape>
              <o:OLEObject Type="Embed" ProgID="Word.Picture.8" ShapeID="_x0000_i1025" DrawAspect="Content" ObjectID="_1330325282" r:id="rId2"/>
            </w:object>
          </w:r>
        </w:p>
        <w:p w:rsidR="00000000" w:rsidRDefault="00402D0A">
          <w:pPr>
            <w:pStyle w:val="EncCM"/>
          </w:pPr>
          <w:r>
            <w:t>UNE</w:t>
          </w:r>
        </w:p>
      </w:tc>
      <w:tc>
        <w:tcPr>
          <w:tcW w:w="5528" w:type="dxa"/>
        </w:tcPr>
        <w:p w:rsidR="00000000" w:rsidRDefault="00402D0A">
          <w:pPr>
            <w:pStyle w:val="EncCNM"/>
          </w:pPr>
          <w:r>
            <w:t>MIN</w:t>
          </w:r>
          <w:r>
            <w:t>ISTERIO DE LA INDUSTRIA BASICA</w:t>
          </w:r>
        </w:p>
        <w:p w:rsidR="00000000" w:rsidRDefault="00402D0A">
          <w:pPr>
            <w:pStyle w:val="EncCNM"/>
          </w:pPr>
          <w:r>
            <w:t>UNION ELECTRICA</w:t>
          </w:r>
        </w:p>
        <w:p w:rsidR="00000000" w:rsidRDefault="00402D0A">
          <w:pPr>
            <w:pStyle w:val="EncCNIM"/>
            <w:rPr>
              <w:i w:val="0"/>
            </w:rPr>
          </w:pPr>
          <w:r>
            <w:rPr>
              <w:i w:val="0"/>
            </w:rPr>
            <w:t>MANUAL DE distribucion</w:t>
          </w:r>
        </w:p>
      </w:tc>
      <w:tc>
        <w:tcPr>
          <w:tcW w:w="2693" w:type="dxa"/>
        </w:tcPr>
        <w:p w:rsidR="00000000" w:rsidRDefault="00402D0A">
          <w:pPr>
            <w:pStyle w:val="EncIN"/>
            <w:rPr>
              <w:lang w:val="en-US"/>
            </w:rPr>
          </w:pPr>
          <w:r>
            <w:rPr>
              <w:lang w:val="en-US"/>
            </w:rPr>
            <w:t xml:space="preserve">Cód: UR-BE 0203 </w:t>
          </w:r>
        </w:p>
        <w:p w:rsidR="00000000" w:rsidRDefault="00402D0A">
          <w:pPr>
            <w:pStyle w:val="EncIN"/>
          </w:pPr>
          <w:r>
            <w:t xml:space="preserve">Rev: </w:t>
          </w:r>
          <w:bookmarkStart w:id="0" w:name="Rev"/>
          <w:r>
            <w:t>00</w:t>
          </w:r>
          <w:bookmarkEnd w:id="0"/>
        </w:p>
        <w:p w:rsidR="00000000" w:rsidRDefault="00402D0A">
          <w:pPr>
            <w:pStyle w:val="EncIN"/>
          </w:pPr>
          <w:r>
            <w:t xml:space="preserve">Pág. </w:t>
          </w:r>
          <w:r>
            <w:rPr>
              <w:rStyle w:val="PageNumber"/>
            </w:rPr>
            <w:fldChar w:fldCharType="begin"/>
          </w:r>
          <w:r>
            <w:rPr>
              <w:rStyle w:val="PageNumber"/>
            </w:rPr>
            <w:instrText xml:space="preserve"> PAGE </w:instrText>
          </w:r>
          <w:r>
            <w:rPr>
              <w:rStyle w:val="PageNumber"/>
            </w:rPr>
            <w:fldChar w:fldCharType="separate"/>
          </w:r>
          <w:r w:rsidR="00F72DE4">
            <w:rPr>
              <w:rStyle w:val="PageNumber"/>
              <w:noProof/>
            </w:rPr>
            <w:t>1</w:t>
          </w:r>
          <w:r>
            <w:rPr>
              <w:rStyle w:val="PageNumber"/>
            </w:rPr>
            <w:fldChar w:fldCharType="end"/>
          </w:r>
          <w:r>
            <w:t xml:space="preserve"> de </w:t>
          </w:r>
          <w:r>
            <w:rPr>
              <w:rStyle w:val="PageNumber"/>
            </w:rPr>
            <w:fldChar w:fldCharType="begin"/>
          </w:r>
          <w:r>
            <w:rPr>
              <w:rStyle w:val="PageNumber"/>
            </w:rPr>
            <w:instrText xml:space="preserve"> NUMPAGES </w:instrText>
          </w:r>
          <w:r>
            <w:rPr>
              <w:rStyle w:val="PageNumber"/>
            </w:rPr>
            <w:fldChar w:fldCharType="separate"/>
          </w:r>
          <w:r w:rsidR="00F72DE4">
            <w:rPr>
              <w:rStyle w:val="PageNumber"/>
              <w:noProof/>
            </w:rPr>
            <w:t>1</w:t>
          </w:r>
          <w:r>
            <w:rPr>
              <w:rStyle w:val="PageNumber"/>
            </w:rPr>
            <w:fldChar w:fldCharType="end"/>
          </w:r>
        </w:p>
      </w:tc>
    </w:tr>
  </w:tbl>
  <w:p w:rsidR="00000000" w:rsidRDefault="00402D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747BC"/>
    <w:multiLevelType w:val="multilevel"/>
    <w:tmpl w:val="90266C92"/>
    <w:name w:val="N12"/>
    <w:lvl w:ilvl="0">
      <w:start w:val="8"/>
      <w:numFmt w:val="decimal"/>
      <w:lvlText w:val="%1"/>
      <w:lvlJc w:val="left"/>
      <w:pPr>
        <w:tabs>
          <w:tab w:val="num" w:pos="432"/>
        </w:tabs>
        <w:ind w:left="432" w:hanging="432"/>
      </w:pPr>
      <w:rPr>
        <w:rFonts w:hint="default"/>
      </w:rPr>
    </w:lvl>
    <w:lvl w:ilvl="1">
      <w:start w:val="8"/>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11431DA"/>
    <w:multiLevelType w:val="multilevel"/>
    <w:tmpl w:val="A1000028"/>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41D71065"/>
    <w:multiLevelType w:val="multilevel"/>
    <w:tmpl w:val="F3BC0594"/>
    <w:name w:val="N1"/>
    <w:lvl w:ilvl="0">
      <w:start w:val="1"/>
      <w:numFmt w:val="decimal"/>
      <w:pStyle w:val="Nor"/>
      <w:isLgl/>
      <w:lvlText w:val="%1."/>
      <w:lvlJc w:val="left"/>
      <w:pPr>
        <w:tabs>
          <w:tab w:val="num" w:pos="432"/>
        </w:tabs>
        <w:ind w:left="432" w:hanging="432"/>
      </w:pPr>
      <w:rPr>
        <w:b/>
        <w:i w:val="0"/>
      </w:rPr>
    </w:lvl>
    <w:lvl w:ilvl="1">
      <w:start w:val="1"/>
      <w:numFmt w:val="decimal"/>
      <w:pStyle w:val="Nor2"/>
      <w:isLgl/>
      <w:lvlText w:val="%1.%2."/>
      <w:lvlJc w:val="left"/>
      <w:pPr>
        <w:tabs>
          <w:tab w:val="num" w:pos="576"/>
        </w:tabs>
        <w:ind w:left="576" w:hanging="576"/>
      </w:pPr>
      <w:rPr>
        <w:rFonts w:ascii="Arial" w:hAnsi="Arial" w:hint="default"/>
        <w:b w:val="0"/>
        <w:i w:val="0"/>
        <w:sz w:val="24"/>
      </w:rPr>
    </w:lvl>
    <w:lvl w:ilvl="2">
      <w:start w:val="1"/>
      <w:numFmt w:val="decimal"/>
      <w:pStyle w:val="Nor3"/>
      <w:isLgl/>
      <w:lvlText w:val="%1.%2.%3."/>
      <w:lvlJc w:val="left"/>
      <w:pPr>
        <w:tabs>
          <w:tab w:val="num" w:pos="720"/>
        </w:tabs>
        <w:ind w:left="720" w:hanging="720"/>
      </w:pPr>
    </w:lvl>
    <w:lvl w:ilvl="3">
      <w:start w:val="1"/>
      <w:numFmt w:val="decimal"/>
      <w:pStyle w:val="Nor4"/>
      <w:isLgl/>
      <w:lvlText w:val="%1.%2.%3.%4."/>
      <w:lvlJc w:val="left"/>
      <w:pPr>
        <w:tabs>
          <w:tab w:val="num" w:pos="864"/>
        </w:tabs>
        <w:ind w:left="864" w:hanging="864"/>
      </w:pPr>
    </w:lvl>
    <w:lvl w:ilvl="4">
      <w:start w:val="1"/>
      <w:numFmt w:val="decimal"/>
      <w:pStyle w:val="Nor5"/>
      <w:isLgl/>
      <w:lvlText w:val="%1.%2.%3.%4.%5."/>
      <w:lvlJc w:val="left"/>
      <w:pPr>
        <w:tabs>
          <w:tab w:val="num" w:pos="1080"/>
        </w:tabs>
        <w:ind w:left="1008" w:hanging="1008"/>
      </w:pPr>
    </w:lvl>
    <w:lvl w:ilvl="5">
      <w:start w:val="1"/>
      <w:numFmt w:val="decimal"/>
      <w:pStyle w:val="Nor6"/>
      <w:isLgl/>
      <w:lvlText w:val="%1.%2.%3.%4.%5.%6."/>
      <w:lvlJc w:val="left"/>
      <w:pPr>
        <w:tabs>
          <w:tab w:val="num" w:pos="1440"/>
        </w:tabs>
        <w:ind w:left="1152" w:hanging="1152"/>
      </w:pPr>
    </w:lvl>
    <w:lvl w:ilvl="6">
      <w:start w:val="1"/>
      <w:numFmt w:val="decimal"/>
      <w:pStyle w:val="Nor7"/>
      <w:isLgl/>
      <w:lvlText w:val="%1.%2.%3.%4.%5.%6.%7."/>
      <w:lvlJc w:val="left"/>
      <w:pPr>
        <w:tabs>
          <w:tab w:val="num" w:pos="1474"/>
        </w:tabs>
        <w:ind w:left="1474" w:hanging="1474"/>
      </w:pPr>
    </w:lvl>
    <w:lvl w:ilvl="7">
      <w:start w:val="1"/>
      <w:numFmt w:val="decimal"/>
      <w:pStyle w:val="Nor8"/>
      <w:isLgl/>
      <w:lvlText w:val="%1.%2.%3.%4.%5.%6.%7.%8."/>
      <w:lvlJc w:val="left"/>
      <w:pPr>
        <w:tabs>
          <w:tab w:val="num" w:pos="1800"/>
        </w:tabs>
        <w:ind w:left="1440" w:hanging="1440"/>
      </w:pPr>
    </w:lvl>
    <w:lvl w:ilvl="8">
      <w:start w:val="1"/>
      <w:numFmt w:val="decimal"/>
      <w:pStyle w:val="Nor9"/>
      <w:isLgl/>
      <w:lvlText w:val="%1.%2.%3.%4.%5.%6.%7.%8.%9."/>
      <w:lvlJc w:val="left"/>
      <w:pPr>
        <w:tabs>
          <w:tab w:val="num" w:pos="2160"/>
        </w:tabs>
        <w:ind w:left="1584" w:hanging="1584"/>
      </w:pPr>
    </w:lvl>
  </w:abstractNum>
  <w:abstractNum w:abstractNumId="3">
    <w:nsid w:val="5352427F"/>
    <w:multiLevelType w:val="multilevel"/>
    <w:tmpl w:val="AAD2D68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8D4759"/>
    <w:multiLevelType w:val="multilevel"/>
    <w:tmpl w:val="E08256D8"/>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540"/>
        </w:tabs>
        <w:ind w:left="540" w:hanging="48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5">
    <w:nsid w:val="692D1FA2"/>
    <w:multiLevelType w:val="multilevel"/>
    <w:tmpl w:val="0C0A0029"/>
    <w:lvl w:ilvl="0">
      <w:start w:val="1"/>
      <w:numFmt w:val="decimal"/>
      <w:pStyle w:val="Heading1"/>
      <w:suff w:val="space"/>
      <w:lvlText w:val="Capítulo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nsid w:val="79DD5331"/>
    <w:multiLevelType w:val="multilevel"/>
    <w:tmpl w:val="A1000028"/>
    <w:lvl w:ilvl="0">
      <w:start w:val="7"/>
      <w:numFmt w:val="decimal"/>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79F33384"/>
    <w:multiLevelType w:val="multilevel"/>
    <w:tmpl w:val="A25404CA"/>
    <w:lvl w:ilvl="0">
      <w:start w:val="4"/>
      <w:numFmt w:val="decimal"/>
      <w:lvlText w:val="%1.3"/>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72DE4"/>
    <w:rsid w:val="00402D0A"/>
    <w:rsid w:val="00F72D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
      </w:numPr>
      <w:outlineLvl w:val="0"/>
    </w:pPr>
    <w:rPr>
      <w:b/>
      <w:lang w:val="es-ES_tradnl"/>
    </w:rPr>
  </w:style>
  <w:style w:type="paragraph" w:styleId="Heading2">
    <w:name w:val="heading 2"/>
    <w:basedOn w:val="Normal"/>
    <w:next w:val="Normal"/>
    <w:qFormat/>
    <w:pPr>
      <w:keepNext/>
      <w:numPr>
        <w:ilvl w:val="1"/>
        <w:numId w:val="1"/>
      </w:numPr>
      <w:spacing w:before="120"/>
      <w:jc w:val="center"/>
      <w:outlineLvl w:val="1"/>
    </w:pPr>
    <w:rPr>
      <w:b/>
    </w:rPr>
  </w:style>
  <w:style w:type="paragraph" w:styleId="Heading3">
    <w:name w:val="heading 3"/>
    <w:basedOn w:val="Normal"/>
    <w:next w:val="Normal"/>
    <w:qFormat/>
    <w:pPr>
      <w:keepNext/>
      <w:numPr>
        <w:ilvl w:val="2"/>
        <w:numId w:val="1"/>
      </w:numPr>
      <w:jc w:val="center"/>
      <w:outlineLvl w:val="2"/>
    </w:pPr>
    <w:rPr>
      <w:b/>
      <w:sz w:val="22"/>
    </w:rPr>
  </w:style>
  <w:style w:type="paragraph" w:styleId="Heading4">
    <w:name w:val="heading 4"/>
    <w:basedOn w:val="Normal"/>
    <w:next w:val="Normal"/>
    <w:qFormat/>
    <w:pPr>
      <w:keepNext/>
      <w:numPr>
        <w:ilvl w:val="3"/>
        <w:numId w:val="1"/>
      </w:numPr>
      <w:outlineLvl w:val="3"/>
    </w:pPr>
    <w:rPr>
      <w:b/>
      <w:sz w:val="22"/>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qFormat/>
    <w:pPr>
      <w:keepNext/>
      <w:numPr>
        <w:ilvl w:val="5"/>
        <w:numId w:val="1"/>
      </w:numPr>
      <w:jc w:val="center"/>
      <w:outlineLvl w:val="5"/>
    </w:pPr>
  </w:style>
  <w:style w:type="paragraph" w:styleId="Heading7">
    <w:name w:val="heading 7"/>
    <w:basedOn w:val="Normal"/>
    <w:next w:val="Normal"/>
    <w:qFormat/>
    <w:pPr>
      <w:keepNext/>
      <w:numPr>
        <w:ilvl w:val="6"/>
        <w:numId w:val="1"/>
      </w:numPr>
      <w:spacing w:before="40" w:after="40"/>
      <w:jc w:val="right"/>
      <w:outlineLvl w:val="6"/>
    </w:p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419"/>
        <w:tab w:val="right" w:pos="8838"/>
      </w:tabs>
    </w:pPr>
  </w:style>
  <w:style w:type="paragraph" w:styleId="Footer">
    <w:name w:val="footer"/>
    <w:basedOn w:val="Normal"/>
    <w:semiHidden/>
    <w:pPr>
      <w:tabs>
        <w:tab w:val="center" w:pos="4419"/>
        <w:tab w:val="right" w:pos="8838"/>
      </w:tabs>
    </w:pPr>
  </w:style>
  <w:style w:type="character" w:styleId="PageNumber">
    <w:name w:val="page number"/>
    <w:basedOn w:val="DefaultParagraphFont"/>
    <w:semiHidden/>
  </w:style>
  <w:style w:type="paragraph" w:styleId="BodyTextIndent2">
    <w:name w:val="Body Text Indent 2"/>
    <w:basedOn w:val="Normal"/>
    <w:semiHidden/>
    <w:pPr>
      <w:ind w:left="426"/>
      <w:jc w:val="both"/>
    </w:pPr>
    <w:rPr>
      <w:rFonts w:ascii="Times New Roman" w:hAnsi="Times New Roman"/>
    </w:rPr>
  </w:style>
  <w:style w:type="paragraph" w:customStyle="1" w:styleId="Peque">
    <w:name w:val="Peque"/>
    <w:basedOn w:val="Normal"/>
    <w:rPr>
      <w:rFonts w:ascii="Small Fonts" w:hAnsi="Small Fonts"/>
      <w:sz w:val="3"/>
    </w:rPr>
  </w:style>
  <w:style w:type="paragraph" w:customStyle="1" w:styleId="PequeC">
    <w:name w:val="PequeC"/>
    <w:basedOn w:val="Peque"/>
    <w:pPr>
      <w:jc w:val="center"/>
    </w:pPr>
  </w:style>
  <w:style w:type="paragraph" w:customStyle="1" w:styleId="EncCNM">
    <w:name w:val="EncCNM"/>
    <w:basedOn w:val="Normal"/>
    <w:pPr>
      <w:spacing w:before="60" w:after="60"/>
      <w:jc w:val="center"/>
    </w:pPr>
    <w:rPr>
      <w:b/>
      <w:caps/>
    </w:rPr>
  </w:style>
  <w:style w:type="paragraph" w:customStyle="1" w:styleId="EncCNIM">
    <w:name w:val="EncCNIM"/>
    <w:basedOn w:val="EncCNM"/>
    <w:rPr>
      <w:i/>
    </w:rPr>
  </w:style>
  <w:style w:type="paragraph" w:customStyle="1" w:styleId="EncCM">
    <w:name w:val="EncCM"/>
    <w:basedOn w:val="EncCNM"/>
    <w:pPr>
      <w:spacing w:before="0" w:after="0"/>
    </w:pPr>
    <w:rPr>
      <w:b w:val="0"/>
    </w:rPr>
  </w:style>
  <w:style w:type="paragraph" w:customStyle="1" w:styleId="EncIN">
    <w:name w:val="EncIN"/>
    <w:basedOn w:val="EncCNM"/>
    <w:pPr>
      <w:jc w:val="left"/>
    </w:pPr>
    <w:rPr>
      <w:caps w:val="0"/>
    </w:rPr>
  </w:style>
  <w:style w:type="paragraph" w:customStyle="1" w:styleId="Nor1">
    <w:name w:val="Nor1"/>
    <w:basedOn w:val="Normal"/>
    <w:rPr>
      <w:b/>
    </w:rPr>
  </w:style>
  <w:style w:type="paragraph" w:customStyle="1" w:styleId="Nor2">
    <w:name w:val="Nor2"/>
    <w:basedOn w:val="Normal"/>
    <w:pPr>
      <w:numPr>
        <w:ilvl w:val="1"/>
        <w:numId w:val="2"/>
      </w:numPr>
    </w:pPr>
  </w:style>
  <w:style w:type="paragraph" w:customStyle="1" w:styleId="Nor3">
    <w:name w:val="Nor3"/>
    <w:basedOn w:val="Normal"/>
    <w:pPr>
      <w:numPr>
        <w:ilvl w:val="2"/>
        <w:numId w:val="2"/>
      </w:numPr>
    </w:pPr>
  </w:style>
  <w:style w:type="paragraph" w:customStyle="1" w:styleId="Nor4">
    <w:name w:val="Nor4"/>
    <w:basedOn w:val="Normal"/>
    <w:pPr>
      <w:numPr>
        <w:ilvl w:val="3"/>
        <w:numId w:val="2"/>
      </w:numPr>
    </w:pPr>
  </w:style>
  <w:style w:type="paragraph" w:customStyle="1" w:styleId="Nor5">
    <w:name w:val="Nor5"/>
    <w:basedOn w:val="Normal"/>
    <w:pPr>
      <w:numPr>
        <w:ilvl w:val="4"/>
        <w:numId w:val="2"/>
      </w:numPr>
    </w:pPr>
  </w:style>
  <w:style w:type="paragraph" w:customStyle="1" w:styleId="Nor6">
    <w:name w:val="Nor6"/>
    <w:basedOn w:val="Normal"/>
    <w:pPr>
      <w:numPr>
        <w:ilvl w:val="5"/>
        <w:numId w:val="2"/>
      </w:numPr>
    </w:pPr>
  </w:style>
  <w:style w:type="paragraph" w:customStyle="1" w:styleId="Nor7">
    <w:name w:val="Nor7"/>
    <w:basedOn w:val="Normal"/>
    <w:pPr>
      <w:numPr>
        <w:ilvl w:val="6"/>
        <w:numId w:val="2"/>
      </w:numPr>
    </w:pPr>
  </w:style>
  <w:style w:type="paragraph" w:customStyle="1" w:styleId="Nor8">
    <w:name w:val="Nor8"/>
    <w:basedOn w:val="Normal"/>
    <w:pPr>
      <w:numPr>
        <w:ilvl w:val="7"/>
        <w:numId w:val="2"/>
      </w:numPr>
    </w:pPr>
  </w:style>
  <w:style w:type="paragraph" w:customStyle="1" w:styleId="Nor9">
    <w:name w:val="Nor9"/>
    <w:basedOn w:val="Normal"/>
    <w:pPr>
      <w:numPr>
        <w:ilvl w:val="8"/>
        <w:numId w:val="2"/>
      </w:numPr>
    </w:pPr>
  </w:style>
  <w:style w:type="paragraph" w:customStyle="1" w:styleId="Nor">
    <w:name w:val="Nor"/>
    <w:basedOn w:val="Normal"/>
    <w:autoRedefine/>
    <w:pPr>
      <w:numPr>
        <w:numId w:val="2"/>
      </w:numPr>
      <w:spacing w:before="180" w:after="40"/>
    </w:pPr>
    <w:rPr>
      <w:b/>
    </w:rPr>
  </w:style>
  <w:style w:type="paragraph" w:styleId="BodyTextIndent">
    <w:name w:val="Body Text Indent"/>
    <w:basedOn w:val="Normal"/>
    <w:semiHidden/>
    <w:pPr>
      <w:ind w:left="426" w:hanging="426"/>
    </w:pPr>
    <w:rPr>
      <w:rFonts w:ascii="Times New Roman" w:hAnsi="Times New Roman"/>
    </w:rPr>
  </w:style>
  <w:style w:type="paragraph" w:styleId="BodyText2">
    <w:name w:val="Body Text 2"/>
    <w:basedOn w:val="Normal"/>
    <w:semiHidden/>
    <w:pPr>
      <w:jc w:val="both"/>
    </w:pPr>
    <w:rPr>
      <w:rFonts w:ascii="Times New Roman" w:hAnsi="Times New Roman"/>
    </w:rPr>
  </w:style>
  <w:style w:type="paragraph" w:styleId="BodyText">
    <w:name w:val="Body Text"/>
    <w:basedOn w:val="Normal"/>
    <w:semiHidden/>
    <w:rPr>
      <w:rFonts w:ascii="Times New Roman" w:hAnsi="Times New Roman"/>
    </w:rPr>
  </w:style>
  <w:style w:type="paragraph" w:customStyle="1" w:styleId="Tit">
    <w:name w:val="Tit"/>
    <w:basedOn w:val="Normal"/>
    <w:autoRedefine/>
    <w:pPr>
      <w:keepLines/>
      <w:framePr w:hSpace="142" w:vSpace="142" w:wrap="around" w:vAnchor="text" w:hAnchor="text" w:y="1"/>
      <w:ind w:left="993" w:hanging="993"/>
    </w:pPr>
    <w:rPr>
      <w:b/>
    </w:rPr>
  </w:style>
  <w:style w:type="paragraph" w:customStyle="1" w:styleId="Ane">
    <w:name w:val="Ane"/>
    <w:basedOn w:val="Normal"/>
    <w:autoRedefine/>
    <w:pPr>
      <w:jc w:val="center"/>
    </w:pPr>
    <w:rPr>
      <w:b/>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g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gc.dot</Template>
  <TotalTime>0</TotalTime>
  <Pages>5</Pages>
  <Words>1422</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TÍTULO: Confección y utilización de las listas de chequeo</vt:lpstr>
    </vt:vector>
  </TitlesOfParts>
  <Company>S.A.</Company>
  <LinksUpToDate>false</LinksUpToDate>
  <CharactersWithSpaces>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Confección y utilización de las listas de chequeo</dc:title>
  <dc:subject/>
  <dc:creator>Amaury Sánchez Villalón</dc:creator>
  <cp:keywords/>
  <cp:lastModifiedBy>gabriell</cp:lastModifiedBy>
  <cp:revision>2</cp:revision>
  <cp:lastPrinted>2001-02-16T14:45:00Z</cp:lastPrinted>
  <dcterms:created xsi:type="dcterms:W3CDTF">2010-03-17T14:02:00Z</dcterms:created>
  <dcterms:modified xsi:type="dcterms:W3CDTF">2010-03-17T14:02:00Z</dcterms:modified>
</cp:coreProperties>
</file>