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992"/>
        <w:gridCol w:w="835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FA4001">
            <w:pPr>
              <w:pStyle w:val="TIOB"/>
            </w:pPr>
            <w:r>
              <w:t>Título:</w:t>
            </w:r>
          </w:p>
        </w:tc>
        <w:tc>
          <w:tcPr>
            <w:tcW w:w="93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A4001">
            <w:pPr>
              <w:pStyle w:val="TIOB"/>
            </w:pPr>
            <w:r>
              <w:t>Instalación de Bancos de Capacitores.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FA400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FA4001">
            <w:pPr>
              <w:pStyle w:val="TIOB"/>
            </w:pPr>
            <w:r>
              <w:t>Observaciones:</w:t>
            </w:r>
          </w:p>
        </w:tc>
        <w:tc>
          <w:tcPr>
            <w:tcW w:w="8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A4001">
            <w:pPr>
              <w:pStyle w:val="TIOB"/>
            </w:pPr>
          </w:p>
        </w:tc>
      </w:tr>
    </w:tbl>
    <w:p w:rsidR="00000000" w:rsidRDefault="00FA40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229"/>
        <w:gridCol w:w="1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tcBorders>
              <w:top w:val="nil"/>
              <w:left w:val="nil"/>
            </w:tcBorders>
          </w:tcPr>
          <w:p w:rsidR="00000000" w:rsidRDefault="00FA4001">
            <w:pPr>
              <w:pStyle w:val="Header"/>
              <w:tabs>
                <w:tab w:val="clear" w:pos="4419"/>
                <w:tab w:val="clear" w:pos="8838"/>
              </w:tabs>
            </w:pPr>
          </w:p>
        </w:tc>
        <w:tc>
          <w:tcPr>
            <w:tcW w:w="7229" w:type="dxa"/>
            <w:tcBorders>
              <w:bottom w:val="nil"/>
            </w:tcBorders>
          </w:tcPr>
          <w:p w:rsidR="00000000" w:rsidRDefault="00FA4001">
            <w:pPr>
              <w:pStyle w:val="Header"/>
              <w:tabs>
                <w:tab w:val="clear" w:pos="4419"/>
                <w:tab w:val="clear" w:pos="8838"/>
              </w:tabs>
              <w:jc w:val="center"/>
            </w:pPr>
            <w:r>
              <w:t>Nombre y Apellidos / Cargo / Organización</w:t>
            </w:r>
          </w:p>
        </w:tc>
        <w:tc>
          <w:tcPr>
            <w:tcW w:w="1678" w:type="dxa"/>
          </w:tcPr>
          <w:p w:rsidR="00000000" w:rsidRDefault="00FA4001">
            <w:pPr>
              <w:jc w:val="center"/>
            </w:pPr>
            <w:r>
              <w:t>Firma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</w:tcPr>
          <w:p w:rsidR="00000000" w:rsidRDefault="00FA4001">
            <w:r>
              <w:t>Preparado</w:t>
            </w:r>
          </w:p>
        </w:tc>
        <w:tc>
          <w:tcPr>
            <w:tcW w:w="7229" w:type="dxa"/>
          </w:tcPr>
          <w:p w:rsidR="00000000" w:rsidRDefault="00FA4001">
            <w:pPr>
              <w:pStyle w:val="Heading5"/>
            </w:pPr>
            <w:r>
              <w:t>Ing. Rafael Siso Hermida /J´Dpto. Explotación/ OBEPCH</w:t>
            </w:r>
          </w:p>
        </w:tc>
        <w:tc>
          <w:tcPr>
            <w:tcW w:w="1678" w:type="dxa"/>
          </w:tcPr>
          <w:p w:rsidR="00000000" w:rsidRDefault="00FA4001">
            <w:pPr>
              <w:pStyle w:val="Heading5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</w:tcPr>
          <w:p w:rsidR="00000000" w:rsidRDefault="00FA4001">
            <w:r>
              <w:t>Acordado</w:t>
            </w:r>
          </w:p>
        </w:tc>
        <w:tc>
          <w:tcPr>
            <w:tcW w:w="7229" w:type="dxa"/>
          </w:tcPr>
          <w:p w:rsidR="00000000" w:rsidRDefault="00FA4001">
            <w:pPr>
              <w:pStyle w:val="Heading5"/>
            </w:pPr>
            <w:r>
              <w:t xml:space="preserve"> Gabriel León Sánchez / Esp Ingeniería de Distribución / UNE </w:t>
            </w:r>
          </w:p>
        </w:tc>
        <w:tc>
          <w:tcPr>
            <w:tcW w:w="1678" w:type="dxa"/>
          </w:tcPr>
          <w:p w:rsidR="00000000" w:rsidRDefault="00FA4001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</w:tcPr>
          <w:p w:rsidR="00000000" w:rsidRDefault="00FA4001"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66.85pt;margin-top:1.75pt;width:360.75pt;height:64.8pt;rotation:-878484fd;z-index:251657728;mso-position-horizontal-relative:text;mso-position-vertical-relative:text" filled="f">
                  <v:shadow color="#868686"/>
                  <v:textpath style="font-family:&quot;Arial Black&quot;;v-text-kern:t" trim="t" fitpath="t" string="Original Firmado"/>
                </v:shape>
              </w:pict>
            </w:r>
          </w:p>
        </w:tc>
        <w:tc>
          <w:tcPr>
            <w:tcW w:w="7229" w:type="dxa"/>
          </w:tcPr>
          <w:p w:rsidR="00000000" w:rsidRDefault="00FA4001">
            <w:pPr>
              <w:jc w:val="both"/>
            </w:pPr>
            <w:r>
              <w:t xml:space="preserve"> </w:t>
            </w:r>
          </w:p>
        </w:tc>
        <w:tc>
          <w:tcPr>
            <w:tcW w:w="1678" w:type="dxa"/>
          </w:tcPr>
          <w:p w:rsidR="00000000" w:rsidRDefault="00FA4001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</w:tcPr>
          <w:p w:rsidR="00000000" w:rsidRDefault="00FA4001"/>
        </w:tc>
        <w:tc>
          <w:tcPr>
            <w:tcW w:w="7229" w:type="dxa"/>
          </w:tcPr>
          <w:p w:rsidR="00000000" w:rsidRDefault="00FA4001">
            <w:pPr>
              <w:jc w:val="both"/>
            </w:pPr>
          </w:p>
        </w:tc>
        <w:tc>
          <w:tcPr>
            <w:tcW w:w="1678" w:type="dxa"/>
          </w:tcPr>
          <w:p w:rsidR="00000000" w:rsidRDefault="00FA4001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</w:tcPr>
          <w:p w:rsidR="00000000" w:rsidRDefault="00FA4001"/>
        </w:tc>
        <w:tc>
          <w:tcPr>
            <w:tcW w:w="7229" w:type="dxa"/>
          </w:tcPr>
          <w:p w:rsidR="00000000" w:rsidRDefault="00FA4001">
            <w:pPr>
              <w:jc w:val="both"/>
            </w:pPr>
          </w:p>
        </w:tc>
        <w:tc>
          <w:tcPr>
            <w:tcW w:w="1678" w:type="dxa"/>
          </w:tcPr>
          <w:p w:rsidR="00000000" w:rsidRDefault="00FA4001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</w:tcPr>
          <w:p w:rsidR="00000000" w:rsidRDefault="00FA4001"/>
        </w:tc>
        <w:tc>
          <w:tcPr>
            <w:tcW w:w="7229" w:type="dxa"/>
          </w:tcPr>
          <w:p w:rsidR="00000000" w:rsidRDefault="00FA4001">
            <w:pPr>
              <w:jc w:val="both"/>
            </w:pPr>
          </w:p>
        </w:tc>
        <w:tc>
          <w:tcPr>
            <w:tcW w:w="1678" w:type="dxa"/>
          </w:tcPr>
          <w:p w:rsidR="00000000" w:rsidRDefault="00FA4001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</w:tcPr>
          <w:p w:rsidR="00000000" w:rsidRDefault="00FA4001"/>
        </w:tc>
        <w:tc>
          <w:tcPr>
            <w:tcW w:w="7229" w:type="dxa"/>
          </w:tcPr>
          <w:p w:rsidR="00000000" w:rsidRDefault="00FA4001">
            <w:pPr>
              <w:jc w:val="both"/>
            </w:pPr>
          </w:p>
        </w:tc>
        <w:tc>
          <w:tcPr>
            <w:tcW w:w="1678" w:type="dxa"/>
          </w:tcPr>
          <w:p w:rsidR="00000000" w:rsidRDefault="00FA4001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</w:tcPr>
          <w:p w:rsidR="00000000" w:rsidRDefault="00FA4001">
            <w:r>
              <w:t>Aprobado</w:t>
            </w:r>
          </w:p>
        </w:tc>
        <w:tc>
          <w:tcPr>
            <w:tcW w:w="7229" w:type="dxa"/>
          </w:tcPr>
          <w:p w:rsidR="00000000" w:rsidRDefault="00FA4001">
            <w:pPr>
              <w:jc w:val="both"/>
            </w:pPr>
            <w:r>
              <w:t>Antonio Pías Gómez / Director de Distribución / UNE.</w:t>
            </w:r>
          </w:p>
        </w:tc>
        <w:tc>
          <w:tcPr>
            <w:tcW w:w="1678" w:type="dxa"/>
          </w:tcPr>
          <w:p w:rsidR="00000000" w:rsidRDefault="00FA4001">
            <w:pPr>
              <w:jc w:val="both"/>
            </w:pPr>
          </w:p>
        </w:tc>
      </w:tr>
    </w:tbl>
    <w:p w:rsidR="00000000" w:rsidRDefault="00FA4001">
      <w:pPr>
        <w:pStyle w:val="Header"/>
        <w:tabs>
          <w:tab w:val="clear" w:pos="4419"/>
          <w:tab w:val="clear" w:pos="8838"/>
        </w:tabs>
      </w:pPr>
    </w:p>
    <w:p w:rsidR="00000000" w:rsidRDefault="00FA4001">
      <w:pPr>
        <w:pStyle w:val="Nor"/>
      </w:pPr>
      <w:r>
        <w:br w:type="page"/>
      </w:r>
      <w:r>
        <w:lastRenderedPageBreak/>
        <w:t>Objetivos:</w:t>
      </w:r>
    </w:p>
    <w:p w:rsidR="00000000" w:rsidRDefault="00FA4001">
      <w:pPr>
        <w:pStyle w:val="Nor2"/>
      </w:pPr>
      <w:r>
        <w:t>Establecer los pasos necesarios para la instalación de los bancos de Capacitores.</w:t>
      </w:r>
    </w:p>
    <w:p w:rsidR="00000000" w:rsidRDefault="00FA4001">
      <w:pPr>
        <w:pStyle w:val="Nor"/>
      </w:pPr>
      <w:r>
        <w:t>Alcance:</w:t>
      </w:r>
    </w:p>
    <w:p w:rsidR="00000000" w:rsidRDefault="00FA4001" w:rsidP="00FA4001">
      <w:pPr>
        <w:pStyle w:val="Nor2"/>
        <w:numPr>
          <w:ilvl w:val="1"/>
          <w:numId w:val="2"/>
        </w:numPr>
      </w:pPr>
      <w:r>
        <w:t>Abarca los bancos de capacitores montados en postes fijos y contro</w:t>
      </w:r>
      <w:r>
        <w:t>lados en redes de 13.8 kV y menores.</w:t>
      </w:r>
    </w:p>
    <w:p w:rsidR="00000000" w:rsidRDefault="00FA4001">
      <w:pPr>
        <w:pStyle w:val="Nor"/>
      </w:pPr>
      <w:r>
        <w:t>Definiciones:</w:t>
      </w:r>
    </w:p>
    <w:p w:rsidR="00000000" w:rsidRDefault="00FA4001" w:rsidP="00FA4001">
      <w:pPr>
        <w:pStyle w:val="Nor2"/>
        <w:numPr>
          <w:ilvl w:val="1"/>
          <w:numId w:val="2"/>
        </w:numPr>
      </w:pPr>
      <w:r>
        <w:t>Interruptor tipo kyle: Interruptor monofásico en aceite. Se ofertan de 100 y 200A a 14.4 kV de aislamiento con 95 y 110 kV BIL.</w:t>
      </w:r>
    </w:p>
    <w:p w:rsidR="00000000" w:rsidRDefault="00FA4001" w:rsidP="00FA4001">
      <w:pPr>
        <w:pStyle w:val="Nor2"/>
        <w:numPr>
          <w:ilvl w:val="1"/>
          <w:numId w:val="2"/>
        </w:numPr>
      </w:pPr>
      <w:r>
        <w:t>Prueba de Capacitores: Se mide la resistencia de aislamiento entre una de las</w:t>
      </w:r>
      <w:r>
        <w:t xml:space="preserve"> bornas aisladas y la carcaza del capacitor.</w:t>
      </w:r>
    </w:p>
    <w:p w:rsidR="00000000" w:rsidRDefault="00FA4001" w:rsidP="00FA4001">
      <w:pPr>
        <w:pStyle w:val="Nor2"/>
        <w:numPr>
          <w:ilvl w:val="1"/>
          <w:numId w:val="2"/>
        </w:numPr>
      </w:pPr>
      <w:r>
        <w:t>I.D: Ingeniería de Distribución</w:t>
      </w:r>
    </w:p>
    <w:p w:rsidR="00000000" w:rsidRDefault="00FA4001">
      <w:pPr>
        <w:pStyle w:val="Nor"/>
      </w:pPr>
      <w:r>
        <w:t>Referencias:</w:t>
      </w:r>
    </w:p>
    <w:p w:rsidR="00000000" w:rsidRDefault="00FA4001">
      <w:pPr>
        <w:pStyle w:val="Nor2"/>
      </w:pPr>
      <w:r>
        <w:t>Manual  de redes de Distribución</w:t>
      </w:r>
    </w:p>
    <w:p w:rsidR="00000000" w:rsidRDefault="00FA4001">
      <w:pPr>
        <w:pStyle w:val="Nor2"/>
      </w:pPr>
      <w:r>
        <w:t>UR-BE 0201 Rev 00 Mantenimiento a Capacitores.</w:t>
      </w:r>
    </w:p>
    <w:p w:rsidR="00000000" w:rsidRDefault="00FA4001">
      <w:pPr>
        <w:pStyle w:val="Nor2"/>
      </w:pPr>
      <w:r>
        <w:t>UD-PG 0001 Rev 00 Metodología para la emisión, modificación y cancelación de los docum</w:t>
      </w:r>
      <w:r>
        <w:t>entos del Sistema de Aseguramiento de la Calidad.</w:t>
      </w:r>
    </w:p>
    <w:p w:rsidR="00000000" w:rsidRDefault="00FA4001">
      <w:pPr>
        <w:pStyle w:val="Nor"/>
      </w:pPr>
      <w:r>
        <w:t>Anexos:</w:t>
      </w:r>
    </w:p>
    <w:p w:rsidR="00000000" w:rsidRDefault="00FA4001">
      <w:pPr>
        <w:pStyle w:val="Nor2"/>
      </w:pPr>
      <w:r>
        <w:t>No procede.</w:t>
      </w:r>
    </w:p>
    <w:p w:rsidR="00000000" w:rsidRDefault="00FA4001">
      <w:pPr>
        <w:pStyle w:val="Nor"/>
      </w:pPr>
      <w:r>
        <w:t>Responsabilidades:</w:t>
      </w:r>
    </w:p>
    <w:p w:rsidR="00000000" w:rsidRDefault="00FA4001">
      <w:pPr>
        <w:pStyle w:val="Nor2"/>
      </w:pPr>
      <w:r>
        <w:t>El Director de Distribución de la UNE  es responsable de aprobar el presente procedimiento.</w:t>
      </w:r>
    </w:p>
    <w:p w:rsidR="00000000" w:rsidRDefault="00FA4001">
      <w:pPr>
        <w:pStyle w:val="Nor2"/>
      </w:pPr>
      <w:r>
        <w:t>El jefe del departamento de Explotación de cada OBE Provincial es responsab</w:t>
      </w:r>
      <w:r>
        <w:t>le de implantar, cumplir y hacer cumplir el presente procedimiento.</w:t>
      </w:r>
    </w:p>
    <w:p w:rsidR="00000000" w:rsidRDefault="00FA4001">
      <w:pPr>
        <w:pStyle w:val="Nor2"/>
      </w:pPr>
      <w:r>
        <w:t>El jefe de Operación de la OBE Municipal es responsable de cumplir y hacer cumplir el presente procedimiento.</w:t>
      </w:r>
    </w:p>
    <w:p w:rsidR="00000000" w:rsidRDefault="00FA4001">
      <w:pPr>
        <w:pStyle w:val="Nor2"/>
      </w:pPr>
      <w:r>
        <w:t>El personal de construcción y mantenimiento de líneas es responsable de cumpli</w:t>
      </w:r>
      <w:r>
        <w:t>r el presente procedimiento</w:t>
      </w:r>
    </w:p>
    <w:p w:rsidR="00000000" w:rsidRDefault="00FA4001">
      <w:pPr>
        <w:pStyle w:val="Nor"/>
      </w:pPr>
      <w:r>
        <w:t>Desarrollo:</w:t>
      </w:r>
    </w:p>
    <w:p w:rsidR="00000000" w:rsidRDefault="00FA4001">
      <w:pPr>
        <w:pStyle w:val="Nor2"/>
        <w:numPr>
          <w:ilvl w:val="0"/>
          <w:numId w:val="0"/>
        </w:numPr>
      </w:pPr>
      <w:r>
        <w:t>A partir que el I.D evaluó y seleccionó el punto de instalación, capacidad y régimen de entrada y salida del banco de Capacitores, el personal de Construcción y Mantenimiento procede a la instalación del mismo.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Un B</w:t>
      </w:r>
      <w:r>
        <w:t>anco de Capacitores solo se instalará en un poste, sin que exista otro montaje en el mismo, no será poste de esquina.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La ubicación del poste respecto de la fachada existente será tal que se cumplan las distancias permisibles para el nivel de voltaje de la</w:t>
      </w:r>
      <w:r>
        <w:t>s fases.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lastRenderedPageBreak/>
        <w:t>Deberá revisarse la fogonadura del poste y el poste en toda su longitud para comprobar su estado técnico antes de proceder al montaje.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Deberá mantenerse las distancias permisibles entre las crucetas de montaje de los capacitores y las líneas pri</w:t>
      </w:r>
      <w:r>
        <w:t>maria y secundaria: 60 cm entre primarios y 120cm entre primario y secundario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Los Capacitores serán de igual capacidad y voltaje y cada fase llevará igual capacidad total.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Los bancos de Capacitores con corriente nominal  mayor de 15A estarán gobernados p</w:t>
      </w:r>
      <w:r>
        <w:t>or interruptores tipo kyle para capacitores.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Cada uno de los capacitores debe presentar un borne o conector para aterrarlo al bajante de tierra y al neutro, si existe en el lugar.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Cada instalación de banco de Capacitores llevará una o más varillas de ate</w:t>
      </w:r>
      <w:r>
        <w:t>rramiento con su bajante hasta garantizar una resistencia de tierra igual o menor de 10 ohm.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Los capacitores de una misma fase quedarán conectados en paralelo entre sí y cada conjunto integrará la conexión que corresponda.</w:t>
      </w:r>
    </w:p>
    <w:p w:rsidR="00000000" w:rsidRDefault="00FA4001">
      <w:pPr>
        <w:jc w:val="both"/>
      </w:pPr>
    </w:p>
    <w:p w:rsidR="00000000" w:rsidRDefault="00FA4001">
      <w:pPr>
        <w:pStyle w:val="Nor3"/>
      </w:pPr>
      <w:r>
        <w:t>En estrella para sistemas aterr</w:t>
      </w:r>
      <w:r>
        <w:t>ados y con capacitores de voltaje nominal similar al de fase a neutro del circuito.</w:t>
      </w:r>
    </w:p>
    <w:p w:rsidR="00000000" w:rsidRDefault="00FA4001">
      <w:pPr>
        <w:pStyle w:val="Nor3"/>
        <w:numPr>
          <w:ilvl w:val="0"/>
          <w:numId w:val="0"/>
        </w:numPr>
      </w:pPr>
    </w:p>
    <w:p w:rsidR="00000000" w:rsidRDefault="00FA4001">
      <w:pPr>
        <w:pStyle w:val="Nor3"/>
      </w:pPr>
      <w:r>
        <w:t>En delta para sistemas del delta.</w:t>
      </w:r>
    </w:p>
    <w:p w:rsidR="00000000" w:rsidRDefault="00FA4001">
      <w:pPr>
        <w:pStyle w:val="Nor3"/>
        <w:numPr>
          <w:ilvl w:val="0"/>
          <w:numId w:val="0"/>
        </w:numPr>
      </w:pPr>
    </w:p>
    <w:p w:rsidR="00000000" w:rsidRDefault="00FA4001">
      <w:pPr>
        <w:pStyle w:val="Nor2"/>
      </w:pPr>
      <w:r>
        <w:t>Los Bancos de Capacitores controlados, serán gobernados por interruptores tipo kyle, protegidos por fusibles y con una conexión eléctric</w:t>
      </w:r>
      <w:r>
        <w:t>a entre el control y el motor de cada uno de los kyle. Deberá prestarse especial atención al hecho de que las tres señales del control sobre los kyles sean similares, es decir de cierre o de apertura.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Para proceder al montaje se solicitará una Vía Libre s</w:t>
      </w:r>
      <w:r>
        <w:t>iempre que las distancias del; personal u objetos metálicos a puntos con potencial sean menores de los permisibles. La confección de la planilla de seguridad firmada por todo el personal de la brigada se hará previamente.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Los capacitores se probarán con u</w:t>
      </w:r>
      <w:r>
        <w:t>n megóhmetro de aislamiento de 2500V, considerándose en buen estado cuando la medición sea al menos de 1 megohm por cada kV de voltaje nominal, ésto es válido para capacitores de 2 bornes, puesto que los de una borne darán sólo la continuidad.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Cada montaj</w:t>
      </w:r>
      <w:r>
        <w:t>e estará protegido por pararrayos en correspondencia con el nivel de voltaje del circuito conectado entre la fase. El bajante de tierra debe tener el menor recorrido posible del conductor.</w:t>
      </w:r>
    </w:p>
    <w:p w:rsidR="00000000" w:rsidRDefault="00FA4001">
      <w:pPr>
        <w:pStyle w:val="Nor2"/>
        <w:numPr>
          <w:ilvl w:val="0"/>
          <w:numId w:val="0"/>
        </w:numPr>
      </w:pPr>
    </w:p>
    <w:p w:rsidR="00000000" w:rsidRDefault="00FA4001">
      <w:pPr>
        <w:pStyle w:val="Nor2"/>
      </w:pPr>
      <w:r>
        <w:t>La selección de los fusibles se ajustará a lo establecido en el pr</w:t>
      </w:r>
      <w:r>
        <w:t>ocedimiento UR BE 0201.</w:t>
      </w:r>
    </w:p>
    <w:p w:rsidR="00000000" w:rsidRDefault="00FA4001">
      <w:pPr>
        <w:pStyle w:val="Nor"/>
      </w:pPr>
      <w:r>
        <w:t>Registro:</w:t>
      </w:r>
    </w:p>
    <w:p w:rsidR="00FA4001" w:rsidRDefault="00FA4001">
      <w:pPr>
        <w:pStyle w:val="Nor2"/>
        <w:rPr>
          <w:b/>
        </w:rPr>
      </w:pPr>
      <w:r>
        <w:t>No procede.</w:t>
      </w:r>
    </w:p>
    <w:sectPr w:rsidR="00FA4001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562" w:right="562" w:bottom="562" w:left="562" w:header="562" w:footer="562" w:gutter="85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001" w:rsidRDefault="00FA4001">
      <w:r>
        <w:separator/>
      </w:r>
    </w:p>
  </w:endnote>
  <w:endnote w:type="continuationSeparator" w:id="0">
    <w:p w:rsidR="00FA4001" w:rsidRDefault="00FA4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mall Font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2338"/>
      <w:gridCol w:w="3261"/>
      <w:gridCol w:w="2268"/>
      <w:gridCol w:w="2525"/>
    </w:tblGrid>
    <w:tr w:rsidR="00000000">
      <w:tblPrEx>
        <w:tblCellMar>
          <w:top w:w="0" w:type="dxa"/>
          <w:bottom w:w="0" w:type="dxa"/>
        </w:tblCellMar>
      </w:tblPrEx>
      <w:tc>
        <w:tcPr>
          <w:tcW w:w="2338" w:type="dxa"/>
        </w:tcPr>
        <w:p w:rsidR="00000000" w:rsidRDefault="00FA4001">
          <w:pPr>
            <w:pStyle w:val="EncIN"/>
          </w:pPr>
          <w:r>
            <w:t>Copia Controlada:</w:t>
          </w:r>
        </w:p>
      </w:tc>
      <w:tc>
        <w:tcPr>
          <w:tcW w:w="3261" w:type="dxa"/>
        </w:tcPr>
        <w:p w:rsidR="00000000" w:rsidRDefault="00FA4001">
          <w:pPr>
            <w:pStyle w:val="EncIN"/>
          </w:pPr>
        </w:p>
      </w:tc>
      <w:tc>
        <w:tcPr>
          <w:tcW w:w="2268" w:type="dxa"/>
        </w:tcPr>
        <w:p w:rsidR="00000000" w:rsidRDefault="00FA4001">
          <w:pPr>
            <w:pStyle w:val="EncIN"/>
          </w:pPr>
          <w:r>
            <w:t>Fecha de Emisión:</w:t>
          </w:r>
        </w:p>
      </w:tc>
      <w:tc>
        <w:tcPr>
          <w:tcW w:w="2525" w:type="dxa"/>
        </w:tcPr>
        <w:p w:rsidR="00000000" w:rsidRDefault="00FA4001">
          <w:pPr>
            <w:pStyle w:val="EncIN"/>
          </w:pPr>
          <w:r>
            <w:t>03/01/0</w:t>
          </w:r>
          <w:r>
            <w:t>1</w:t>
          </w:r>
        </w:p>
      </w:tc>
    </w:tr>
  </w:tbl>
  <w:p w:rsidR="00000000" w:rsidRDefault="00FA40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2338"/>
      <w:gridCol w:w="3261"/>
      <w:gridCol w:w="2268"/>
      <w:gridCol w:w="2525"/>
    </w:tblGrid>
    <w:tr w:rsidR="00000000">
      <w:tblPrEx>
        <w:tblCellMar>
          <w:top w:w="0" w:type="dxa"/>
          <w:bottom w:w="0" w:type="dxa"/>
        </w:tblCellMar>
      </w:tblPrEx>
      <w:tc>
        <w:tcPr>
          <w:tcW w:w="2338" w:type="dxa"/>
        </w:tcPr>
        <w:p w:rsidR="00000000" w:rsidRDefault="00FA4001">
          <w:pPr>
            <w:pStyle w:val="EncIN"/>
          </w:pPr>
          <w:r>
            <w:t>Copia Controlada:</w:t>
          </w:r>
        </w:p>
      </w:tc>
      <w:tc>
        <w:tcPr>
          <w:tcW w:w="3261" w:type="dxa"/>
        </w:tcPr>
        <w:p w:rsidR="00000000" w:rsidRDefault="00FA4001">
          <w:pPr>
            <w:pStyle w:val="EncIN"/>
          </w:pPr>
        </w:p>
      </w:tc>
      <w:tc>
        <w:tcPr>
          <w:tcW w:w="2268" w:type="dxa"/>
        </w:tcPr>
        <w:p w:rsidR="00000000" w:rsidRDefault="00FA4001">
          <w:pPr>
            <w:pStyle w:val="EncIN"/>
          </w:pPr>
          <w:r>
            <w:t>Fecha de Emisión:</w:t>
          </w:r>
        </w:p>
      </w:tc>
      <w:tc>
        <w:tcPr>
          <w:tcW w:w="2525" w:type="dxa"/>
        </w:tcPr>
        <w:p w:rsidR="00000000" w:rsidRDefault="00FA4001">
          <w:pPr>
            <w:pStyle w:val="EncIN"/>
          </w:pPr>
        </w:p>
      </w:tc>
    </w:tr>
  </w:tbl>
  <w:p w:rsidR="00000000" w:rsidRDefault="00FA40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001" w:rsidRDefault="00FA4001">
      <w:r>
        <w:separator/>
      </w:r>
    </w:p>
  </w:footnote>
  <w:footnote w:type="continuationSeparator" w:id="0">
    <w:p w:rsidR="00FA4001" w:rsidRDefault="00FA40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528"/>
      <w:gridCol w:w="2693"/>
    </w:tblGrid>
    <w:tr w:rsidR="00000000">
      <w:tblPrEx>
        <w:tblCellMar>
          <w:top w:w="0" w:type="dxa"/>
          <w:bottom w:w="0" w:type="dxa"/>
        </w:tblCellMar>
      </w:tblPrEx>
      <w:tc>
        <w:tcPr>
          <w:tcW w:w="2197" w:type="dxa"/>
        </w:tcPr>
        <w:p w:rsidR="00000000" w:rsidRDefault="00FA4001">
          <w:pPr>
            <w:pStyle w:val="PequeC"/>
          </w:pPr>
          <w:r>
            <w:object w:dxaOrig="541" w:dyaOrig="10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4pt;height:49pt" o:ole="" fillcolor="window">
                <v:imagedata r:id="rId1" o:title=""/>
              </v:shape>
              <o:OLEObject Type="Embed" ProgID="Word.Picture.8" ShapeID="_x0000_i1025" DrawAspect="Content" ObjectID="_1330325305" r:id="rId2"/>
            </w:object>
          </w:r>
        </w:p>
        <w:p w:rsidR="00000000" w:rsidRDefault="00FA4001">
          <w:pPr>
            <w:pStyle w:val="EncCM"/>
          </w:pPr>
          <w:r>
            <w:t>une</w:t>
          </w:r>
        </w:p>
      </w:tc>
      <w:tc>
        <w:tcPr>
          <w:tcW w:w="5528" w:type="dxa"/>
        </w:tcPr>
        <w:p w:rsidR="00000000" w:rsidRDefault="00FA4001">
          <w:pPr>
            <w:pStyle w:val="EncCNM"/>
          </w:pPr>
          <w:r>
            <w:t>MINISTERIO DE LA INDUSTRIA BASICA</w:t>
          </w:r>
        </w:p>
        <w:p w:rsidR="00000000" w:rsidRDefault="00FA4001">
          <w:pPr>
            <w:pStyle w:val="EncCNM"/>
          </w:pPr>
          <w:r>
            <w:t>UNION ELECTRICA</w:t>
          </w:r>
        </w:p>
        <w:p w:rsidR="00000000" w:rsidRDefault="00FA4001">
          <w:pPr>
            <w:pStyle w:val="EncCNIM"/>
          </w:pPr>
          <w:r>
            <w:t>MANUAL DE distribucion</w:t>
          </w:r>
        </w:p>
      </w:tc>
      <w:tc>
        <w:tcPr>
          <w:tcW w:w="2693" w:type="dxa"/>
        </w:tcPr>
        <w:p w:rsidR="00000000" w:rsidRDefault="00FA4001">
          <w:pPr>
            <w:pStyle w:val="EncIN"/>
            <w:rPr>
              <w:caps/>
              <w:lang w:val="en-US"/>
            </w:rPr>
          </w:pPr>
          <w:r>
            <w:rPr>
              <w:lang w:val="en-US"/>
            </w:rPr>
            <w:t>Cód: UR-BE 0204</w:t>
          </w:r>
        </w:p>
        <w:p w:rsidR="00000000" w:rsidRDefault="00FA4001">
          <w:pPr>
            <w:pStyle w:val="EncIN"/>
          </w:pPr>
          <w:r>
            <w:t>Rev: 00</w:t>
          </w:r>
        </w:p>
        <w:p w:rsidR="00000000" w:rsidRDefault="00FA4001">
          <w:pPr>
            <w:pStyle w:val="EncIN"/>
          </w:pPr>
          <w:r>
            <w:t xml:space="preserve">Pág.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1762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1762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FA40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528"/>
      <w:gridCol w:w="2693"/>
    </w:tblGrid>
    <w:tr w:rsidR="00000000">
      <w:tblPrEx>
        <w:tblCellMar>
          <w:top w:w="0" w:type="dxa"/>
          <w:bottom w:w="0" w:type="dxa"/>
        </w:tblCellMar>
      </w:tblPrEx>
      <w:tc>
        <w:tcPr>
          <w:tcW w:w="2197" w:type="dxa"/>
        </w:tcPr>
        <w:p w:rsidR="00000000" w:rsidRDefault="00FA4001">
          <w:pPr>
            <w:pStyle w:val="PequeC"/>
          </w:pPr>
          <w:r>
            <w:object w:dxaOrig="541" w:dyaOrig="10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4pt;height:49pt" o:ole="" fillcolor="window">
                <v:imagedata r:id="rId1" o:title=""/>
              </v:shape>
              <o:OLEObject Type="Embed" ProgID="Word.Picture.8" ShapeID="_x0000_i1026" DrawAspect="Content" ObjectID="_1330325306" r:id="rId2"/>
            </w:object>
          </w:r>
        </w:p>
        <w:p w:rsidR="00000000" w:rsidRDefault="00FA4001">
          <w:pPr>
            <w:pStyle w:val="EncCM"/>
          </w:pPr>
          <w:r>
            <w:t>Redes y comercial</w:t>
          </w:r>
        </w:p>
      </w:tc>
      <w:tc>
        <w:tcPr>
          <w:tcW w:w="5528" w:type="dxa"/>
        </w:tcPr>
        <w:p w:rsidR="00000000" w:rsidRDefault="00FA4001">
          <w:pPr>
            <w:pStyle w:val="EncCNM"/>
          </w:pPr>
          <w:r>
            <w:t>MINISTERIO DE LA INDUSTRIA BASICA</w:t>
          </w:r>
        </w:p>
        <w:p w:rsidR="00000000" w:rsidRDefault="00FA4001">
          <w:pPr>
            <w:pStyle w:val="EncCNM"/>
          </w:pPr>
          <w:r>
            <w:t>UNION ELECTRICA</w:t>
          </w:r>
        </w:p>
        <w:p w:rsidR="00000000" w:rsidRDefault="00FA4001">
          <w:pPr>
            <w:pStyle w:val="EncCNIM"/>
          </w:pPr>
          <w:r>
            <w:t>MANUAL DE Distribución</w:t>
          </w:r>
        </w:p>
      </w:tc>
      <w:tc>
        <w:tcPr>
          <w:tcW w:w="2693" w:type="dxa"/>
        </w:tcPr>
        <w:p w:rsidR="00000000" w:rsidRDefault="00FA4001">
          <w:pPr>
            <w:pStyle w:val="EncIN"/>
            <w:rPr>
              <w:lang w:val="en-US"/>
            </w:rPr>
          </w:pPr>
          <w:r>
            <w:rPr>
              <w:lang w:val="en-US"/>
            </w:rPr>
            <w:t>Cód: RD P</w:t>
          </w:r>
        </w:p>
        <w:p w:rsidR="00000000" w:rsidRDefault="00FA4001">
          <w:pPr>
            <w:pStyle w:val="EncIN"/>
            <w:rPr>
              <w:lang w:val="en-US"/>
            </w:rPr>
          </w:pPr>
          <w:r>
            <w:rPr>
              <w:lang w:val="en-US"/>
            </w:rPr>
            <w:t xml:space="preserve">Rev: </w:t>
          </w:r>
          <w:bookmarkStart w:id="0" w:name="Rev"/>
          <w:r>
            <w:rPr>
              <w:lang w:val="en-US"/>
            </w:rPr>
            <w:t>00</w:t>
          </w:r>
          <w:bookmarkEnd w:id="0"/>
        </w:p>
        <w:p w:rsidR="00000000" w:rsidRDefault="00FA4001">
          <w:pPr>
            <w:pStyle w:val="EncIN"/>
          </w:pPr>
          <w:r>
            <w:t xml:space="preserve">Pág.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FA400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71065"/>
    <w:multiLevelType w:val="multilevel"/>
    <w:tmpl w:val="F3BC0594"/>
    <w:name w:val="N1"/>
    <w:lvl w:ilvl="0">
      <w:start w:val="1"/>
      <w:numFmt w:val="decimal"/>
      <w:pStyle w:val="Nor"/>
      <w:isLgl/>
      <w:lvlText w:val="%1.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pStyle w:val="Nor2"/>
      <w:isLgl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Nor3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or4"/>
      <w:isLgl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or5"/>
      <w:isLgl/>
      <w:lvlText w:val="%1.%2.%3.%4.%5."/>
      <w:lvlJc w:val="left"/>
      <w:pPr>
        <w:tabs>
          <w:tab w:val="num" w:pos="1080"/>
        </w:tabs>
        <w:ind w:left="1008" w:hanging="1008"/>
      </w:pPr>
    </w:lvl>
    <w:lvl w:ilvl="5">
      <w:start w:val="1"/>
      <w:numFmt w:val="decimal"/>
      <w:pStyle w:val="Nor6"/>
      <w:isLgl/>
      <w:lvlText w:val="%1.%2.%3.%4.%5.%6.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Nor7"/>
      <w:isLgl/>
      <w:lvlText w:val="%1.%2.%3.%4.%5.%6.%7."/>
      <w:lvlJc w:val="left"/>
      <w:pPr>
        <w:tabs>
          <w:tab w:val="num" w:pos="1474"/>
        </w:tabs>
        <w:ind w:left="1474" w:hanging="1474"/>
      </w:pPr>
    </w:lvl>
    <w:lvl w:ilvl="7">
      <w:start w:val="1"/>
      <w:numFmt w:val="decimal"/>
      <w:pStyle w:val="Nor8"/>
      <w:isLgl/>
      <w:lvlText w:val="%1.%2.%3.%4.%5.%6.%7.%8.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pStyle w:val="Nor9"/>
      <w:isLgl/>
      <w:lvlText w:val="%1.%2.%3.%4.%5.%6.%7.%8.%9."/>
      <w:lvlJc w:val="left"/>
      <w:pPr>
        <w:tabs>
          <w:tab w:val="num" w:pos="2160"/>
        </w:tabs>
        <w:ind w:left="1584" w:hanging="1584"/>
      </w:pPr>
    </w:lvl>
  </w:abstractNum>
  <w:abstractNum w:abstractNumId="1">
    <w:nsid w:val="692D1FA2"/>
    <w:multiLevelType w:val="multilevel"/>
    <w:tmpl w:val="0C0A0029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7623"/>
    <w:rsid w:val="00917623"/>
    <w:rsid w:val="00FA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lang w:val="es-ES_tradnl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right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semiHidden/>
    <w:pPr>
      <w:ind w:left="426"/>
      <w:jc w:val="both"/>
    </w:pPr>
    <w:rPr>
      <w:rFonts w:ascii="Times New Roman" w:hAnsi="Times New Roman"/>
    </w:rPr>
  </w:style>
  <w:style w:type="paragraph" w:customStyle="1" w:styleId="Peque">
    <w:name w:val="Peque"/>
    <w:basedOn w:val="Normal"/>
    <w:rPr>
      <w:rFonts w:ascii="Small Fonts" w:hAnsi="Small Fonts"/>
      <w:sz w:val="3"/>
    </w:rPr>
  </w:style>
  <w:style w:type="paragraph" w:customStyle="1" w:styleId="PequeC">
    <w:name w:val="PequeC"/>
    <w:basedOn w:val="Peque"/>
    <w:pPr>
      <w:jc w:val="center"/>
    </w:pPr>
  </w:style>
  <w:style w:type="paragraph" w:customStyle="1" w:styleId="EncCNM">
    <w:name w:val="EncCNM"/>
    <w:basedOn w:val="Normal"/>
    <w:pPr>
      <w:spacing w:before="60" w:after="60"/>
      <w:jc w:val="center"/>
    </w:pPr>
    <w:rPr>
      <w:b/>
      <w:caps/>
    </w:rPr>
  </w:style>
  <w:style w:type="paragraph" w:customStyle="1" w:styleId="EncCNIM">
    <w:name w:val="EncCNIM"/>
    <w:basedOn w:val="EncCNM"/>
    <w:rPr>
      <w:i/>
    </w:rPr>
  </w:style>
  <w:style w:type="paragraph" w:customStyle="1" w:styleId="EncCM">
    <w:name w:val="EncCM"/>
    <w:basedOn w:val="EncCNM"/>
    <w:autoRedefine/>
    <w:pPr>
      <w:spacing w:before="0" w:after="0"/>
    </w:pPr>
    <w:rPr>
      <w:b w:val="0"/>
      <w:sz w:val="18"/>
    </w:rPr>
  </w:style>
  <w:style w:type="paragraph" w:customStyle="1" w:styleId="EncIN">
    <w:name w:val="EncIN"/>
    <w:basedOn w:val="EncCNM"/>
    <w:pPr>
      <w:jc w:val="left"/>
    </w:pPr>
    <w:rPr>
      <w:caps w:val="0"/>
    </w:rPr>
  </w:style>
  <w:style w:type="paragraph" w:customStyle="1" w:styleId="Nor1">
    <w:name w:val="Nor1"/>
    <w:basedOn w:val="Normal"/>
    <w:rPr>
      <w:b/>
    </w:rPr>
  </w:style>
  <w:style w:type="paragraph" w:customStyle="1" w:styleId="Nor2">
    <w:name w:val="Nor2"/>
    <w:basedOn w:val="Normal"/>
    <w:pPr>
      <w:numPr>
        <w:ilvl w:val="1"/>
        <w:numId w:val="3"/>
      </w:numPr>
    </w:pPr>
  </w:style>
  <w:style w:type="paragraph" w:customStyle="1" w:styleId="Nor3">
    <w:name w:val="Nor3"/>
    <w:basedOn w:val="Normal"/>
    <w:pPr>
      <w:numPr>
        <w:ilvl w:val="2"/>
        <w:numId w:val="3"/>
      </w:numPr>
    </w:pPr>
  </w:style>
  <w:style w:type="paragraph" w:customStyle="1" w:styleId="Nor4">
    <w:name w:val="Nor4"/>
    <w:basedOn w:val="Normal"/>
    <w:pPr>
      <w:numPr>
        <w:ilvl w:val="3"/>
        <w:numId w:val="3"/>
      </w:numPr>
    </w:pPr>
  </w:style>
  <w:style w:type="paragraph" w:customStyle="1" w:styleId="Nor5">
    <w:name w:val="Nor5"/>
    <w:basedOn w:val="Normal"/>
    <w:pPr>
      <w:numPr>
        <w:ilvl w:val="4"/>
        <w:numId w:val="3"/>
      </w:numPr>
    </w:pPr>
  </w:style>
  <w:style w:type="paragraph" w:customStyle="1" w:styleId="Nor6">
    <w:name w:val="Nor6"/>
    <w:basedOn w:val="Normal"/>
    <w:pPr>
      <w:numPr>
        <w:ilvl w:val="5"/>
        <w:numId w:val="3"/>
      </w:numPr>
    </w:pPr>
  </w:style>
  <w:style w:type="paragraph" w:customStyle="1" w:styleId="Nor7">
    <w:name w:val="Nor7"/>
    <w:basedOn w:val="Normal"/>
    <w:pPr>
      <w:numPr>
        <w:ilvl w:val="6"/>
        <w:numId w:val="3"/>
      </w:numPr>
    </w:pPr>
  </w:style>
  <w:style w:type="paragraph" w:customStyle="1" w:styleId="Nor8">
    <w:name w:val="Nor8"/>
    <w:basedOn w:val="Normal"/>
    <w:pPr>
      <w:numPr>
        <w:ilvl w:val="7"/>
        <w:numId w:val="3"/>
      </w:numPr>
    </w:pPr>
  </w:style>
  <w:style w:type="paragraph" w:customStyle="1" w:styleId="Nor9">
    <w:name w:val="Nor9"/>
    <w:basedOn w:val="Normal"/>
    <w:pPr>
      <w:numPr>
        <w:ilvl w:val="8"/>
        <w:numId w:val="3"/>
      </w:numPr>
    </w:pPr>
  </w:style>
  <w:style w:type="paragraph" w:customStyle="1" w:styleId="Nor">
    <w:name w:val="Nor"/>
    <w:basedOn w:val="Normal"/>
    <w:autoRedefine/>
    <w:pPr>
      <w:numPr>
        <w:numId w:val="3"/>
      </w:numPr>
      <w:spacing w:before="180" w:after="40"/>
    </w:pPr>
    <w:rPr>
      <w:b/>
    </w:rPr>
  </w:style>
  <w:style w:type="paragraph" w:styleId="BodyTextIndent">
    <w:name w:val="Body Text Indent"/>
    <w:basedOn w:val="Normal"/>
    <w:semiHidden/>
    <w:pPr>
      <w:ind w:left="426" w:hanging="426"/>
    </w:pPr>
    <w:rPr>
      <w:rFonts w:ascii="Times New Roman" w:hAnsi="Times New Roman"/>
    </w:rPr>
  </w:style>
  <w:style w:type="paragraph" w:styleId="BodyText2">
    <w:name w:val="Body Text 2"/>
    <w:basedOn w:val="Normal"/>
    <w:semiHidden/>
    <w:pPr>
      <w:jc w:val="both"/>
    </w:pPr>
    <w:rPr>
      <w:rFonts w:ascii="Times New Roman" w:hAnsi="Times New Roman"/>
    </w:rPr>
  </w:style>
  <w:style w:type="paragraph" w:styleId="BodyText">
    <w:name w:val="Body Text"/>
    <w:basedOn w:val="Normal"/>
    <w:semiHidden/>
    <w:rPr>
      <w:rFonts w:ascii="Times New Roman" w:hAnsi="Times New Roman"/>
    </w:rPr>
  </w:style>
  <w:style w:type="paragraph" w:customStyle="1" w:styleId="Tit">
    <w:name w:val="Tit"/>
    <w:basedOn w:val="Normal"/>
    <w:autoRedefine/>
    <w:pPr>
      <w:keepLines/>
      <w:framePr w:hSpace="142" w:vSpace="142" w:wrap="around" w:vAnchor="text" w:hAnchor="text" w:y="1"/>
      <w:ind w:left="993" w:hanging="993"/>
    </w:pPr>
    <w:rPr>
      <w:b/>
    </w:rPr>
  </w:style>
  <w:style w:type="paragraph" w:customStyle="1" w:styleId="Ane">
    <w:name w:val="Ane"/>
    <w:basedOn w:val="Normal"/>
    <w:autoRedefine/>
    <w:pPr>
      <w:jc w:val="center"/>
    </w:pPr>
    <w:rPr>
      <w:b/>
      <w:lang w:val="es-ES_tradnl"/>
    </w:rPr>
  </w:style>
  <w:style w:type="paragraph" w:customStyle="1" w:styleId="ENcINM">
    <w:name w:val="ENcINM"/>
    <w:basedOn w:val="EncIN"/>
    <w:autoRedefine/>
    <w:rPr>
      <w:caps/>
    </w:rPr>
  </w:style>
  <w:style w:type="paragraph" w:customStyle="1" w:styleId="TIOB">
    <w:name w:val="TIOB"/>
    <w:basedOn w:val="Normal"/>
    <w:autoRedefine/>
    <w:pPr>
      <w:spacing w:before="120" w:after="12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TÍTULO: Confección y utilización de las listas de chequeo</vt:lpstr>
    </vt:vector>
  </TitlesOfParts>
  <Company>S.A.</Company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TÍTULO: Confección y utilización de las listas de chequeo</dc:title>
  <dc:subject/>
  <dc:creator>Lazaro Herrera Herrera.</dc:creator>
  <cp:keywords/>
  <cp:lastModifiedBy>gabriell</cp:lastModifiedBy>
  <cp:revision>2</cp:revision>
  <cp:lastPrinted>2002-10-05T06:19:00Z</cp:lastPrinted>
  <dcterms:created xsi:type="dcterms:W3CDTF">2010-03-17T14:02:00Z</dcterms:created>
  <dcterms:modified xsi:type="dcterms:W3CDTF">2010-03-17T14:02:00Z</dcterms:modified>
</cp:coreProperties>
</file>