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rPr>
          <w:rFonts w:ascii="Calibri" w:cs="Calibri" w:eastAsia="Calibri" w:hAnsi="Calibri"/>
          <w:color w:val="6B705C"/>
          <w:sz w:val="17"/>
          <w:szCs w:val="17"/>
        </w:rPr>
        <w:t xml:space="preserve">Software Engineering for AI Systems   ·   Practical work</w:t>
      </w:r>
    </w:p>
    <w:p>
      <w:pPr>
        <w:spacing w:after="240"/>
      </w:pPr>
      <w:r>
        <w:rPr>
          <w:rFonts w:ascii="Cambria" w:cs="Cambria" w:eastAsia="Cambria" w:hAnsi="Cambria"/>
          <w:b/>
          <w:bCs/>
          <w:color w:val="4A1942"/>
          <w:sz w:val="30"/>
          <w:szCs w:val="30"/>
        </w:rPr>
        <w:t xml:space="preserve">Assessment guide for practical work</w:t>
      </w:r>
    </w:p>
    <w:p>
      <w:pPr>
        <w:spacing w:after="100"/>
        <w:jc w:val="both"/>
      </w:pPr>
      <w:r>
        <w:rPr>
          <w:rFonts w:ascii="Calibri" w:cs="Calibri" w:eastAsia="Calibri" w:hAnsi="Calibri"/>
          <w:color w:val="1A0F1A"/>
          <w:sz w:val="21"/>
          <w:szCs w:val="21"/>
        </w:rPr>
        <w:t xml:space="preserve">This document describes how the practical work of the course is assessed. It applies to the four compulsory practices, P1 to P4, and to the optional mini-projects. It is published at the beginning of the term and remains stable throughout.</w:t>
      </w:r>
    </w:p>
    <w:p>
      <w:pPr>
        <w:spacing w:after="110" w:before="280"/>
      </w:pPr>
      <w:r>
        <w:rPr>
          <w:rFonts w:ascii="Cambria" w:cs="Cambria" w:eastAsia="Cambria" w:hAnsi="Cambria"/>
          <w:b/>
          <w:bCs/>
          <w:color w:val="4A1942"/>
          <w:sz w:val="24"/>
          <w:szCs w:val="24"/>
        </w:rPr>
        <w:t xml:space="preserve">1. Overview</w:t>
      </w:r>
    </w:p>
    <w:p>
      <w:pPr>
        <w:spacing w:after="100"/>
        <w:jc w:val="both"/>
      </w:pPr>
      <w:r>
        <w:rPr>
          <w:rFonts w:ascii="Calibri" w:cs="Calibri" w:eastAsia="Calibri" w:hAnsi="Calibri"/>
          <w:color w:val="1A0F1A"/>
          <w:sz w:val="21"/>
          <w:szCs w:val="21"/>
        </w:rPr>
        <w:t xml:space="preserve">Each compulsory practice is worth 10 points and assessed against a binary rubric of 10 criteria. Each criterion is either met or not met, and each criterion met adds 1 point. A criterion that cannot be decided either way is marked for review by the teacher. The mark of the practical work block is the average of the four practices, with the optional mini-projects adding a small bonus.</w:t>
      </w:r>
    </w:p>
    <w:p>
      <w:pPr>
        <w:spacing w:after="110" w:before="280"/>
      </w:pPr>
      <w:r>
        <w:rPr>
          <w:rFonts w:ascii="Cambria" w:cs="Cambria" w:eastAsia="Cambria" w:hAnsi="Cambria"/>
          <w:b/>
          <w:bCs/>
          <w:color w:val="4A1942"/>
          <w:sz w:val="24"/>
          <w:szCs w:val="24"/>
        </w:rPr>
        <w:t xml:space="preserve">2. Submission rules</w:t>
      </w:r>
    </w:p>
    <w:p>
      <w:pPr>
        <w:pStyle w:val="ListParagraph"/>
        <w:numPr>
          <w:ilvl w:val="0"/>
          <w:numId w:val="1"/>
        </w:numPr>
        <w:spacing w:after="70"/>
        <w:jc w:val="both"/>
      </w:pPr>
      <w:r>
        <w:rPr>
          <w:rFonts w:ascii="Calibri" w:cs="Calibri" w:eastAsia="Calibri" w:hAnsi="Calibri"/>
          <w:color w:val="1A0F1A"/>
          <w:sz w:val="21"/>
          <w:szCs w:val="21"/>
        </w:rPr>
        <w:t xml:space="preserve">One ZIP file per practice, submitted through the virtual campus.</w:t>
      </w:r>
    </w:p>
    <w:p>
      <w:pPr>
        <w:pStyle w:val="ListParagraph"/>
        <w:numPr>
          <w:ilvl w:val="0"/>
          <w:numId w:val="1"/>
        </w:numPr>
        <w:spacing w:after="70"/>
        <w:jc w:val="both"/>
      </w:pPr>
      <w:r>
        <w:rPr>
          <w:rFonts w:ascii="Calibri" w:cs="Calibri" w:eastAsia="Calibri" w:hAnsi="Calibri"/>
          <w:color w:val="1A0F1A"/>
          <w:sz w:val="21"/>
          <w:szCs w:val="21"/>
        </w:rPr>
        <w:t xml:space="preserve">File name: PN_surname1_surname2_name.zip, with N the number of the practice, in lower case and without accents.</w:t>
      </w:r>
    </w:p>
    <w:p>
      <w:pPr>
        <w:pStyle w:val="ListParagraph"/>
        <w:numPr>
          <w:ilvl w:val="0"/>
          <w:numId w:val="1"/>
        </w:numPr>
        <w:spacing w:after="70"/>
        <w:jc w:val="both"/>
      </w:pPr>
      <w:r>
        <w:rPr>
          <w:rFonts w:ascii="Calibri" w:cs="Calibri" w:eastAsia="Calibri" w:hAnsi="Calibri"/>
          <w:color w:val="1A0F1A"/>
          <w:sz w:val="21"/>
          <w:szCs w:val="21"/>
        </w:rPr>
        <w:t xml:space="preserve">The ZIP contains exactly three files and no folders: solution.py, execution.txt and report.docx.</w:t>
      </w:r>
    </w:p>
    <w:p>
      <w:pPr>
        <w:pStyle w:val="ListParagraph"/>
        <w:numPr>
          <w:ilvl w:val="0"/>
          <w:numId w:val="1"/>
        </w:numPr>
        <w:spacing w:after="70"/>
        <w:jc w:val="both"/>
      </w:pPr>
      <w:r>
        <w:rPr>
          <w:rFonts w:ascii="Calibri" w:cs="Calibri" w:eastAsia="Calibri" w:hAnsi="Calibri"/>
          <w:color w:val="1A0F1A"/>
          <w:sz w:val="21"/>
          <w:szCs w:val="21"/>
        </w:rPr>
        <w:t xml:space="preserve">A ZIP with another name, with folders inside or with a different number of files is returned without assessment.</w:t>
      </w:r>
    </w:p>
    <w:p>
      <w:pPr>
        <w:pStyle w:val="ListParagraph"/>
        <w:numPr>
          <w:ilvl w:val="0"/>
          <w:numId w:val="1"/>
        </w:numPr>
        <w:spacing w:after="70"/>
        <w:jc w:val="both"/>
      </w:pPr>
      <w:r>
        <w:rPr>
          <w:rFonts w:ascii="Calibri" w:cs="Calibri" w:eastAsia="Calibri" w:hAnsi="Calibri"/>
          <w:color w:val="1A0F1A"/>
          <w:sz w:val="21"/>
          <w:szCs w:val="21"/>
        </w:rPr>
        <w:t xml:space="preserve">The optional levels add no files. They are declared in section 6 of the report.</w:t>
      </w:r>
    </w:p>
    <w:p>
      <w:pPr>
        <w:pStyle w:val="ListParagraph"/>
        <w:numPr>
          <w:ilvl w:val="0"/>
          <w:numId w:val="1"/>
        </w:numPr>
        <w:spacing w:after="70"/>
        <w:jc w:val="both"/>
      </w:pPr>
      <w:r>
        <w:rPr>
          <w:rFonts w:ascii="Calibri" w:cs="Calibri" w:eastAsia="Calibri" w:hAnsi="Calibri"/>
          <w:color w:val="1A0F1A"/>
          <w:sz w:val="21"/>
          <w:szCs w:val="21"/>
        </w:rPr>
        <w:t xml:space="preserve">Late submissions are governed by the general regulation of the course.</w:t>
      </w:r>
    </w:p>
    <w:p>
      <w:pPr>
        <w:spacing w:after="110" w:before="280"/>
      </w:pPr>
      <w:r>
        <w:rPr>
          <w:rFonts w:ascii="Cambria" w:cs="Cambria" w:eastAsia="Cambria" w:hAnsi="Cambria"/>
          <w:b/>
          <w:bCs/>
          <w:color w:val="4A1942"/>
          <w:sz w:val="24"/>
          <w:szCs w:val="24"/>
        </w:rPr>
        <w:t xml:space="preserve">3. Common rubric</w:t>
      </w:r>
    </w:p>
    <w:p>
      <w:pPr>
        <w:spacing w:after="100"/>
        <w:jc w:val="both"/>
      </w:pPr>
      <w:r>
        <w:rPr>
          <w:rFonts w:ascii="Calibri" w:cs="Calibri" w:eastAsia="Calibri" w:hAnsi="Calibri"/>
          <w:color w:val="1A0F1A"/>
          <w:sz w:val="21"/>
          <w:szCs w:val="21"/>
        </w:rPr>
        <w:t xml:space="preserve">The ten criteria below apply to every practice. The handout of each practice states how they apply to that particular work.</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700"/>
        <w:gridCol w:w="3500"/>
        <w:gridCol w:w="5506"/>
      </w:tblGrid>
      <w:tr>
        <w:tc>
          <w:tcPr>
            <w:tcW w:type="dxa" w:w="700"/>
            <w:shd w:fill="EDE4E9" w:val="clear"/>
            <w:tcMar>
              <w:top w:type="dxa" w:w="70"/>
              <w:left w:type="dxa" w:w="110"/>
              <w:bottom w:type="dxa" w:w="70"/>
              <w:right w:type="dxa" w:w="110"/>
            </w:tcMar>
          </w:tcPr>
          <w:p>
            <w:r>
              <w:rPr>
                <w:rFonts w:ascii="Calibri" w:cs="Calibri" w:eastAsia="Calibri" w:hAnsi="Calibri"/>
                <w:b/>
                <w:bCs/>
                <w:color w:val="1A0F1A"/>
                <w:sz w:val="18"/>
                <w:szCs w:val="18"/>
              </w:rPr>
              <w:t xml:space="preserve">#</w:t>
            </w:r>
          </w:p>
        </w:tc>
        <w:tc>
          <w:tcPr>
            <w:tcW w:type="dxa" w:w="3500"/>
            <w:shd w:fill="EDE4E9" w:val="clear"/>
            <w:tcMar>
              <w:top w:type="dxa" w:w="70"/>
              <w:left w:type="dxa" w:w="110"/>
              <w:bottom w:type="dxa" w:w="70"/>
              <w:right w:type="dxa" w:w="110"/>
            </w:tcMar>
          </w:tcPr>
          <w:p>
            <w:r>
              <w:rPr>
                <w:rFonts w:ascii="Calibri" w:cs="Calibri" w:eastAsia="Calibri" w:hAnsi="Calibri"/>
                <w:b/>
                <w:bCs/>
                <w:color w:val="1A0F1A"/>
                <w:sz w:val="18"/>
                <w:szCs w:val="18"/>
              </w:rPr>
              <w:t xml:space="preserve">Criterion</w:t>
            </w:r>
          </w:p>
        </w:tc>
        <w:tc>
          <w:tcPr>
            <w:tcW w:type="dxa" w:w="5506"/>
            <w:shd w:fill="EDE4E9" w:val="clear"/>
            <w:tcMar>
              <w:top w:type="dxa" w:w="70"/>
              <w:left w:type="dxa" w:w="110"/>
              <w:bottom w:type="dxa" w:w="70"/>
              <w:right w:type="dxa" w:w="110"/>
            </w:tcMar>
          </w:tcPr>
          <w:p>
            <w:r>
              <w:rPr>
                <w:rFonts w:ascii="Calibri" w:cs="Calibri" w:eastAsia="Calibri" w:hAnsi="Calibri"/>
                <w:b/>
                <w:bCs/>
                <w:color w:val="1A0F1A"/>
                <w:sz w:val="18"/>
                <w:szCs w:val="18"/>
              </w:rPr>
              <w:t xml:space="preserve">Met when</w:t>
            </w:r>
          </w:p>
        </w:tc>
      </w:tr>
      <w:tr>
        <w:tc>
          <w:tcPr>
            <w:tcW w:type="dxa" w:w="700"/>
            <w:shd w:fill="FFFFFF" w:val="clear"/>
            <w:tcMar>
              <w:top w:type="dxa" w:w="70"/>
              <w:left w:type="dxa" w:w="110"/>
              <w:bottom w:type="dxa" w:w="70"/>
              <w:right w:type="dxa" w:w="110"/>
            </w:tcMar>
          </w:tcPr>
          <w:p>
            <w:r>
              <w:rPr>
                <w:rFonts w:ascii="Calibri" w:cs="Calibri" w:eastAsia="Calibri" w:hAnsi="Calibri"/>
                <w:b/>
                <w:bCs/>
                <w:color w:val="1A0F1A"/>
                <w:sz w:val="18"/>
                <w:szCs w:val="18"/>
              </w:rPr>
              <w:t xml:space="preserve">R1</w:t>
            </w:r>
          </w:p>
        </w:tc>
        <w:tc>
          <w:tcPr>
            <w:tcW w:type="dxa" w:w="3500"/>
            <w:shd w:fill="FFFFFF" w:val="clear"/>
            <w:tcMar>
              <w:top w:type="dxa" w:w="70"/>
              <w:left w:type="dxa" w:w="110"/>
              <w:bottom w:type="dxa" w:w="70"/>
              <w:right w:type="dxa" w:w="110"/>
            </w:tcMar>
          </w:tcPr>
          <w:p>
            <w:r>
              <w:rPr>
                <w:rFonts w:ascii="Calibri" w:cs="Calibri" w:eastAsia="Calibri" w:hAnsi="Calibri"/>
                <w:b w:val="false"/>
                <w:bCs w:val="false"/>
                <w:color w:val="1A0F1A"/>
                <w:sz w:val="18"/>
                <w:szCs w:val="18"/>
              </w:rPr>
              <w:t xml:space="preserve">The program runs</w:t>
            </w:r>
          </w:p>
        </w:tc>
        <w:tc>
          <w:tcPr>
            <w:tcW w:type="dxa" w:w="5506"/>
            <w:shd w:fill="FFFFFF" w:val="clear"/>
            <w:tcMar>
              <w:top w:type="dxa" w:w="70"/>
              <w:left w:type="dxa" w:w="110"/>
              <w:bottom w:type="dxa" w:w="70"/>
              <w:right w:type="dxa" w:w="110"/>
            </w:tcMar>
          </w:tcPr>
          <w:p>
            <w:r>
              <w:rPr>
                <w:rFonts w:ascii="Calibri" w:cs="Calibri" w:eastAsia="Calibri" w:hAnsi="Calibri"/>
                <w:b w:val="false"/>
                <w:bCs w:val="false"/>
                <w:color w:val="1A0F1A"/>
                <w:sz w:val="18"/>
                <w:szCs w:val="18"/>
              </w:rPr>
              <w:t xml:space="preserve">solution.py runs end to end and produces output</w:t>
            </w:r>
          </w:p>
        </w:tc>
      </w:tr>
      <w:tr>
        <w:tc>
          <w:tcPr>
            <w:tcW w:type="dxa" w:w="700"/>
            <w:shd w:fill="FFFFFF" w:val="clear"/>
            <w:tcMar>
              <w:top w:type="dxa" w:w="70"/>
              <w:left w:type="dxa" w:w="110"/>
              <w:bottom w:type="dxa" w:w="70"/>
              <w:right w:type="dxa" w:w="110"/>
            </w:tcMar>
          </w:tcPr>
          <w:p>
            <w:r>
              <w:rPr>
                <w:rFonts w:ascii="Calibri" w:cs="Calibri" w:eastAsia="Calibri" w:hAnsi="Calibri"/>
                <w:b/>
                <w:bCs/>
                <w:color w:val="1A0F1A"/>
                <w:sz w:val="18"/>
                <w:szCs w:val="18"/>
              </w:rPr>
              <w:t xml:space="preserve">R2</w:t>
            </w:r>
          </w:p>
        </w:tc>
        <w:tc>
          <w:tcPr>
            <w:tcW w:type="dxa" w:w="3500"/>
            <w:shd w:fill="FFFFFF" w:val="clear"/>
            <w:tcMar>
              <w:top w:type="dxa" w:w="70"/>
              <w:left w:type="dxa" w:w="110"/>
              <w:bottom w:type="dxa" w:w="70"/>
              <w:right w:type="dxa" w:w="110"/>
            </w:tcMar>
          </w:tcPr>
          <w:p>
            <w:r>
              <w:rPr>
                <w:rFonts w:ascii="Calibri" w:cs="Calibri" w:eastAsia="Calibri" w:hAnsi="Calibri"/>
                <w:b w:val="false"/>
                <w:bCs w:val="false"/>
                <w:color w:val="1A0F1A"/>
                <w:sz w:val="18"/>
                <w:szCs w:val="18"/>
              </w:rPr>
              <w:t xml:space="preserve">Baseline established and measured</w:t>
            </w:r>
          </w:p>
        </w:tc>
        <w:tc>
          <w:tcPr>
            <w:tcW w:type="dxa" w:w="5506"/>
            <w:shd w:fill="FFFFFF" w:val="clear"/>
            <w:tcMar>
              <w:top w:type="dxa" w:w="70"/>
              <w:left w:type="dxa" w:w="110"/>
              <w:bottom w:type="dxa" w:w="70"/>
              <w:right w:type="dxa" w:w="110"/>
            </w:tcMar>
          </w:tcPr>
          <w:p>
            <w:r>
              <w:rPr>
                <w:rFonts w:ascii="Calibri" w:cs="Calibri" w:eastAsia="Calibri" w:hAnsi="Calibri"/>
                <w:b w:val="false"/>
                <w:bCs w:val="false"/>
                <w:color w:val="1A0F1A"/>
                <w:sz w:val="18"/>
                <w:szCs w:val="18"/>
              </w:rPr>
              <w:t xml:space="preserve">the report states the numbers of the first version, before any improvement</w:t>
            </w:r>
          </w:p>
        </w:tc>
      </w:tr>
      <w:tr>
        <w:tc>
          <w:tcPr>
            <w:tcW w:type="dxa" w:w="700"/>
            <w:shd w:fill="FFFFFF" w:val="clear"/>
            <w:tcMar>
              <w:top w:type="dxa" w:w="70"/>
              <w:left w:type="dxa" w:w="110"/>
              <w:bottom w:type="dxa" w:w="70"/>
              <w:right w:type="dxa" w:w="110"/>
            </w:tcMar>
          </w:tcPr>
          <w:p>
            <w:r>
              <w:rPr>
                <w:rFonts w:ascii="Calibri" w:cs="Calibri" w:eastAsia="Calibri" w:hAnsi="Calibri"/>
                <w:b/>
                <w:bCs/>
                <w:color w:val="1A0F1A"/>
                <w:sz w:val="18"/>
                <w:szCs w:val="18"/>
              </w:rPr>
              <w:t xml:space="preserve">R3</w:t>
            </w:r>
          </w:p>
        </w:tc>
        <w:tc>
          <w:tcPr>
            <w:tcW w:type="dxa" w:w="3500"/>
            <w:shd w:fill="FFFFFF" w:val="clear"/>
            <w:tcMar>
              <w:top w:type="dxa" w:w="70"/>
              <w:left w:type="dxa" w:w="110"/>
              <w:bottom w:type="dxa" w:w="70"/>
              <w:right w:type="dxa" w:w="110"/>
            </w:tcMar>
          </w:tcPr>
          <w:p>
            <w:r>
              <w:rPr>
                <w:rFonts w:ascii="Calibri" w:cs="Calibri" w:eastAsia="Calibri" w:hAnsi="Calibri"/>
                <w:b w:val="false"/>
                <w:bCs w:val="false"/>
                <w:color w:val="1A0F1A"/>
                <w:sz w:val="18"/>
                <w:szCs w:val="18"/>
              </w:rPr>
              <w:t xml:space="preserve">Improvement justified with numbers</w:t>
            </w:r>
          </w:p>
        </w:tc>
        <w:tc>
          <w:tcPr>
            <w:tcW w:type="dxa" w:w="5506"/>
            <w:shd w:fill="FFFFFF" w:val="clear"/>
            <w:tcMar>
              <w:top w:type="dxa" w:w="70"/>
              <w:left w:type="dxa" w:w="110"/>
              <w:bottom w:type="dxa" w:w="70"/>
              <w:right w:type="dxa" w:w="110"/>
            </w:tcMar>
          </w:tcPr>
          <w:p>
            <w:r>
              <w:rPr>
                <w:rFonts w:ascii="Calibri" w:cs="Calibri" w:eastAsia="Calibri" w:hAnsi="Calibri"/>
                <w:b w:val="false"/>
                <w:bCs w:val="false"/>
                <w:color w:val="1A0F1A"/>
                <w:sz w:val="18"/>
                <w:szCs w:val="18"/>
              </w:rPr>
              <w:t xml:space="preserve">the report names the change made and how the measurements moved</w:t>
            </w:r>
          </w:p>
        </w:tc>
      </w:tr>
      <w:tr>
        <w:tc>
          <w:tcPr>
            <w:tcW w:type="dxa" w:w="700"/>
            <w:shd w:fill="FFFFFF" w:val="clear"/>
            <w:tcMar>
              <w:top w:type="dxa" w:w="70"/>
              <w:left w:type="dxa" w:w="110"/>
              <w:bottom w:type="dxa" w:w="70"/>
              <w:right w:type="dxa" w:w="110"/>
            </w:tcMar>
          </w:tcPr>
          <w:p>
            <w:r>
              <w:rPr>
                <w:rFonts w:ascii="Calibri" w:cs="Calibri" w:eastAsia="Calibri" w:hAnsi="Calibri"/>
                <w:b/>
                <w:bCs/>
                <w:color w:val="1A0F1A"/>
                <w:sz w:val="18"/>
                <w:szCs w:val="18"/>
              </w:rPr>
              <w:t xml:space="preserve">R4</w:t>
            </w:r>
          </w:p>
        </w:tc>
        <w:tc>
          <w:tcPr>
            <w:tcW w:type="dxa" w:w="3500"/>
            <w:shd w:fill="FFFFFF" w:val="clear"/>
            <w:tcMar>
              <w:top w:type="dxa" w:w="70"/>
              <w:left w:type="dxa" w:w="110"/>
              <w:bottom w:type="dxa" w:w="70"/>
              <w:right w:type="dxa" w:w="110"/>
            </w:tcMar>
          </w:tcPr>
          <w:p>
            <w:r>
              <w:rPr>
                <w:rFonts w:ascii="Calibri" w:cs="Calibri" w:eastAsia="Calibri" w:hAnsi="Calibri"/>
                <w:b w:val="false"/>
                <w:bCs w:val="false"/>
                <w:color w:val="1A0F1A"/>
                <w:sz w:val="18"/>
                <w:szCs w:val="18"/>
              </w:rPr>
              <w:t xml:space="preserve">The data used to build and the data used to measure are kept apart</w:t>
            </w:r>
          </w:p>
        </w:tc>
        <w:tc>
          <w:tcPr>
            <w:tcW w:type="dxa" w:w="5506"/>
            <w:shd w:fill="FFFFFF" w:val="clear"/>
            <w:tcMar>
              <w:top w:type="dxa" w:w="70"/>
              <w:left w:type="dxa" w:w="110"/>
              <w:bottom w:type="dxa" w:w="70"/>
              <w:right w:type="dxa" w:w="110"/>
            </w:tcMar>
          </w:tcPr>
          <w:p>
            <w:r>
              <w:rPr>
                <w:rFonts w:ascii="Calibri" w:cs="Calibri" w:eastAsia="Calibri" w:hAnsi="Calibri"/>
                <w:b w:val="false"/>
                <w:bCs w:val="false"/>
                <w:color w:val="1A0F1A"/>
                <w:sz w:val="18"/>
                <w:szCs w:val="18"/>
              </w:rPr>
              <w:t xml:space="preserve">what the work is fitted or filtered on is not what the result is measured on</w:t>
            </w:r>
          </w:p>
        </w:tc>
      </w:tr>
      <w:tr>
        <w:tc>
          <w:tcPr>
            <w:tcW w:type="dxa" w:w="700"/>
            <w:shd w:fill="FFFFFF" w:val="clear"/>
            <w:tcMar>
              <w:top w:type="dxa" w:w="70"/>
              <w:left w:type="dxa" w:w="110"/>
              <w:bottom w:type="dxa" w:w="70"/>
              <w:right w:type="dxa" w:w="110"/>
            </w:tcMar>
          </w:tcPr>
          <w:p>
            <w:r>
              <w:rPr>
                <w:rFonts w:ascii="Calibri" w:cs="Calibri" w:eastAsia="Calibri" w:hAnsi="Calibri"/>
                <w:b/>
                <w:bCs/>
                <w:color w:val="1A0F1A"/>
                <w:sz w:val="18"/>
                <w:szCs w:val="18"/>
              </w:rPr>
              <w:t xml:space="preserve">R5</w:t>
            </w:r>
          </w:p>
        </w:tc>
        <w:tc>
          <w:tcPr>
            <w:tcW w:type="dxa" w:w="3500"/>
            <w:shd w:fill="FFFFFF" w:val="clear"/>
            <w:tcMar>
              <w:top w:type="dxa" w:w="70"/>
              <w:left w:type="dxa" w:w="110"/>
              <w:bottom w:type="dxa" w:w="70"/>
              <w:right w:type="dxa" w:w="110"/>
            </w:tcMar>
          </w:tcPr>
          <w:p>
            <w:r>
              <w:rPr>
                <w:rFonts w:ascii="Calibri" w:cs="Calibri" w:eastAsia="Calibri" w:hAnsi="Calibri"/>
                <w:b w:val="false"/>
                <w:bCs w:val="false"/>
                <w:color w:val="1A0F1A"/>
                <w:sz w:val="18"/>
                <w:szCs w:val="18"/>
              </w:rPr>
              <w:t xml:space="preserve">Metric appropriate to the problem, justified</w:t>
            </w:r>
          </w:p>
        </w:tc>
        <w:tc>
          <w:tcPr>
            <w:tcW w:type="dxa" w:w="5506"/>
            <w:shd w:fill="FFFFFF" w:val="clear"/>
            <w:tcMar>
              <w:top w:type="dxa" w:w="70"/>
              <w:left w:type="dxa" w:w="110"/>
              <w:bottom w:type="dxa" w:w="70"/>
              <w:right w:type="dxa" w:w="110"/>
            </w:tcMar>
          </w:tcPr>
          <w:p>
            <w:r>
              <w:rPr>
                <w:rFonts w:ascii="Calibri" w:cs="Calibri" w:eastAsia="Calibri" w:hAnsi="Calibri"/>
                <w:b w:val="false"/>
                <w:bCs w:val="false"/>
                <w:color w:val="1A0F1A"/>
                <w:sz w:val="18"/>
                <w:szCs w:val="18"/>
              </w:rPr>
              <w:t xml:space="preserve">the report explains why the chosen metric fits this problem</w:t>
            </w:r>
          </w:p>
        </w:tc>
      </w:tr>
      <w:tr>
        <w:tc>
          <w:tcPr>
            <w:tcW w:type="dxa" w:w="700"/>
            <w:shd w:fill="FFFFFF" w:val="clear"/>
            <w:tcMar>
              <w:top w:type="dxa" w:w="70"/>
              <w:left w:type="dxa" w:w="110"/>
              <w:bottom w:type="dxa" w:w="70"/>
              <w:right w:type="dxa" w:w="110"/>
            </w:tcMar>
          </w:tcPr>
          <w:p>
            <w:r>
              <w:rPr>
                <w:rFonts w:ascii="Calibri" w:cs="Calibri" w:eastAsia="Calibri" w:hAnsi="Calibri"/>
                <w:b/>
                <w:bCs/>
                <w:color w:val="1A0F1A"/>
                <w:sz w:val="18"/>
                <w:szCs w:val="18"/>
              </w:rPr>
              <w:t xml:space="preserve">R6</w:t>
            </w:r>
          </w:p>
        </w:tc>
        <w:tc>
          <w:tcPr>
            <w:tcW w:type="dxa" w:w="3500"/>
            <w:shd w:fill="FFFFFF" w:val="clear"/>
            <w:tcMar>
              <w:top w:type="dxa" w:w="70"/>
              <w:left w:type="dxa" w:w="110"/>
              <w:bottom w:type="dxa" w:w="70"/>
              <w:right w:type="dxa" w:w="110"/>
            </w:tcMar>
          </w:tcPr>
          <w:p>
            <w:r>
              <w:rPr>
                <w:rFonts w:ascii="Calibri" w:cs="Calibri" w:eastAsia="Calibri" w:hAnsi="Calibri"/>
                <w:b w:val="false"/>
                <w:bCs w:val="false"/>
                <w:color w:val="1A0F1A"/>
                <w:sz w:val="18"/>
                <w:szCs w:val="18"/>
              </w:rPr>
              <w:t xml:space="preserve">Numerical results present and coherent</w:t>
            </w:r>
          </w:p>
        </w:tc>
        <w:tc>
          <w:tcPr>
            <w:tcW w:type="dxa" w:w="5506"/>
            <w:shd w:fill="FFFFFF" w:val="clear"/>
            <w:tcMar>
              <w:top w:type="dxa" w:w="70"/>
              <w:left w:type="dxa" w:w="110"/>
              <w:bottom w:type="dxa" w:w="70"/>
              <w:right w:type="dxa" w:w="110"/>
            </w:tcMar>
          </w:tcPr>
          <w:p>
            <w:r>
              <w:rPr>
                <w:rFonts w:ascii="Calibri" w:cs="Calibri" w:eastAsia="Calibri" w:hAnsi="Calibri"/>
                <w:b w:val="false"/>
                <w:bCs w:val="false"/>
                <w:color w:val="1A0F1A"/>
                <w:sz w:val="18"/>
                <w:szCs w:val="18"/>
              </w:rPr>
              <w:t xml:space="preserve">the values in the report match execution.txt</w:t>
            </w:r>
          </w:p>
        </w:tc>
      </w:tr>
      <w:tr>
        <w:tc>
          <w:tcPr>
            <w:tcW w:type="dxa" w:w="700"/>
            <w:shd w:fill="FFFFFF" w:val="clear"/>
            <w:tcMar>
              <w:top w:type="dxa" w:w="70"/>
              <w:left w:type="dxa" w:w="110"/>
              <w:bottom w:type="dxa" w:w="70"/>
              <w:right w:type="dxa" w:w="110"/>
            </w:tcMar>
          </w:tcPr>
          <w:p>
            <w:r>
              <w:rPr>
                <w:rFonts w:ascii="Calibri" w:cs="Calibri" w:eastAsia="Calibri" w:hAnsi="Calibri"/>
                <w:b/>
                <w:bCs/>
                <w:color w:val="1A0F1A"/>
                <w:sz w:val="18"/>
                <w:szCs w:val="18"/>
              </w:rPr>
              <w:t xml:space="preserve">R7</w:t>
            </w:r>
          </w:p>
        </w:tc>
        <w:tc>
          <w:tcPr>
            <w:tcW w:type="dxa" w:w="3500"/>
            <w:shd w:fill="FFFFFF" w:val="clear"/>
            <w:tcMar>
              <w:top w:type="dxa" w:w="70"/>
              <w:left w:type="dxa" w:w="110"/>
              <w:bottom w:type="dxa" w:w="70"/>
              <w:right w:type="dxa" w:w="110"/>
            </w:tcMar>
          </w:tcPr>
          <w:p>
            <w:r>
              <w:rPr>
                <w:rFonts w:ascii="Calibri" w:cs="Calibri" w:eastAsia="Calibri" w:hAnsi="Calibri"/>
                <w:b w:val="false"/>
                <w:bCs w:val="false"/>
                <w:color w:val="1A0F1A"/>
                <w:sz w:val="18"/>
                <w:szCs w:val="18"/>
              </w:rPr>
              <w:t xml:space="preserve">Execution trace included</w:t>
            </w:r>
          </w:p>
        </w:tc>
        <w:tc>
          <w:tcPr>
            <w:tcW w:type="dxa" w:w="5506"/>
            <w:shd w:fill="FFFFFF" w:val="clear"/>
            <w:tcMar>
              <w:top w:type="dxa" w:w="70"/>
              <w:left w:type="dxa" w:w="110"/>
              <w:bottom w:type="dxa" w:w="70"/>
              <w:right w:type="dxa" w:w="110"/>
            </w:tcMar>
          </w:tcPr>
          <w:p>
            <w:r>
              <w:rPr>
                <w:rFonts w:ascii="Calibri" w:cs="Calibri" w:eastAsia="Calibri" w:hAnsi="Calibri"/>
                <w:b w:val="false"/>
                <w:bCs w:val="false"/>
                <w:color w:val="1A0F1A"/>
                <w:sz w:val="18"/>
                <w:szCs w:val="18"/>
              </w:rPr>
              <w:t xml:space="preserve">execution.txt is present and shows the run that produced the reported values</w:t>
            </w:r>
          </w:p>
        </w:tc>
      </w:tr>
      <w:tr>
        <w:tc>
          <w:tcPr>
            <w:tcW w:type="dxa" w:w="700"/>
            <w:shd w:fill="FFFFFF" w:val="clear"/>
            <w:tcMar>
              <w:top w:type="dxa" w:w="70"/>
              <w:left w:type="dxa" w:w="110"/>
              <w:bottom w:type="dxa" w:w="70"/>
              <w:right w:type="dxa" w:w="110"/>
            </w:tcMar>
          </w:tcPr>
          <w:p>
            <w:r>
              <w:rPr>
                <w:rFonts w:ascii="Calibri" w:cs="Calibri" w:eastAsia="Calibri" w:hAnsi="Calibri"/>
                <w:b/>
                <w:bCs/>
                <w:color w:val="1A0F1A"/>
                <w:sz w:val="18"/>
                <w:szCs w:val="18"/>
              </w:rPr>
              <w:t xml:space="preserve">R8</w:t>
            </w:r>
          </w:p>
        </w:tc>
        <w:tc>
          <w:tcPr>
            <w:tcW w:type="dxa" w:w="3500"/>
            <w:shd w:fill="FFFFFF" w:val="clear"/>
            <w:tcMar>
              <w:top w:type="dxa" w:w="70"/>
              <w:left w:type="dxa" w:w="110"/>
              <w:bottom w:type="dxa" w:w="70"/>
              <w:right w:type="dxa" w:w="110"/>
            </w:tcMar>
          </w:tcPr>
          <w:p>
            <w:r>
              <w:rPr>
                <w:rFonts w:ascii="Calibri" w:cs="Calibri" w:eastAsia="Calibri" w:hAnsi="Calibri"/>
                <w:b w:val="false"/>
                <w:bCs w:val="false"/>
                <w:color w:val="1A0F1A"/>
                <w:sz w:val="18"/>
                <w:szCs w:val="18"/>
              </w:rPr>
              <w:t xml:space="preserve">Reproducibility</w:t>
            </w:r>
          </w:p>
        </w:tc>
        <w:tc>
          <w:tcPr>
            <w:tcW w:type="dxa" w:w="5506"/>
            <w:shd w:fill="FFFFFF" w:val="clear"/>
            <w:tcMar>
              <w:top w:type="dxa" w:w="70"/>
              <w:left w:type="dxa" w:w="110"/>
              <w:bottom w:type="dxa" w:w="70"/>
              <w:right w:type="dxa" w:w="110"/>
            </w:tcMar>
          </w:tcPr>
          <w:p>
            <w:r>
              <w:rPr>
                <w:rFonts w:ascii="Calibri" w:cs="Calibri" w:eastAsia="Calibri" w:hAnsi="Calibri"/>
                <w:b w:val="false"/>
                <w:bCs w:val="false"/>
                <w:color w:val="1A0F1A"/>
                <w:sz w:val="18"/>
                <w:szCs w:val="18"/>
              </w:rPr>
              <w:t xml:space="preserve">another person running the code with the same files obtains the same numbers</w:t>
            </w:r>
          </w:p>
        </w:tc>
      </w:tr>
      <w:tr>
        <w:tc>
          <w:tcPr>
            <w:tcW w:type="dxa" w:w="700"/>
            <w:shd w:fill="FFFFFF" w:val="clear"/>
            <w:tcMar>
              <w:top w:type="dxa" w:w="70"/>
              <w:left w:type="dxa" w:w="110"/>
              <w:bottom w:type="dxa" w:w="70"/>
              <w:right w:type="dxa" w:w="110"/>
            </w:tcMar>
          </w:tcPr>
          <w:p>
            <w:r>
              <w:rPr>
                <w:rFonts w:ascii="Calibri" w:cs="Calibri" w:eastAsia="Calibri" w:hAnsi="Calibri"/>
                <w:b/>
                <w:bCs/>
                <w:color w:val="1A0F1A"/>
                <w:sz w:val="18"/>
                <w:szCs w:val="18"/>
              </w:rPr>
              <w:t xml:space="preserve">R9</w:t>
            </w:r>
          </w:p>
        </w:tc>
        <w:tc>
          <w:tcPr>
            <w:tcW w:type="dxa" w:w="3500"/>
            <w:shd w:fill="FFFFFF" w:val="clear"/>
            <w:tcMar>
              <w:top w:type="dxa" w:w="70"/>
              <w:left w:type="dxa" w:w="110"/>
              <w:bottom w:type="dxa" w:w="70"/>
              <w:right w:type="dxa" w:w="110"/>
            </w:tcMar>
          </w:tcPr>
          <w:p>
            <w:r>
              <w:rPr>
                <w:rFonts w:ascii="Calibri" w:cs="Calibri" w:eastAsia="Calibri" w:hAnsi="Calibri"/>
                <w:b w:val="false"/>
                <w:bCs w:val="false"/>
                <w:color w:val="1A0F1A"/>
                <w:sz w:val="18"/>
                <w:szCs w:val="18"/>
              </w:rPr>
              <w:t xml:space="preserve">Basic code quality</w:t>
            </w:r>
          </w:p>
        </w:tc>
        <w:tc>
          <w:tcPr>
            <w:tcW w:type="dxa" w:w="5506"/>
            <w:shd w:fill="FFFFFF" w:val="clear"/>
            <w:tcMar>
              <w:top w:type="dxa" w:w="70"/>
              <w:left w:type="dxa" w:w="110"/>
              <w:bottom w:type="dxa" w:w="70"/>
              <w:right w:type="dxa" w:w="110"/>
            </w:tcMar>
          </w:tcPr>
          <w:p>
            <w:r>
              <w:rPr>
                <w:rFonts w:ascii="Calibri" w:cs="Calibri" w:eastAsia="Calibri" w:hAnsi="Calibri"/>
                <w:b w:val="false"/>
                <w:bCs w:val="false"/>
                <w:color w:val="1A0F1A"/>
                <w:sz w:val="18"/>
                <w:szCs w:val="18"/>
              </w:rPr>
              <w:t xml:space="preserve">descriptive variable names, no dead code, reasonable structure</w:t>
            </w:r>
          </w:p>
        </w:tc>
      </w:tr>
      <w:tr>
        <w:tc>
          <w:tcPr>
            <w:tcW w:type="dxa" w:w="700"/>
            <w:shd w:fill="FFFFFF" w:val="clear"/>
            <w:tcMar>
              <w:top w:type="dxa" w:w="70"/>
              <w:left w:type="dxa" w:w="110"/>
              <w:bottom w:type="dxa" w:w="70"/>
              <w:right w:type="dxa" w:w="110"/>
            </w:tcMar>
          </w:tcPr>
          <w:p>
            <w:r>
              <w:rPr>
                <w:rFonts w:ascii="Calibri" w:cs="Calibri" w:eastAsia="Calibri" w:hAnsi="Calibri"/>
                <w:b/>
                <w:bCs/>
                <w:color w:val="1A0F1A"/>
                <w:sz w:val="18"/>
                <w:szCs w:val="18"/>
              </w:rPr>
              <w:t xml:space="preserve">R10</w:t>
            </w:r>
          </w:p>
        </w:tc>
        <w:tc>
          <w:tcPr>
            <w:tcW w:type="dxa" w:w="3500"/>
            <w:shd w:fill="FFFFFF" w:val="clear"/>
            <w:tcMar>
              <w:top w:type="dxa" w:w="70"/>
              <w:left w:type="dxa" w:w="110"/>
              <w:bottom w:type="dxa" w:w="70"/>
              <w:right w:type="dxa" w:w="110"/>
            </w:tcMar>
          </w:tcPr>
          <w:p>
            <w:r>
              <w:rPr>
                <w:rFonts w:ascii="Calibri" w:cs="Calibri" w:eastAsia="Calibri" w:hAnsi="Calibri"/>
                <w:b w:val="false"/>
                <w:bCs w:val="false"/>
                <w:color w:val="1A0F1A"/>
                <w:sz w:val="18"/>
                <w:szCs w:val="18"/>
              </w:rPr>
              <w:t xml:space="preserve">Report complete and coherent with the code</w:t>
            </w:r>
          </w:p>
        </w:tc>
        <w:tc>
          <w:tcPr>
            <w:tcW w:type="dxa" w:w="5506"/>
            <w:shd w:fill="FFFFFF" w:val="clear"/>
            <w:tcMar>
              <w:top w:type="dxa" w:w="70"/>
              <w:left w:type="dxa" w:w="110"/>
              <w:bottom w:type="dxa" w:w="70"/>
              <w:right w:type="dxa" w:w="110"/>
            </w:tcMar>
          </w:tcPr>
          <w:p>
            <w:r>
              <w:rPr>
                <w:rFonts w:ascii="Calibri" w:cs="Calibri" w:eastAsia="Calibri" w:hAnsi="Calibri"/>
                <w:b w:val="false"/>
                <w:bCs w:val="false"/>
                <w:color w:val="1A0F1A"/>
                <w:sz w:val="18"/>
                <w:szCs w:val="18"/>
              </w:rPr>
              <w:t xml:space="preserve">every required section is filled in and agrees with the code</w:t>
            </w:r>
          </w:p>
        </w:tc>
      </w:tr>
    </w:tbl>
    <w:p>
      <w:pPr>
        <w:spacing w:after="110" w:before="280"/>
      </w:pPr>
      <w:r>
        <w:rPr>
          <w:rFonts w:ascii="Cambria" w:cs="Cambria" w:eastAsia="Cambria" w:hAnsi="Cambria"/>
          <w:b/>
          <w:bCs/>
          <w:color w:val="4A1942"/>
          <w:sz w:val="24"/>
          <w:szCs w:val="24"/>
        </w:rPr>
        <w:t xml:space="preserve">4. Optional mini-projects</w:t>
      </w:r>
    </w:p>
    <w:p>
      <w:pPr>
        <w:spacing w:after="100"/>
        <w:jc w:val="both"/>
      </w:pPr>
      <w:r>
        <w:rPr>
          <w:rFonts w:ascii="Calibri" w:cs="Calibri" w:eastAsia="Calibri" w:hAnsi="Calibri"/>
          <w:color w:val="1A0F1A"/>
          <w:sz w:val="21"/>
          <w:szCs w:val="21"/>
        </w:rPr>
        <w:t xml:space="preserve">Up to three optional mini-projects are offered during the term. Each one is worth 0.3 points on the scale of 10 of the practical work block, plus 0.1 points for the overall quality of the set if all three are submitted. They extend the topics of the compulsory practices and are described in separate handouts.</w:t>
      </w:r>
    </w:p>
    <w:p>
      <w:pPr>
        <w:spacing w:after="110" w:before="280"/>
      </w:pPr>
      <w:r>
        <w:rPr>
          <w:rFonts w:ascii="Cambria" w:cs="Cambria" w:eastAsia="Cambria" w:hAnsi="Cambria"/>
          <w:b/>
          <w:bCs/>
          <w:color w:val="4A1942"/>
          <w:sz w:val="24"/>
          <w:szCs w:val="24"/>
        </w:rPr>
        <w:t xml:space="preserve">5. Feedback and review</w:t>
      </w:r>
    </w:p>
    <w:p>
      <w:pPr>
        <w:spacing w:after="100"/>
        <w:jc w:val="both"/>
      </w:pPr>
      <w:r>
        <w:rPr>
          <w:rFonts w:ascii="Calibri" w:cs="Calibri" w:eastAsia="Calibri" w:hAnsi="Calibri"/>
          <w:color w:val="1A0F1A"/>
          <w:sz w:val="21"/>
          <w:szCs w:val="21"/>
        </w:rPr>
        <w:t xml:space="preserve">After each practice is assessed, every student receives a short note on the virtual campus with the marks obtained for each criterion and a brief comment. A face-to-face review can be requested following the official procedure of the school.</w:t>
      </w:r>
    </w:p>
    <w:p>
      <w:pPr>
        <w:spacing w:after="110" w:before="280"/>
      </w:pPr>
      <w:r>
        <w:rPr>
          <w:rFonts w:ascii="Cambria" w:cs="Cambria" w:eastAsia="Cambria" w:hAnsi="Cambria"/>
          <w:b/>
          <w:bCs/>
          <w:color w:val="4A1942"/>
          <w:sz w:val="24"/>
          <w:szCs w:val="24"/>
        </w:rPr>
        <w:t xml:space="preserve">6. Honesty and original work</w:t>
      </w:r>
    </w:p>
    <w:p>
      <w:pPr>
        <w:spacing w:after="100"/>
        <w:jc w:val="both"/>
      </w:pPr>
      <w:r>
        <w:rPr>
          <w:rFonts w:ascii="Calibri" w:cs="Calibri" w:eastAsia="Calibri" w:hAnsi="Calibri"/>
          <w:color w:val="1A0F1A"/>
          <w:sz w:val="21"/>
          <w:szCs w:val="21"/>
        </w:rPr>
        <w:t xml:space="preserve">Submitted work must be the student's own. Any line of code or paragraph of the report must be explained and defended in class if requested. Plagiarism between students results in a fail of the practice for everyone involved, following the general regulation.</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2026-08-06T22:22:54.811Z</dcterms:created>
  <dcterms:modified xsi:type="dcterms:W3CDTF">2026-08-06T22:22:54.811Z</dcterms:modified>
</cp:coreProperties>
</file>

<file path=docProps/custom.xml><?xml version="1.0" encoding="utf-8"?>
<Properties xmlns="http://schemas.openxmlformats.org/officeDocument/2006/custom-properties" xmlns:vt="http://schemas.openxmlformats.org/officeDocument/2006/docPropsVTypes"/>
</file>