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30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Proyecto 2 — Análisis Exploratorio</w:t>
      </w:r>
    </w:p>
    <w:p>
      <w:pPr>
        <w:pStyle w:val="Subtitle"/>
      </w:pPr>
      <w:r>
        <w:t xml:space="preserve">A Step Ahead of Drought: Forecasting Global Water Storage Challenge by ITU</w:t>
      </w:r>
    </w:p>
    <w:p>
      <w:pPr>
        <w:pStyle w:val="Author"/>
      </w:pPr>
      <w:r>
        <w:t xml:space="preserve">CC3084 — Data Science · Universidad del Valle de Guatemala · Semestre II 2026</w:t>
      </w:r>
    </w:p>
    <w:p>
      <w:pPr>
        <w:pStyle w:val="FirstParagraph"/>
      </w:pPr>
      <w:r>
        <w:rPr>
          <w:b/>
          <w:bCs/>
        </w:rPr>
        <w:t xml:space="preserve">Integrantes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Carné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Repositorio:</w:t>
      </w:r>
      <w:r>
        <w:t xml:space="preserve"> </w:t>
      </w:r>
      <w:hyperlink r:id="rId9">
        <w:r>
          <w:rPr>
            <w:rStyle w:val="Hyperlink"/>
          </w:rPr>
          <w:t xml:space="preserve">https://github.com/Javiervalladares1/CC3084-Proyecto2-Drought-EDA</w:t>
        </w:r>
      </w:hyperlink>
    </w:p>
    <w:p>
      <w:r>
        <w:br w:type="page"/>
      </w:r>
    </w:p>
    <w:bookmarkStart w:id="10" w:name="contenido"/>
    <w:p>
      <w:pPr>
        <w:pStyle w:val="Heading2"/>
      </w:pPr>
      <w:r>
        <w:t xml:space="preserve">Contenido</w:t>
      </w:r>
    </w:p>
    <w:p>
      <w:pPr>
        <w:pStyle w:val="Compact"/>
        <w:numPr>
          <w:ilvl w:val="0"/>
          <w:numId w:val="1001"/>
        </w:numPr>
      </w:pPr>
      <w:r>
        <w:t xml:space="preserve">Introducción</w:t>
      </w:r>
    </w:p>
    <w:p>
      <w:pPr>
        <w:pStyle w:val="Compact"/>
        <w:numPr>
          <w:ilvl w:val="0"/>
          <w:numId w:val="1001"/>
        </w:numPr>
      </w:pPr>
      <w:r>
        <w:t xml:space="preserve">Situación problemática</w:t>
      </w:r>
    </w:p>
    <w:p>
      <w:pPr>
        <w:pStyle w:val="Compact"/>
        <w:numPr>
          <w:ilvl w:val="0"/>
          <w:numId w:val="1001"/>
        </w:numPr>
      </w:pPr>
      <w:r>
        <w:t xml:space="preserve">Problema científico</w:t>
      </w:r>
    </w:p>
    <w:p>
      <w:pPr>
        <w:pStyle w:val="Compact"/>
        <w:numPr>
          <w:ilvl w:val="0"/>
          <w:numId w:val="1001"/>
        </w:numPr>
      </w:pPr>
      <w:r>
        <w:t xml:space="preserve">Objetivos</w:t>
      </w:r>
    </w:p>
    <w:p>
      <w:pPr>
        <w:pStyle w:val="Compact"/>
        <w:numPr>
          <w:ilvl w:val="1"/>
          <w:numId w:val="1002"/>
        </w:numPr>
      </w:pPr>
      <w:r>
        <w:t xml:space="preserve">4.1 Objetivo general</w:t>
      </w:r>
    </w:p>
    <w:p>
      <w:pPr>
        <w:pStyle w:val="Compact"/>
        <w:numPr>
          <w:ilvl w:val="1"/>
          <w:numId w:val="1002"/>
        </w:numPr>
      </w:pPr>
      <w:r>
        <w:t xml:space="preserve">4.2 Objetivos específicos</w:t>
      </w:r>
    </w:p>
    <w:p>
      <w:pPr>
        <w:pStyle w:val="Compact"/>
        <w:numPr>
          <w:ilvl w:val="0"/>
          <w:numId w:val="1001"/>
        </w:numPr>
      </w:pPr>
      <w:r>
        <w:t xml:space="preserve">Contexto e investigación previa</w:t>
      </w:r>
    </w:p>
    <w:p>
      <w:pPr>
        <w:pStyle w:val="Compact"/>
        <w:numPr>
          <w:ilvl w:val="1"/>
          <w:numId w:val="1003"/>
        </w:numPr>
      </w:pPr>
      <w:r>
        <w:t xml:space="preserve">5.1 Qué es el Total Water Storage</w:t>
      </w:r>
    </w:p>
    <w:p>
      <w:pPr>
        <w:pStyle w:val="Compact"/>
        <w:numPr>
          <w:ilvl w:val="1"/>
          <w:numId w:val="1003"/>
        </w:numPr>
      </w:pPr>
      <w:r>
        <w:t xml:space="preserve">5.2 El SPEI</w:t>
      </w:r>
    </w:p>
    <w:p>
      <w:pPr>
        <w:pStyle w:val="Compact"/>
        <w:numPr>
          <w:ilvl w:val="0"/>
          <w:numId w:val="1001"/>
        </w:numPr>
      </w:pPr>
      <w:r>
        <w:t xml:space="preserve">Descripción de los datos</w:t>
      </w:r>
    </w:p>
    <w:p>
      <w:pPr>
        <w:pStyle w:val="Compact"/>
        <w:numPr>
          <w:ilvl w:val="1"/>
          <w:numId w:val="1004"/>
        </w:numPr>
      </w:pPr>
      <w:r>
        <w:t xml:space="preserve">6.1 Variables</w:t>
      </w:r>
    </w:p>
    <w:p>
      <w:pPr>
        <w:pStyle w:val="Compact"/>
        <w:numPr>
          <w:ilvl w:val="1"/>
          <w:numId w:val="1004"/>
        </w:numPr>
      </w:pPr>
      <w:r>
        <w:t xml:space="preserve">6.2 Verificación de la variable objetivo</w:t>
      </w:r>
    </w:p>
    <w:p>
      <w:pPr>
        <w:pStyle w:val="Compact"/>
        <w:numPr>
          <w:ilvl w:val="0"/>
          <w:numId w:val="1001"/>
        </w:numPr>
      </w:pPr>
      <w:r>
        <w:t xml:space="preserve">Limpieza y preprocesamiento</w:t>
      </w:r>
    </w:p>
    <w:p>
      <w:pPr>
        <w:pStyle w:val="Compact"/>
        <w:numPr>
          <w:ilvl w:val="0"/>
          <w:numId w:val="1001"/>
        </w:numPr>
      </w:pPr>
      <w:r>
        <w:t xml:space="preserve">Análisis exploratorio</w:t>
      </w:r>
    </w:p>
    <w:p>
      <w:pPr>
        <w:pStyle w:val="Compact"/>
        <w:numPr>
          <w:ilvl w:val="1"/>
          <w:numId w:val="1005"/>
        </w:numPr>
      </w:pPr>
      <w:r>
        <w:t xml:space="preserve">8.1 Los faltantes están en el calendario, no en las celdas</w:t>
      </w:r>
    </w:p>
    <w:p>
      <w:pPr>
        <w:pStyle w:val="Compact"/>
        <w:numPr>
          <w:ilvl w:val="1"/>
          <w:numId w:val="1005"/>
        </w:numPr>
      </w:pPr>
      <w:r>
        <w:t xml:space="preserve">8.2 Distribuciones y estadística descriptiva</w:t>
      </w:r>
    </w:p>
    <w:p>
      <w:pPr>
        <w:pStyle w:val="Compact"/>
        <w:numPr>
          <w:ilvl w:val="1"/>
          <w:numId w:val="1005"/>
        </w:numPr>
      </w:pPr>
      <w:r>
        <w:t xml:space="preserve">8.3 Valores atípicos</w:t>
      </w:r>
    </w:p>
    <w:p>
      <w:pPr>
        <w:pStyle w:val="Compact"/>
        <w:numPr>
          <w:ilvl w:val="1"/>
          <w:numId w:val="1005"/>
        </w:numPr>
      </w:pPr>
      <w:r>
        <w:t xml:space="preserve">8.4 Comportamiento temporal y estacionalidad</w:t>
      </w:r>
    </w:p>
    <w:p>
      <w:pPr>
        <w:pStyle w:val="Compact"/>
        <w:numPr>
          <w:ilvl w:val="1"/>
          <w:numId w:val="1005"/>
        </w:numPr>
      </w:pPr>
      <w:r>
        <w:t xml:space="preserve">8.5 Análisis espacial</w:t>
      </w:r>
    </w:p>
    <w:p>
      <w:pPr>
        <w:pStyle w:val="Compact"/>
        <w:numPr>
          <w:ilvl w:val="1"/>
          <w:numId w:val="1005"/>
        </w:numPr>
      </w:pPr>
      <w:r>
        <w:t xml:space="preserve">8.6 Correlaciones</w:t>
      </w:r>
    </w:p>
    <w:p>
      <w:pPr>
        <w:pStyle w:val="Compact"/>
        <w:numPr>
          <w:ilvl w:val="1"/>
          <w:numId w:val="1005"/>
        </w:numPr>
      </w:pPr>
      <w:r>
        <w:t xml:space="preserve">8.7 Categorías de sequía</w:t>
      </w:r>
    </w:p>
    <w:p>
      <w:pPr>
        <w:pStyle w:val="Compact"/>
        <w:numPr>
          <w:ilvl w:val="0"/>
          <w:numId w:val="1001"/>
        </w:numPr>
      </w:pPr>
      <w:r>
        <w:t xml:space="preserve">Hallazgos</w:t>
      </w:r>
    </w:p>
    <w:p>
      <w:pPr>
        <w:pStyle w:val="Compact"/>
        <w:numPr>
          <w:ilvl w:val="0"/>
          <w:numId w:val="1001"/>
        </w:numPr>
      </w:pPr>
      <w:r>
        <w:t xml:space="preserve">Conclusiones</w:t>
      </w:r>
    </w:p>
    <w:p>
      <w:pPr>
        <w:pStyle w:val="Compact"/>
        <w:numPr>
          <w:ilvl w:val="0"/>
          <w:numId w:val="1001"/>
        </w:numPr>
      </w:pPr>
      <w:r>
        <w:t xml:space="preserve">Próximos pasos</w:t>
      </w:r>
    </w:p>
    <w:p>
      <w:pPr>
        <w:pStyle w:val="Compact"/>
        <w:numPr>
          <w:ilvl w:val="0"/>
          <w:numId w:val="1001"/>
        </w:numPr>
      </w:pPr>
      <w:r>
        <w:t xml:space="preserve">Referencias</w:t>
      </w:r>
    </w:p>
    <w:p>
      <w:r>
        <w:br w:type="page"/>
      </w:r>
    </w:p>
    <w:bookmarkEnd w:id="10"/>
    <w:bookmarkStart w:id="11" w:name="introducción"/>
    <w:p>
      <w:pPr>
        <w:pStyle w:val="Heading1"/>
      </w:pPr>
      <w:r>
        <w:t xml:space="preserve">1. Introducción</w:t>
      </w:r>
    </w:p>
    <w:p>
      <w:pPr>
        <w:pStyle w:val="FirstParagraph"/>
      </w:pPr>
      <w:r>
        <w:t xml:space="preserve">Este informe presenta el análisis exploratorio de datos del reto</w:t>
      </w:r>
      <w:r>
        <w:t xml:space="preserve"> </w:t>
      </w:r>
      <w:r>
        <w:rPr>
          <w:i/>
          <w:iCs/>
        </w:rPr>
        <w:t xml:space="preserve">A Step Ahead of</w:t>
      </w:r>
      <w:r>
        <w:rPr>
          <w:i/>
          <w:iCs/>
        </w:rPr>
        <w:t xml:space="preserve"> </w:t>
      </w:r>
      <w:r>
        <w:rPr>
          <w:i/>
          <w:iCs/>
        </w:rPr>
        <w:t xml:space="preserve">Drought: Forecasting Global Water Storage Challenge</w:t>
      </w:r>
      <w:r>
        <w:t xml:space="preserve">, organizado por la</w:t>
      </w:r>
      <w:r>
        <w:t xml:space="preserve"> </w:t>
      </w:r>
      <w:r>
        <w:t xml:space="preserve">International Telecommunication Union (ITU) junto con agencias del Sistema de</w:t>
      </w:r>
      <w:r>
        <w:t xml:space="preserve"> </w:t>
      </w:r>
      <w:r>
        <w:t xml:space="preserve">Naciones Unidas y alojado en la plataforma Zindi. El reto pertenece a la</w:t>
      </w:r>
      <w:r>
        <w:t xml:space="preserve"> </w:t>
      </w:r>
      <w:r>
        <w:t xml:space="preserve">categoría de</w:t>
      </w:r>
      <w:r>
        <w:t xml:space="preserve"> </w:t>
      </w:r>
      <w:r>
        <w:rPr>
          <w:b/>
          <w:bCs/>
        </w:rPr>
        <w:t xml:space="preserve">series de tiempo con datos satelitales</w:t>
      </w:r>
      <w:r>
        <w:t xml:space="preserve">.</w:t>
      </w:r>
    </w:p>
    <w:p>
      <w:pPr>
        <w:pStyle w:val="BodyText"/>
      </w:pPr>
      <w:r>
        <w:t xml:space="preserve">El objetivo de esta etapa no es construir el modelo de pronóstico, sino</w:t>
      </w:r>
      <w:r>
        <w:t xml:space="preserve"> </w:t>
      </w:r>
      <w:r>
        <w:t xml:space="preserve">comprender el fenómeno estudiado, la estructura del conjunto de datos y los</w:t>
      </w:r>
      <w:r>
        <w:t xml:space="preserve"> </w:t>
      </w:r>
      <w:r>
        <w:t xml:space="preserve">patrones que permitirán, en una fase posterior, plantear un modelo con criterio.</w:t>
      </w:r>
    </w:p>
    <w:p>
      <w:pPr>
        <w:pStyle w:val="BodyText"/>
      </w:pPr>
      <w:r>
        <w:t xml:space="preserve">Todo el análisis es reproducible: el cuaderno</w:t>
      </w:r>
      <w:r>
        <w:t xml:space="preserve"> </w:t>
      </w:r>
      <w:r>
        <w:rPr>
          <w:rStyle w:val="VerbatimChar"/>
        </w:rPr>
        <w:t xml:space="preserve">Proyecto2_Analisis_Exploratorio.ipynb</w:t>
      </w:r>
      <w:r>
        <w:t xml:space="preserve"> </w:t>
      </w:r>
      <w:r>
        <w:t xml:space="preserve">se ejecuta de principio a fin sin errores y genera las tablas y figuras que aquí</w:t>
      </w:r>
      <w:r>
        <w:t xml:space="preserve"> </w:t>
      </w:r>
      <w:r>
        <w:t xml:space="preserve">se citan. El código, el notebook ejecutado y los entregables están versionados en:</w:t>
      </w:r>
    </w:p>
    <w:p>
      <w:pPr>
        <w:pStyle w:val="BlockText"/>
      </w:pPr>
      <w:hyperlink r:id="rId9">
        <w:r>
          <w:rPr>
            <w:rStyle w:val="Hyperlink"/>
            <w:b/>
            <w:bCs/>
          </w:rPr>
          <w:t xml:space="preserve">https://github.com/Javiervalladares1/CC3084-Proyecto2-Drought-EDA</w:t>
        </w:r>
      </w:hyperlink>
    </w:p>
    <w:p>
      <w:pPr>
        <w:pStyle w:val="FirstParagraph"/>
      </w:pPr>
      <w:r>
        <w:t xml:space="preserve">A lo largo del documento se distingue explícitamente entre lo que se observa en</w:t>
      </w:r>
      <w:r>
        <w:t xml:space="preserve"> </w:t>
      </w:r>
      <w:r>
        <w:t xml:space="preserve">los datos y la información tomada de fuentes externas.</w:t>
      </w:r>
    </w:p>
    <w:bookmarkEnd w:id="11"/>
    <w:bookmarkStart w:id="12" w:name="situación-problemática"/>
    <w:p>
      <w:pPr>
        <w:pStyle w:val="Heading1"/>
      </w:pPr>
      <w:r>
        <w:t xml:space="preserve">2. Situación problemática</w:t>
      </w:r>
    </w:p>
    <w:p>
      <w:pPr>
        <w:pStyle w:val="FirstParagraph"/>
      </w:pPr>
      <w:r>
        <w:t xml:space="preserve">El agua dulce disponible no está distribuida de manera uniforme ni es constante</w:t>
      </w:r>
      <w:r>
        <w:t xml:space="preserve"> </w:t>
      </w:r>
      <w:r>
        <w:t xml:space="preserve">en el tiempo. Su disponibilidad depende del balance entre la precipitación</w:t>
      </w:r>
      <w:r>
        <w:t xml:space="preserve"> </w:t>
      </w:r>
      <w:r>
        <w:t xml:space="preserve">recibida y las pérdidas por evapotranspiración y escorrentía, y ese balance se</w:t>
      </w:r>
      <w:r>
        <w:t xml:space="preserve"> </w:t>
      </w:r>
      <w:r>
        <w:t xml:space="preserve">acumula durante meses o años en el suelo, en los cuerpos de agua superficiales y</w:t>
      </w:r>
      <w:r>
        <w:t xml:space="preserve"> </w:t>
      </w:r>
      <w:r>
        <w:t xml:space="preserve">en los acuíferos. Cuando permanece negativo de forma prolongada aparece la</w:t>
      </w:r>
      <w:r>
        <w:t xml:space="preserve"> </w:t>
      </w:r>
      <w:r>
        <w:rPr>
          <w:b/>
          <w:bCs/>
        </w:rPr>
        <w:t xml:space="preserve">sequía hidrológica</w:t>
      </w:r>
      <w:r>
        <w:t xml:space="preserve">: una reducción sostenida del agua efectivamente almacenada</w:t>
      </w:r>
      <w:r>
        <w:t xml:space="preserve"> </w:t>
      </w:r>
      <w:r>
        <w:t xml:space="preserve">en un territorio.</w:t>
      </w:r>
    </w:p>
    <w:p>
      <w:pPr>
        <w:pStyle w:val="BodyText"/>
      </w:pPr>
      <w:r>
        <w:t xml:space="preserve">El problema práctico es que esa reducción no se observa con facilidad. La lluvia</w:t>
      </w:r>
      <w:r>
        <w:t xml:space="preserve"> </w:t>
      </w:r>
      <w:r>
        <w:t xml:space="preserve">se mide bien, pero no describe por sí sola el estado del sistema: una región</w:t>
      </w:r>
      <w:r>
        <w:t xml:space="preserve"> </w:t>
      </w:r>
      <w:r>
        <w:t xml:space="preserve">puede recibir precipitación normal y seguir agotándose si la demanda evaporativa</w:t>
      </w:r>
      <w:r>
        <w:t xml:space="preserve"> </w:t>
      </w:r>
      <w:r>
        <w:t xml:space="preserve">es alta o si la extracción de agua subterránea excede la recarga. Medir</w:t>
      </w:r>
      <w:r>
        <w:t xml:space="preserve"> </w:t>
      </w:r>
      <w:r>
        <w:t xml:space="preserve">directamente el agua almacenada exigiría una red de observación que a escala</w:t>
      </w:r>
      <w:r>
        <w:t xml:space="preserve"> </w:t>
      </w:r>
      <w:r>
        <w:t xml:space="preserve">global no existe con cobertura suficiente.</w:t>
      </w:r>
    </w:p>
    <w:p>
      <w:pPr>
        <w:pStyle w:val="BodyText"/>
      </w:pPr>
      <w:r>
        <w:t xml:space="preserve">Los datos satelitales cambian ese planteamiento. Las misiones</w:t>
      </w:r>
      <w:r>
        <w:t xml:space="preserve"> </w:t>
      </w:r>
      <w:r>
        <w:rPr>
          <w:b/>
          <w:bCs/>
        </w:rPr>
        <w:t xml:space="preserve">GRACE</w:t>
      </w:r>
      <w:r>
        <w:t xml:space="preserve"> </w:t>
      </w:r>
      <w:r>
        <w:t xml:space="preserve">(2002–2017)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GRACE-FO</w:t>
      </w:r>
      <w:r>
        <w:t xml:space="preserve"> </w:t>
      </w:r>
      <w:r>
        <w:t xml:space="preserve">(desde 2018) estiman el almacenamiento total de agua de forma</w:t>
      </w:r>
      <w:r>
        <w:t xml:space="preserve"> </w:t>
      </w:r>
      <w:r>
        <w:t xml:space="preserve">indirecta, midiendo variaciones del campo gravitatorio terrestre. Proporcionan</w:t>
      </w:r>
      <w:r>
        <w:t xml:space="preserve"> </w:t>
      </w:r>
      <w:r>
        <w:t xml:space="preserve">una variable comparable entre regiones que integra agua superficial y subterránea.</w:t>
      </w:r>
    </w:p>
    <w:p>
      <w:pPr>
        <w:pStyle w:val="BodyText"/>
      </w:pPr>
      <w:r>
        <w:t xml:space="preserve">Sin embargo, esta solución trae una limitación operativa. Según la descripción</w:t>
      </w:r>
      <w:r>
        <w:t xml:space="preserve"> </w:t>
      </w:r>
      <w:r>
        <w:t xml:space="preserve">oficial del reto, los productos derivados de GRACE se publican con un</w:t>
      </w:r>
      <w:r>
        <w:t xml:space="preserve"> </w:t>
      </w:r>
      <w:r>
        <w:rPr>
          <w:b/>
          <w:bCs/>
        </w:rPr>
        <w:t xml:space="preserve">retraso de</w:t>
      </w:r>
      <w:r>
        <w:rPr>
          <w:b/>
          <w:bCs/>
        </w:rPr>
        <w:t xml:space="preserve"> </w:t>
      </w:r>
      <w:r>
        <w:rPr>
          <w:b/>
          <w:bCs/>
        </w:rPr>
        <w:t xml:space="preserve">aproximadamente 2 a 3 meses</w:t>
      </w:r>
      <w:r>
        <w:t xml:space="preserve">. Para monitoreo y alerta temprana se necesita</w:t>
      </w:r>
      <w:r>
        <w:t xml:space="preserve"> </w:t>
      </w:r>
      <w:r>
        <w:t xml:space="preserve">conocer el estado actual del sistema, y lo disponible es el estado de hace un</w:t>
      </w:r>
      <w:r>
        <w:t xml:space="preserve"> </w:t>
      </w:r>
      <w:r>
        <w:t xml:space="preserve">trimestre: la información existe, pero llega tarde para sostener una decisión.</w:t>
      </w:r>
    </w:p>
    <w:p>
      <w:pPr>
        <w:pStyle w:val="BodyText"/>
      </w:pPr>
      <w:r>
        <w:t xml:space="preserve">Anticipar el almacenamiento futuro no es trivial. El comportamiento del agua</w:t>
      </w:r>
      <w:r>
        <w:t xml:space="preserve"> </w:t>
      </w:r>
      <w:r>
        <w:t xml:space="preserve">almacenada no es homogéneo en el espacio; la señal combina tendencia,</w:t>
      </w:r>
      <w:r>
        <w:t xml:space="preserve"> </w:t>
      </w:r>
      <w:r>
        <w:t xml:space="preserve">estacionalidad y variabilidad interanual; las covariables de baja latencia</w:t>
      </w:r>
      <w:r>
        <w:t xml:space="preserve"> </w:t>
      </w:r>
      <w:r>
        <w:t xml:space="preserve">describen sobre todo la parte superficial del ciclo hidrológico, mientras el TWS</w:t>
      </w:r>
      <w:r>
        <w:t xml:space="preserve"> </w:t>
      </w:r>
      <w:r>
        <w:t xml:space="preserve">incluye componentes de respuesta lenta; y los registros satelitales presentan</w:t>
      </w:r>
      <w:r>
        <w:t xml:space="preserve"> </w:t>
      </w:r>
      <w:r>
        <w:t xml:space="preserve">interrupciones.</w:t>
      </w:r>
    </w:p>
    <w:bookmarkEnd w:id="12"/>
    <w:bookmarkStart w:id="13" w:name="problema-científico"/>
    <w:p>
      <w:pPr>
        <w:pStyle w:val="Heading1"/>
      </w:pPr>
      <w:r>
        <w:t xml:space="preserve">3. Problema científico</w:t>
      </w:r>
    </w:p>
    <w:p>
      <w:pPr>
        <w:pStyle w:val="BlockText"/>
      </w:pPr>
      <w:r>
        <w:rPr>
          <w:b/>
          <w:bCs/>
        </w:rPr>
        <w:t xml:space="preserve">¿Qué patrones temporales, estacionales y espaciales presenta la anomalía de</w:t>
      </w:r>
      <w:r>
        <w:rPr>
          <w:b/>
          <w:bCs/>
        </w:rPr>
        <w:t xml:space="preserve"> </w:t>
      </w:r>
      <w:r>
        <w:rPr>
          <w:b/>
          <w:bCs/>
        </w:rPr>
        <w:t xml:space="preserve">almacenamiento total de agua (TWS) en el conjunto de datos del reto, y qué</w:t>
      </w:r>
      <w:r>
        <w:rPr>
          <w:b/>
          <w:bCs/>
        </w:rPr>
        <w:t xml:space="preserve"> </w:t>
      </w:r>
      <w:r>
        <w:rPr>
          <w:b/>
          <w:bCs/>
        </w:rPr>
        <w:t xml:space="preserve">variables satelitales y climáticas disponibles en el mes actual muestran mayor</w:t>
      </w:r>
      <w:r>
        <w:rPr>
          <w:b/>
          <w:bCs/>
        </w:rPr>
        <w:t xml:space="preserve"> </w:t>
      </w:r>
      <w:r>
        <w:rPr>
          <w:b/>
          <w:bCs/>
        </w:rPr>
        <w:t xml:space="preserve">asociación con el TWS del mes siguiente, de manera que puedan sustentar la</w:t>
      </w:r>
      <w:r>
        <w:rPr>
          <w:b/>
          <w:bCs/>
        </w:rPr>
        <w:t xml:space="preserve"> </w:t>
      </w:r>
      <w:r>
        <w:rPr>
          <w:b/>
          <w:bCs/>
        </w:rPr>
        <w:t xml:space="preserve">construcción de un modelo de pronóstico a un mes de horizonte?</w:t>
      </w:r>
    </w:p>
    <w:p>
      <w:pPr>
        <w:pStyle w:val="FirstParagraph"/>
      </w:pPr>
      <w:r>
        <w:t xml:space="preserve">Se trata de una pregunta descriptiva y asociativa, no causal.</w:t>
      </w:r>
    </w:p>
    <w:bookmarkEnd w:id="13"/>
    <w:bookmarkStart w:id="16" w:name="objetivos"/>
    <w:p>
      <w:pPr>
        <w:pStyle w:val="Heading1"/>
      </w:pPr>
      <w:r>
        <w:t xml:space="preserve">4. Objetivos</w:t>
      </w:r>
    </w:p>
    <w:bookmarkStart w:id="14" w:name="objetivo-general"/>
    <w:p>
      <w:pPr>
        <w:pStyle w:val="Heading2"/>
      </w:pPr>
      <w:r>
        <w:t xml:space="preserve">4.1 Objetivo general</w:t>
      </w:r>
    </w:p>
    <w:p>
      <w:pPr>
        <w:pStyle w:val="FirstParagraph"/>
      </w:pPr>
      <w:r>
        <w:t xml:space="preserve">Caracterizar, mediante un análisis exploratorio reproducible, el comportamiento</w:t>
      </w:r>
      <w:r>
        <w:t xml:space="preserve"> </w:t>
      </w:r>
      <w:r>
        <w:t xml:space="preserve">temporal, estacional y espacial de la anomalía de almacenamiento total de agua</w:t>
      </w:r>
      <w:r>
        <w:t xml:space="preserve"> </w:t>
      </w:r>
      <w:r>
        <w:t xml:space="preserve">(TWS) y de sus covariables en el conjunto de datos del reto, con el fin de</w:t>
      </w:r>
      <w:r>
        <w:t xml:space="preserve"> </w:t>
      </w:r>
      <w:r>
        <w:t xml:space="preserve">identificar los patrones y las variables que sustenten la construcción posterior</w:t>
      </w:r>
      <w:r>
        <w:t xml:space="preserve"> </w:t>
      </w:r>
      <w:r>
        <w:t xml:space="preserve">de un modelo de pronóstico a un mes de horizonte.</w:t>
      </w:r>
    </w:p>
    <w:bookmarkEnd w:id="14"/>
    <w:bookmarkStart w:id="15" w:name="objetivos-específicos"/>
    <w:p>
      <w:pPr>
        <w:pStyle w:val="Heading2"/>
      </w:pPr>
      <w:r>
        <w:t xml:space="preserve">4.2 Objetivos específicos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Describir</w:t>
      </w:r>
      <w:r>
        <w:t xml:space="preserve"> </w:t>
      </w:r>
      <w:r>
        <w:t xml:space="preserve">la estructura del conjunto de datos: observaciones, variables,</w:t>
      </w:r>
      <w:r>
        <w:t xml:space="preserve"> </w:t>
      </w:r>
      <w:r>
        <w:t xml:space="preserve">tipos, y cobertura temporal y espacial.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Evaluar</w:t>
      </w:r>
      <w:r>
        <w:t xml:space="preserve"> </w:t>
      </w:r>
      <w:r>
        <w:t xml:space="preserve">la calidad de los datos cuantificando valores faltantes,</w:t>
      </w:r>
      <w:r>
        <w:t xml:space="preserve"> </w:t>
      </w:r>
      <w:r>
        <w:t xml:space="preserve">duplicados y valores extremos, determinando si responden a patrones</w:t>
      </w:r>
      <w:r>
        <w:t xml:space="preserve"> </w:t>
      </w:r>
      <w:r>
        <w:t xml:space="preserve">temporales o espaciales antes de decidir su tratamiento.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Analizar</w:t>
      </w:r>
      <w:r>
        <w:t xml:space="preserve"> </w:t>
      </w:r>
      <w:r>
        <w:t xml:space="preserve">el comportamiento temporal de la variable objetivo para</w:t>
      </w:r>
      <w:r>
        <w:t xml:space="preserve"> </w:t>
      </w:r>
      <w:r>
        <w:t xml:space="preserve">determinar la existencia de tendencia, estacionalidad y periodos anómalos.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Comparar</w:t>
      </w:r>
      <w:r>
        <w:t xml:space="preserve"> </w:t>
      </w:r>
      <w:r>
        <w:t xml:space="preserve">el comportamiento del almacenamiento entre ubicaciones</w:t>
      </w:r>
      <w:r>
        <w:t xml:space="preserve"> </w:t>
      </w:r>
      <w:r>
        <w:t xml:space="preserve">geográficas.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Determinar</w:t>
      </w:r>
      <w:r>
        <w:t xml:space="preserve"> </w:t>
      </w:r>
      <w:r>
        <w:t xml:space="preserve">el grado de asociación entre la variable objetivo, el</w:t>
      </w:r>
      <w:r>
        <w:t xml:space="preserve"> </w:t>
      </w:r>
      <w:r>
        <w:t xml:space="preserve">almacenamiento del mes actual y las covariables climáticas.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Identificar</w:t>
      </w:r>
      <w:r>
        <w:t xml:space="preserve"> </w:t>
      </w:r>
      <w:r>
        <w:t xml:space="preserve">las variables y transformaciones candidatas para la etapa</w:t>
      </w:r>
      <w:r>
        <w:t xml:space="preserve"> </w:t>
      </w:r>
      <w:r>
        <w:t xml:space="preserve">posterior de modelado.</w:t>
      </w:r>
    </w:p>
    <w:bookmarkEnd w:id="15"/>
    <w:bookmarkEnd w:id="16"/>
    <w:bookmarkStart w:id="19" w:name="contexto-e-investigación-previa"/>
    <w:p>
      <w:pPr>
        <w:pStyle w:val="Heading1"/>
      </w:pPr>
      <w:r>
        <w:t xml:space="preserve">5. Contexto e investigación previa</w:t>
      </w:r>
    </w:p>
    <w:bookmarkStart w:id="17" w:name="qué-es-el-total-water-storage"/>
    <w:p>
      <w:pPr>
        <w:pStyle w:val="Heading2"/>
      </w:pPr>
      <w:r>
        <w:t xml:space="preserve">5.1 Qué es el Total Water Storage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TWS</w:t>
      </w:r>
      <w:r>
        <w:t xml:space="preserve"> </w:t>
      </w:r>
      <w:r>
        <w:t xml:space="preserve">se define en la documentación del reto como todo el agua almacenada</w:t>
      </w:r>
      <w:r>
        <w:t xml:space="preserve"> </w:t>
      </w:r>
      <w:r>
        <w:t xml:space="preserve">sobre y bajo la superficie terrestre: agua subterránea, humedad del suelo, agua</w:t>
      </w:r>
      <w:r>
        <w:t xml:space="preserve"> </w:t>
      </w:r>
      <w:r>
        <w:t xml:space="preserve">superficial, nieve y hielo. Se expresa como</w:t>
      </w:r>
      <w:r>
        <w:t xml:space="preserve"> </w:t>
      </w:r>
      <w:r>
        <w:rPr>
          <w:b/>
          <w:bCs/>
        </w:rPr>
        <w:t xml:space="preserve">anomalía</w:t>
      </w:r>
      <w:r>
        <w:t xml:space="preserve">, es decir, como</w:t>
      </w:r>
      <w:r>
        <w:t xml:space="preserve"> </w:t>
      </w:r>
      <w:r>
        <w:t xml:space="preserve">desviación respecto a una línea base histórica.</w:t>
      </w:r>
    </w:p>
    <w:p>
      <w:pPr>
        <w:pStyle w:val="BodyText"/>
      </w:pPr>
      <w:r>
        <w:t xml:space="preserve">Las misiones GRACE y GRACE-FO no observan el agua directamente: miden variaciones</w:t>
      </w:r>
      <w:r>
        <w:t xml:space="preserve"> </w:t>
      </w:r>
      <w:r>
        <w:t xml:space="preserve">del campo gravitatorio terrestre. Como el agua tiene masa, un cambio en el</w:t>
      </w:r>
      <w:r>
        <w:t xml:space="preserve"> </w:t>
      </w:r>
      <w:r>
        <w:t xml:space="preserve">almacenamiento de una región modifica localmente la gravedad. De ahí se derivan</w:t>
      </w:r>
      <w:r>
        <w:t xml:space="preserve"> </w:t>
      </w:r>
      <w:r>
        <w:t xml:space="preserve">tres características que condicionan el análisis: resolución espacial del orden</w:t>
      </w:r>
      <w:r>
        <w:t xml:space="preserve"> </w:t>
      </w:r>
      <w:r>
        <w:t xml:space="preserve">de cientos de kilómetros, resolución temporal mensual, y una medida integrada en</w:t>
      </w:r>
      <w:r>
        <w:t xml:space="preserve"> </w:t>
      </w:r>
      <w:r>
        <w:t xml:space="preserve">profundidad que responde con más inercia que la lluvia.</w:t>
      </w:r>
    </w:p>
    <w:bookmarkEnd w:id="17"/>
    <w:bookmarkStart w:id="18" w:name="el-spei"/>
    <w:p>
      <w:pPr>
        <w:pStyle w:val="Heading2"/>
      </w:pPr>
      <w:r>
        <w:t xml:space="preserve">5.2 El SPEI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i/>
          <w:iCs/>
        </w:rPr>
        <w:t xml:space="preserve">Standardised Precipitation-Evapotranspiration Index</w:t>
      </w:r>
      <w:r>
        <w:t xml:space="preserve"> </w:t>
      </w:r>
      <w:r>
        <w:t xml:space="preserve">combina precipitación y</w:t>
      </w:r>
      <w:r>
        <w:t xml:space="preserve"> </w:t>
      </w:r>
      <w:r>
        <w:t xml:space="preserve">evapotranspiración potencial en un índice estandarizado. Se calcula a distintas</w:t>
      </w:r>
      <w:r>
        <w:t xml:space="preserve"> </w:t>
      </w:r>
      <w:r>
        <w:t xml:space="preserve">escalas de acumulación —en este conjunto, 1, 3, 6 y 12 meses—. Los valores</w:t>
      </w:r>
      <w:r>
        <w:t xml:space="preserve"> </w:t>
      </w:r>
      <w:r>
        <w:t xml:space="preserve">negativos indican déficit hídrico. Las escalas cortas reflejan sequía</w:t>
      </w:r>
      <w:r>
        <w:t xml:space="preserve"> </w:t>
      </w:r>
      <w:r>
        <w:t xml:space="preserve">meteorológica y agrícola; las largas se aproximan a la sequía hidrológica.</w:t>
      </w:r>
    </w:p>
    <w:p>
      <w:pPr>
        <w:pStyle w:val="BodyText"/>
      </w:pPr>
      <w:r>
        <w:t xml:space="preserve">De aquí se derivó una</w:t>
      </w:r>
      <w:r>
        <w:t xml:space="preserve"> </w:t>
      </w:r>
      <w:r>
        <w:rPr>
          <w:b/>
          <w:bCs/>
        </w:rPr>
        <w:t xml:space="preserve">expectativa a verificar</w:t>
      </w:r>
      <w:r>
        <w:t xml:space="preserve">: que las escalas largas del SPEI</w:t>
      </w:r>
      <w:r>
        <w:t xml:space="preserve"> </w:t>
      </w:r>
      <w:r>
        <w:t xml:space="preserve">se asocien más al TWS que las cortas, por la inercia del almacenamiento</w:t>
      </w:r>
      <w:r>
        <w:t xml:space="preserve"> </w:t>
      </w:r>
      <w:r>
        <w:t xml:space="preserve">subterráneo. La sección 8.5 muestra que los datos la respaldan.</w:t>
      </w:r>
    </w:p>
    <w:bookmarkEnd w:id="18"/>
    <w:bookmarkEnd w:id="19"/>
    <w:bookmarkStart w:id="22" w:name="descripción-de-los-datos"/>
    <w:p>
      <w:pPr>
        <w:pStyle w:val="Heading1"/>
      </w:pPr>
      <w:r>
        <w:t xml:space="preserve">6. Descripción de los datos</w:t>
      </w:r>
    </w:p>
    <w:p>
      <w:pPr>
        <w:pStyle w:val="FirstParagraph"/>
      </w:pPr>
      <w:r>
        <w:t xml:space="preserve">Los datos se distribuyen en formato plano:</w:t>
      </w:r>
      <w:r>
        <w:t xml:space="preserve"> </w:t>
      </w:r>
      <w:r>
        <w:rPr>
          <w:b/>
          <w:bCs/>
        </w:rPr>
        <w:t xml:space="preserve">una fila por combinación observada de</w:t>
      </w:r>
      <w:r>
        <w:rPr>
          <w:b/>
          <w:bCs/>
        </w:rPr>
        <w:t xml:space="preserve"> </w:t>
      </w:r>
      <w:r>
        <w:rPr>
          <w:b/>
          <w:bCs/>
        </w:rPr>
        <w:t xml:space="preserve">mes y celda</w:t>
      </w:r>
      <w:r>
        <w:t xml:space="preserve"> </w:t>
      </w:r>
      <w:r>
        <w:t xml:space="preserve">de una rejilla global.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Valor observado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Observaciones de entrenamiento</w:t>
            </w:r>
          </w:p>
        </w:tc>
        <w:tc>
          <w:tcPr/>
          <w:p>
            <w:pPr>
              <w:pStyle w:val="Compact"/>
            </w:pPr>
            <w:r>
              <w:t xml:space="preserve">2 154 021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Observaciones de prueba</w:t>
            </w:r>
          </w:p>
        </w:tc>
        <w:tc>
          <w:tcPr/>
          <w:p>
            <w:pPr>
              <w:pStyle w:val="Compact"/>
            </w:pPr>
            <w:r>
              <w:t xml:space="preserve">280 961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Variables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Periodo de entrenamiento</w:t>
            </w:r>
          </w:p>
        </w:tc>
        <w:tc>
          <w:tcPr/>
          <w:p>
            <w:pPr>
              <w:pStyle w:val="Compact"/>
            </w:pPr>
            <w:r>
              <w:t xml:space="preserve">mayo 2002 – agosto 2015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Meses con observaciones</w:t>
            </w:r>
          </w:p>
        </w:tc>
        <w:tc>
          <w:tcPr/>
          <w:p>
            <w:pPr>
              <w:pStyle w:val="Compact"/>
            </w:pPr>
            <w:r>
              <w:t xml:space="preserve">138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Celdas de la rejilla</w:t>
            </w:r>
          </w:p>
        </w:tc>
        <w:tc>
          <w:tcPr/>
          <w:p>
            <w:pPr>
              <w:pStyle w:val="Compact"/>
            </w:pPr>
            <w:r>
              <w:t xml:space="preserve">15 715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Resolución espacial</w:t>
            </w:r>
          </w:p>
        </w:tc>
        <w:tc>
          <w:tcPr/>
          <w:p>
            <w:pPr>
              <w:pStyle w:val="Compact"/>
            </w:pPr>
            <w:r>
              <w:t xml:space="preserve">1° × 1°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latitudinal</w:t>
            </w:r>
          </w:p>
        </w:tc>
        <w:tc>
          <w:tcPr/>
          <w:p>
            <w:pPr>
              <w:pStyle w:val="Compact"/>
            </w:pPr>
            <w:r>
              <w:t xml:space="preserve">−55.5° a 83.5°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longitudinal</w:t>
            </w:r>
          </w:p>
        </w:tc>
        <w:tc>
          <w:tcPr/>
          <w:p>
            <w:pPr>
              <w:pStyle w:val="Compact"/>
            </w:pPr>
            <w:r>
              <w:t xml:space="preserve">−179.5° a 179.5°</w:t>
            </w:r>
          </w:p>
        </w:tc>
      </w:tr>
    </w:tbl>
    <w:bookmarkStart w:id="20" w:name="variables"/>
    <w:p>
      <w:pPr>
        <w:pStyle w:val="Heading2"/>
      </w:pPr>
      <w:r>
        <w:t xml:space="preserve">6.1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  <w:r>
              <w:t xml:space="preserve"> </w:t>
            </w:r>
            <w:r>
              <w:rPr>
                <w:rStyle w:val="VerbatimChar"/>
              </w:rPr>
              <w:t xml:space="preserve">AAAAMMDD_lat_lon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Mes de observación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Centro de la celda, en grados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TWS_t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Almacenamiento total de agua del mes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SPEI_01_t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SPEI_03_t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SPEI_06_t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SPEI_12_t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SPEI a 1, 3, 6 y 12 meses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SOIL_MOISTURE_t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Humedad del suelo del mes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month_sin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month_cos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Codificación cíclica del mes, provista por la organización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Variable objetivo</w:t>
            </w:r>
            <w:r>
              <w:t xml:space="preserve">: TWS del mes</w:t>
            </w:r>
            <w:r>
              <w:t xml:space="preserve"> </w:t>
            </w:r>
            <w:r>
              <w:rPr>
                <w:rStyle w:val="VerbatimChar"/>
              </w:rPr>
              <w:t xml:space="preserve">t+1</w:t>
            </w:r>
            <w:r>
              <w:t xml:space="preserve"> </w:t>
            </w:r>
            <w:r>
              <w:t xml:space="preserve">(solo train)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TWS_t_masked</w:t>
            </w:r>
          </w:p>
        </w:tc>
        <w:tc>
          <w:tcPr/>
          <w:p>
            <w:pPr>
              <w:pStyle w:val="Compact"/>
            </w:pPr>
            <w:r>
              <w:t xml:space="preserve">booleana</w:t>
            </w:r>
          </w:p>
        </w:tc>
        <w:tc>
          <w:tcPr/>
          <w:p>
            <w:pPr>
              <w:pStyle w:val="Compact"/>
            </w:pPr>
            <w:r>
              <w:t xml:space="preserve">Indicador de enmascaramiento (solo test)</w:t>
            </w:r>
          </w:p>
        </w:tc>
      </w:tr>
    </w:tbl>
    <w:p>
      <w:pPr>
        <w:pStyle w:val="BodyText"/>
      </w:pPr>
      <w:r>
        <w:t xml:space="preserve">Un resultado que conviene destacar:</w:t>
      </w:r>
      <w:r>
        <w:t xml:space="preserve"> </w:t>
      </w:r>
      <w:r>
        <w:rPr>
          <w:b/>
          <w:bCs/>
        </w:rPr>
        <w:t xml:space="preserve">todas las variables numéricas están</w:t>
      </w:r>
      <w:r>
        <w:rPr>
          <w:b/>
          <w:bCs/>
        </w:rPr>
        <w:t xml:space="preserve"> </w:t>
      </w:r>
      <w:r>
        <w:rPr>
          <w:b/>
          <w:bCs/>
        </w:rPr>
        <w:t xml:space="preserve">estandarizadas y son adimensionales</w:t>
      </w:r>
      <w:r>
        <w:t xml:space="preserve">.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tiene media 0.113 y desviación</w:t>
      </w:r>
      <w:r>
        <w:t xml:space="preserve"> </w:t>
      </w:r>
      <w:r>
        <w:t xml:space="preserve">0.912. No están en centímetros de lámina de agua, de modo que no admiten lectura</w:t>
      </w:r>
      <w:r>
        <w:t xml:space="preserve"> </w:t>
      </w:r>
      <w:r>
        <w:t xml:space="preserve">como volumen físico.</w:t>
      </w:r>
    </w:p>
    <w:bookmarkEnd w:id="20"/>
    <w:bookmarkStart w:id="21" w:name="verificación-de-la-variable-objetivo"/>
    <w:p>
      <w:pPr>
        <w:pStyle w:val="Heading2"/>
      </w:pPr>
      <w:r>
        <w:t xml:space="preserve">6.2 Verificación de la variable objetivo</w:t>
      </w:r>
    </w:p>
    <w:p>
      <w:pPr>
        <w:pStyle w:val="FirstParagraph"/>
      </w:pPr>
      <w:r>
        <w:t xml:space="preserve">En lugar de confiar en la descripción, se comprobó celda por celda cómo se</w:t>
      </w:r>
      <w:r>
        <w:t xml:space="preserve"> </w:t>
      </w:r>
      <w:r>
        <w:t xml:space="preserve">construyó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. El resultado es concluyente: coincide con el</w:t>
      </w:r>
      <w:r>
        <w:t xml:space="preserve"> </w:t>
      </w:r>
      <w:r>
        <w:rPr>
          <w:rStyle w:val="VerbatimChar"/>
        </w:rPr>
        <w:t xml:space="preserve">TWS_t</w:t>
      </w:r>
      <w:r>
        <w:t xml:space="preserve"> </w:t>
      </w:r>
      <w:r>
        <w:t xml:space="preserve">del</w:t>
      </w:r>
      <w:r>
        <w:t xml:space="preserve"> </w:t>
      </w:r>
      <w:r>
        <w:t xml:space="preserve">registro siguiente en 1 977 398 filas</w:t>
      </w:r>
      <w:r>
        <w:t xml:space="preserve"> </w:t>
      </w:r>
      <w:r>
        <w:rPr>
          <w:b/>
          <w:bCs/>
        </w:rPr>
        <w:t xml:space="preserve">cuando el salto es exactamente de un mes</w:t>
      </w:r>
      <w:r>
        <w:t xml:space="preserve">,</w:t>
      </w:r>
      <w:r>
        <w:t xml:space="preserve"> </w:t>
      </w:r>
      <w:r>
        <w:t xml:space="preserve">y en ninguna cuando el salto es mayor. Por lo tanto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corresponde siempre</w:t>
      </w:r>
      <w:r>
        <w:t xml:space="preserve"> </w:t>
      </w:r>
      <w:r>
        <w:t xml:space="preserve">al mes calendario</w:t>
      </w:r>
      <w:r>
        <w:t xml:space="preserve"> </w:t>
      </w:r>
      <w:r>
        <w:rPr>
          <w:rStyle w:val="VerbatimChar"/>
        </w:rPr>
        <w:t xml:space="preserve">t+1</w:t>
      </w:r>
      <w:r>
        <w:t xml:space="preserve">, no</w:t>
      </w:r>
      <w:r>
        <w:t xml:space="preserve"> </w:t>
      </w:r>
      <w:r>
        <w:t xml:space="preserve">“al siguiente mes disponible”</w:t>
      </w:r>
      <w:r>
        <w:t xml:space="preserve">.</w:t>
      </w:r>
    </w:p>
    <w:bookmarkEnd w:id="21"/>
    <w:bookmarkEnd w:id="22"/>
    <w:bookmarkStart w:id="23" w:name="limpieza-y-preprocesamiento"/>
    <w:p>
      <w:pPr>
        <w:pStyle w:val="Heading1"/>
      </w:pPr>
      <w:r>
        <w:t xml:space="preserve">7. Limpieza y preprocesamiento</w:t>
      </w:r>
    </w:p>
    <w:p>
      <w:pPr>
        <w:pStyle w:val="FirstParagraph"/>
      </w:pPr>
      <w:r>
        <w:t xml:space="preserve">La limpieza fue</w:t>
      </w:r>
      <w:r>
        <w:t xml:space="preserve"> </w:t>
      </w:r>
      <w:r>
        <w:rPr>
          <w:b/>
          <w:bCs/>
        </w:rPr>
        <w:t xml:space="preserve">conservadora</w:t>
      </w:r>
      <w:r>
        <w:t xml:space="preserve">: se corrigieron tipos y se construyeron variables</w:t>
      </w:r>
      <w:r>
        <w:t xml:space="preserve"> </w:t>
      </w:r>
      <w:r>
        <w:t xml:space="preserve">derivadas, sin eliminar observaciones ni imputar valores.</w:t>
      </w:r>
    </w:p>
    <w:p>
      <w:pPr>
        <w:pStyle w:val="BodyText"/>
      </w:pPr>
      <w:r>
        <w:rPr>
          <w:b/>
          <w:bCs/>
        </w:rPr>
        <w:t xml:space="preserve">Tipos de datos.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se convirtió con</w:t>
      </w:r>
      <w:r>
        <w:t xml:space="preserve"> </w:t>
      </w:r>
      <w:r>
        <w:rPr>
          <w:rStyle w:val="VerbatimChar"/>
        </w:rPr>
        <w:t xml:space="preserve">pd.to_datetime()</w:t>
      </w:r>
      <w:r>
        <w:t xml:space="preserve">; las 11 columnas</w:t>
      </w:r>
      <w:r>
        <w:t xml:space="preserve"> </w:t>
      </w:r>
      <w:r>
        <w:t xml:space="preserve">numéricas se convirtieron de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, lo que redujo la memoria de</w:t>
      </w:r>
      <w:r>
        <w:t xml:space="preserve"> </w:t>
      </w:r>
      <w:r>
        <w:t xml:space="preserve">252.1 MB a 161.7 MB sin pérdida de precisión relevante para variables geofísicas.</w:t>
      </w:r>
    </w:p>
    <w:p>
      <w:pPr>
        <w:pStyle w:val="BodyText"/>
      </w:pPr>
      <w:r>
        <w:rPr>
          <w:b/>
          <w:bCs/>
        </w:rPr>
        <w:t xml:space="preserve">Variables derivadas.</w:t>
      </w:r>
      <w:r>
        <w:t xml:space="preserve"> </w:t>
      </w:r>
      <w:r>
        <w:t xml:space="preserve">Se crearon año, mes y trimestre a partir de</w:t>
      </w:r>
      <w:r>
        <w:t xml:space="preserve"> </w:t>
      </w:r>
      <w:r>
        <w:rPr>
          <w:rStyle w:val="VerbatimChar"/>
        </w:rPr>
        <w:t xml:space="preserve">time</w:t>
      </w:r>
      <w:r>
        <w:t xml:space="preserve">;</w:t>
      </w:r>
      <w:r>
        <w:t xml:space="preserve"> </w:t>
      </w:r>
      <w:r>
        <w:rPr>
          <w:rStyle w:val="VerbatimChar"/>
        </w:rPr>
        <w:t xml:space="preserve">hemisferio</w:t>
      </w:r>
      <w:r>
        <w:t xml:space="preserve"> </w:t>
      </w:r>
      <w:r>
        <w:t xml:space="preserve">a partir del signo de la latitud; y</w:t>
      </w:r>
      <w:r>
        <w:t xml:space="preserve"> </w:t>
      </w:r>
      <w:r>
        <w:rPr>
          <w:rStyle w:val="VerbatimChar"/>
        </w:rPr>
        <w:t xml:space="preserve">banda_latitud</w:t>
      </w:r>
      <w:r>
        <w:t xml:space="preserve">, que agrupa las</w:t>
      </w:r>
      <w:r>
        <w:t xml:space="preserve"> </w:t>
      </w:r>
      <w:r>
        <w:t xml:space="preserve">celdas en ocho regímenes climáticos. Las dos últimas resultaron decisivas para</w:t>
      </w:r>
      <w:r>
        <w:t xml:space="preserve"> </w:t>
      </w:r>
      <w:r>
        <w:t xml:space="preserve">interpretar la estacionalidad.</w:t>
      </w:r>
    </w:p>
    <w:p>
      <w:pPr>
        <w:pStyle w:val="BodyText"/>
      </w:pPr>
      <w:r>
        <w:rPr>
          <w:b/>
          <w:bCs/>
        </w:rPr>
        <w:t xml:space="preserve">Valores faltantes.</w:t>
      </w:r>
      <w:r>
        <w:t xml:space="preserve"> </w:t>
      </w:r>
      <w:r>
        <w:t xml:space="preserve">No hay valores nulos en ninguna columna. El problema es de</w:t>
      </w:r>
      <w:r>
        <w:t xml:space="preserve"> </w:t>
      </w:r>
      <w:r>
        <w:t xml:space="preserve">otra naturaleza y se documenta en la sección 8.1.</w:t>
      </w:r>
    </w:p>
    <w:p>
      <w:pPr>
        <w:pStyle w:val="BodyText"/>
      </w:pPr>
      <w:r>
        <w:rPr>
          <w:b/>
          <w:bCs/>
        </w:rPr>
        <w:t xml:space="preserve">Duplicados.</w:t>
      </w:r>
      <w:r>
        <w:t xml:space="preserve"> </w:t>
      </w:r>
      <w:r>
        <w:t xml:space="preserve">Cero duplicados exactos, cero identificadores repetidos y cero</w:t>
      </w:r>
      <w:r>
        <w:t xml:space="preserve"> </w:t>
      </w:r>
      <w:r>
        <w:t xml:space="preserve">duplicados por la clave lógica (</w:t>
      </w:r>
      <w:r>
        <w:rPr>
          <w:rStyle w:val="VerbatimChar"/>
        </w:rPr>
        <w:t xml:space="preserve">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lat</w:t>
      </w:r>
      <w:r>
        <w:t xml:space="preserve">,</w:t>
      </w:r>
      <w:r>
        <w:t xml:space="preserve"> </w:t>
      </w:r>
      <w:r>
        <w:rPr>
          <w:rStyle w:val="VerbatimChar"/>
        </w:rPr>
        <w:t xml:space="preserve">lon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Valores extremos.</w:t>
      </w:r>
      <w:r>
        <w:t xml:space="preserve"> </w:t>
      </w:r>
      <w:r>
        <w:t xml:space="preserve">Se identificaron con el criterio del IQR y</w:t>
      </w:r>
      <w:r>
        <w:t xml:space="preserve"> </w:t>
      </w:r>
      <w:r>
        <w:rPr>
          <w:b/>
          <w:bCs/>
        </w:rPr>
        <w:t xml:space="preserve">no se</w:t>
      </w:r>
      <w:r>
        <w:rPr>
          <w:b/>
          <w:bCs/>
        </w:rPr>
        <w:t xml:space="preserve"> </w:t>
      </w:r>
      <w:r>
        <w:rPr>
          <w:b/>
          <w:bCs/>
        </w:rPr>
        <w:t xml:space="preserve">eliminaron</w:t>
      </w:r>
      <w:r>
        <w:t xml:space="preserve">. La justificación se detalla en la sección 8.3.</w:t>
      </w:r>
    </w:p>
    <w:bookmarkEnd w:id="23"/>
    <w:bookmarkStart w:id="46" w:name="análisis-exploratorio"/>
    <w:p>
      <w:pPr>
        <w:pStyle w:val="Heading1"/>
      </w:pPr>
      <w:r>
        <w:t xml:space="preserve">8. Análisis exploratorio</w:t>
      </w:r>
    </w:p>
    <w:bookmarkStart w:id="27" w:name="Xa76f0e5d7f5991fb31e8ec4a52f735e17bfecf4"/>
    <w:p>
      <w:pPr>
        <w:pStyle w:val="Heading2"/>
      </w:pPr>
      <w:r>
        <w:t xml:space="preserve">8.1 Los faltantes están en el calendario, no en las celdas</w:t>
      </w:r>
    </w:p>
    <w:p>
      <w:pPr>
        <w:pStyle w:val="FirstParagraph"/>
      </w:pPr>
      <w:r>
        <w:t xml:space="preserve">El conteo de nulos da cero, pero eso no significa cobertura completa. Como el</w:t>
      </w:r>
      <w:r>
        <w:t xml:space="preserve"> </w:t>
      </w:r>
      <w:r>
        <w:t xml:space="preserve">formato es plano, un mes no observado simplemente no genera filas. Al comparar</w:t>
      </w:r>
      <w:r>
        <w:t xml:space="preserve"> </w:t>
      </w:r>
      <w:r>
        <w:t xml:space="preserve">contra el calendario completo aparece el verdadero problema:</w:t>
      </w:r>
    </w:p>
    <w:p>
      <w:pPr>
        <w:pStyle w:val="Compact"/>
        <w:numPr>
          <w:ilvl w:val="0"/>
          <w:numId w:val="1007"/>
        </w:numPr>
      </w:pPr>
      <w:r>
        <w:t xml:space="preserve">Del periodo mayo 2002 – agosto 2015 hay</w:t>
      </w:r>
      <w:r>
        <w:t xml:space="preserve"> </w:t>
      </w:r>
      <w:r>
        <w:rPr>
          <w:b/>
          <w:bCs/>
        </w:rPr>
        <w:t xml:space="preserve">160 meses de calendario</w:t>
      </w:r>
      <w:r>
        <w:t xml:space="preserve"> </w:t>
      </w:r>
      <w:r>
        <w:t xml:space="preserve">y solo</w:t>
      </w:r>
      <w:r>
        <w:t xml:space="preserve"> </w:t>
      </w:r>
      <w:r>
        <w:rPr>
          <w:b/>
          <w:bCs/>
        </w:rPr>
        <w:t xml:space="preserve">138</w:t>
      </w:r>
      <w:r>
        <w:rPr>
          <w:b/>
          <w:bCs/>
        </w:rPr>
        <w:t xml:space="preserve"> </w:t>
      </w:r>
      <w:r>
        <w:rPr>
          <w:b/>
          <w:bCs/>
        </w:rPr>
        <w:t xml:space="preserve">con observaciones</w:t>
      </w:r>
      <w:r>
        <w:t xml:space="preserve">: faltan</w:t>
      </w:r>
      <w:r>
        <w:t xml:space="preserve"> </w:t>
      </w:r>
      <w:r>
        <w:rPr>
          <w:b/>
          <w:bCs/>
        </w:rPr>
        <w:t xml:space="preserve">22 meses (13.8 %)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Los años 2004 a 2010 están completos; 2011 a 2014 pierden entre 4 y 5 meses cada</w:t>
      </w:r>
      <w:r>
        <w:t xml:space="preserve"> </w:t>
      </w:r>
      <w:r>
        <w:t xml:space="preserve">uno; 2002 pierde 3.</w:t>
      </w:r>
    </w:p>
    <w:p>
      <w:pPr>
        <w:pStyle w:val="Compact"/>
        <w:numPr>
          <w:ilvl w:val="0"/>
          <w:numId w:val="1007"/>
        </w:numPr>
      </w:pPr>
      <w:r>
        <w:t xml:space="preserve">El 0.68 % de las combinaciones celda-mes está ausente. El 92.6 % de las celdas</w:t>
      </w:r>
      <w:r>
        <w:t xml:space="preserve"> </w:t>
      </w:r>
      <w:r>
        <w:t xml:space="preserve">tiene la serie completa; la de peor cobertura tiene 11 meses.</w:t>
      </w:r>
    </w:p>
    <w:p>
      <w:pPr>
        <w:pStyle w:val="CaptionedFigure"/>
      </w:pPr>
      <w:r>
        <w:drawing>
          <wp:inline>
            <wp:extent cx="5334000" cy="2111700"/>
            <wp:effectExtent b="0" l="0" r="0" t="0"/>
            <wp:docPr descr="Cobertura temporal del conjunto de entrenamiento. Los años 2004 a 2010 están completos; 2011 a 2014 pierden entre 4 y 5 meses cada uno." title="" id="25" name="Picture"/>
            <a:graphic>
              <a:graphicData uri="http://schemas.openxmlformats.org/drawingml/2006/picture">
                <pic:pic>
                  <pic:nvPicPr>
                    <pic:cNvPr descr="../figures/10_cobertura_temporal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Cobertura temporal del conjunto de entrenamiento. Los años 2004 a 2010 están completos; 2011 a 2014 pierden entre 4 y 5 meses cada uno.</w:t>
      </w:r>
    </w:p>
    <w:p>
      <w:pPr>
        <w:pStyle w:val="BodyText"/>
      </w:pPr>
      <w:r>
        <w:t xml:space="preserve">En el conjunto de prueba, de 40 meses de calendario solo hay</w:t>
      </w:r>
      <w:r>
        <w:t xml:space="preserve"> </w:t>
      </w:r>
      <w:r>
        <w:rPr>
          <w:b/>
          <w:bCs/>
        </w:rPr>
        <w:t xml:space="preserve">18</w:t>
      </w:r>
      <w:r>
        <w:t xml:space="preserve"> </w:t>
      </w:r>
      <w:r>
        <w:t xml:space="preserve">presentes, y el</w:t>
      </w:r>
      <w:r>
        <w:t xml:space="preserve"> </w:t>
      </w:r>
      <w:r>
        <w:rPr>
          <w:b/>
          <w:bCs/>
        </w:rPr>
        <w:t xml:space="preserve">66.53 %</w:t>
      </w:r>
      <w:r>
        <w:t xml:space="preserve"> </w:t>
      </w:r>
      <w:r>
        <w:t xml:space="preserve">de las filas tiene</w:t>
      </w:r>
      <w:r>
        <w:t xml:space="preserve"> </w:t>
      </w:r>
      <w:r>
        <w:rPr>
          <w:rStyle w:val="VerbatimChar"/>
        </w:rPr>
        <w:t xml:space="preserve">TWS_t</w:t>
      </w:r>
      <w:r>
        <w:t xml:space="preserve"> </w:t>
      </w:r>
      <w:r>
        <w:t xml:space="preserve">enmascarado. La documentación oficial aclara</w:t>
      </w:r>
      <w:r>
        <w:t xml:space="preserve"> </w:t>
      </w:r>
      <w:r>
        <w:t xml:space="preserve">que el enmascaramiento es deliberado, para impedir que el</w:t>
      </w:r>
      <w:r>
        <w:t xml:space="preserve"> </w:t>
      </w:r>
      <w:r>
        <w:rPr>
          <w:rStyle w:val="VerbatimChar"/>
        </w:rPr>
        <w:t xml:space="preserve">TWS_t</w:t>
      </w:r>
      <w:r>
        <w:t xml:space="preserve"> </w:t>
      </w:r>
      <w:r>
        <w:t xml:space="preserve">de una fila</w:t>
      </w:r>
      <w:r>
        <w:t xml:space="preserve"> </w:t>
      </w:r>
      <w:r>
        <w:t xml:space="preserve">revele el objetivo oculto de otra.</w:t>
      </w:r>
    </w:p>
    <w:bookmarkEnd w:id="27"/>
    <w:bookmarkStart w:id="28" w:name="distribuciones-y-estadística-descriptiva"/>
    <w:p>
      <w:pPr>
        <w:pStyle w:val="Heading2"/>
      </w:pPr>
      <w:r>
        <w:t xml:space="preserve">8.2 Distribuciones y estadística descriptiva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Desv.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Mín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Máx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Asimetría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TWS_t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−3.968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SPEI_01_t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SPEI_03_t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−5.225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SPEI_06_t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SPEI_12_t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SOIL_MOISTURE_t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−5.107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−3.968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−0.088</w:t>
            </w:r>
          </w:p>
        </w:tc>
      </w:tr>
    </w:tbl>
    <w:p>
      <w:pPr>
        <w:pStyle w:val="BodyText"/>
      </w:pPr>
      <w:r>
        <w:t xml:space="preserve">Las distribuciones son unimodales y casi simétricas; media y mediana casi</w:t>
      </w:r>
      <w:r>
        <w:t xml:space="preserve"> </w:t>
      </w:r>
      <w:r>
        <w:t xml:space="preserve">coinciden en todas. Las medias de los SPEI son ligeramente negativas y se vuelven</w:t>
      </w:r>
      <w:r>
        <w:t xml:space="preserve"> </w:t>
      </w:r>
      <w:r>
        <w:t xml:space="preserve">más negativas conforme crece la escala de acumulación, indicio de déficit hídrico</w:t>
      </w:r>
      <w:r>
        <w:t xml:space="preserve"> </w:t>
      </w:r>
      <w:r>
        <w:t xml:space="preserve">sostenido de magnitud modesta.</w:t>
      </w:r>
      <w:r>
        <w:t xml:space="preserve"> </w:t>
      </w:r>
      <w:r>
        <w:rPr>
          <w:rStyle w:val="VerbatimChar"/>
        </w:rPr>
        <w:t xml:space="preserve">SOIL_MOISTURE_t</w:t>
      </w:r>
      <w:r>
        <w:t xml:space="preserve"> </w:t>
      </w:r>
      <w:r>
        <w:t xml:space="preserve">es la variable más concentrada</w:t>
      </w:r>
      <w:r>
        <w:t xml:space="preserve"> </w:t>
      </w:r>
      <w:r>
        <w:t xml:space="preserve">(IQR 0.948) pero con el rango más amplio (10.49).</w:t>
      </w:r>
    </w:p>
    <w:bookmarkEnd w:id="28"/>
    <w:bookmarkStart w:id="29" w:name="valores-atípicos"/>
    <w:p>
      <w:pPr>
        <w:pStyle w:val="Heading2"/>
      </w:pPr>
      <w:r>
        <w:t xml:space="preserve">8.3 Valores atípicos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Atípicos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SOIL_MOISTURE_t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55 481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TWS_t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SPEI_12_t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SPEI_01_t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SPEI_03_t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SPEI_06_t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0.02 %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Decisión: no se eliminó ninguno.</w:t>
      </w:r>
      <w:r>
        <w:t xml:space="preserve"> </w:t>
      </w:r>
      <w:r>
        <w:t xml:space="preserve">Los valores extremos de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llegan a</w:t>
      </w:r>
      <w:r>
        <w:t xml:space="preserve"> </w:t>
      </w:r>
      <w:r>
        <w:t xml:space="preserve">−3.97 y 4.06, magnitudes plausibles para anomalías estandarizadas; no hay valores</w:t>
      </w:r>
      <w:r>
        <w:t xml:space="preserve"> </w:t>
      </w:r>
      <w:r>
        <w:t xml:space="preserve">imposibles ni códigos centinela. Además, los atípicos</w:t>
      </w:r>
      <w:r>
        <w:t xml:space="preserve"> </w:t>
      </w:r>
      <w:r>
        <w:rPr>
          <w:b/>
          <w:bCs/>
        </w:rPr>
        <w:t xml:space="preserve">no se distribuyen al azar</w:t>
      </w:r>
      <w:r>
        <w:t xml:space="preserve">:</w:t>
      </w:r>
      <w:r>
        <w:t xml:space="preserve"> </w:t>
      </w:r>
      <w:r>
        <w:t xml:space="preserve">se concentran en años y bandas de latitud concretos, patrón propio de eventos</w:t>
      </w:r>
      <w:r>
        <w:t xml:space="preserve"> </w:t>
      </w:r>
      <w:r>
        <w:t xml:space="preserve">hidrológicos reales y no de errores de medición. Por último, son justamente los</w:t>
      </w:r>
      <w:r>
        <w:t xml:space="preserve"> </w:t>
      </w:r>
      <w:r>
        <w:t xml:space="preserve">extremos los que el reto busca anticipar.</w:t>
      </w:r>
    </w:p>
    <w:bookmarkEnd w:id="29"/>
    <w:bookmarkStart w:id="36" w:name="comportamiento-temporal-y-estacionalidad"/>
    <w:p>
      <w:pPr>
        <w:pStyle w:val="Heading2"/>
      </w:pPr>
      <w:r>
        <w:t xml:space="preserve">8.4 Comportamiento temporal y estacionalidad</w:t>
      </w:r>
    </w:p>
    <w:p>
      <w:pPr>
        <w:pStyle w:val="FirstParagraph"/>
      </w:pPr>
      <w:r>
        <w:rPr>
          <w:b/>
          <w:bCs/>
        </w:rPr>
        <w:t xml:space="preserve">Hay una tendencia descendente sostenida.</w:t>
      </w:r>
      <w:r>
        <w:t xml:space="preserve"> </w:t>
      </w:r>
      <w:r>
        <w:t xml:space="preserve">El promedio anual de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cae de</w:t>
      </w:r>
      <w:r>
        <w:t xml:space="preserve"> </w:t>
      </w:r>
      <w:r>
        <w:t xml:space="preserve">0.322 en 2004 a −0.136 en 2015. La prueba de Dickey-Fuller aumentada da un</w:t>
      </w:r>
      <w:r>
        <w:t xml:space="preserve"> </w:t>
      </w:r>
      <w:r>
        <w:t xml:space="preserve">estadístico de −1.516 con</w:t>
      </w:r>
      <w:r>
        <w:t xml:space="preserve"> </w:t>
      </w:r>
      <w:r>
        <w:rPr>
          <w:b/>
          <w:bCs/>
        </w:rPr>
        <w:t xml:space="preserve">p-value 0.526</w:t>
      </w:r>
      <w:r>
        <w:t xml:space="preserve">, por lo que no se rechaza la raíz</w:t>
      </w:r>
      <w:r>
        <w:t xml:space="preserve"> </w:t>
      </w:r>
      <w:r>
        <w:t xml:space="preserve">unitaria: la serie</w:t>
      </w:r>
      <w:r>
        <w:t xml:space="preserve"> </w:t>
      </w:r>
      <w:r>
        <w:rPr>
          <w:b/>
          <w:bCs/>
        </w:rPr>
        <w:t xml:space="preserve">no es estacionaria en media</w:t>
      </w:r>
      <w:r>
        <w:t xml:space="preserve">. El resultado se sostiene con</w:t>
      </w:r>
      <w:r>
        <w:t xml:space="preserve"> </w:t>
      </w:r>
      <w:r>
        <w:t xml:space="preserve">promedio simple y con promedio ponderado por el coseno de la latitud</w:t>
      </w:r>
      <w:r>
        <w:t xml:space="preserve"> </w:t>
      </w:r>
      <w:r>
        <w:t xml:space="preserve">(correlación 0.936 entre ambas agregaciones).</w:t>
      </w:r>
    </w:p>
    <w:p>
      <w:pPr>
        <w:pStyle w:val="CaptionedFigure"/>
      </w:pPr>
      <w:r>
        <w:drawing>
          <wp:inline>
            <wp:extent cx="5334000" cy="2124363"/>
            <wp:effectExtent b="0" l="0" r="0" t="0"/>
            <wp:docPr descr="Serie global, media móvil de 12 meses y desviación estándar móvil. La media móvil deja a la vista la tendencia descendente." title="" id="31" name="Picture"/>
            <a:graphic>
              <a:graphicData uri="http://schemas.openxmlformats.org/drawingml/2006/picture">
                <pic:pic>
                  <pic:nvPicPr>
                    <pic:cNvPr descr="../figures/16_media_movil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Serie global, media móvil de 12 meses y desviación estándar móvil. La media móvil deja a la vista la tendencia descendente.</w:t>
      </w:r>
    </w:p>
    <w:p>
      <w:pPr>
        <w:pStyle w:val="BodyText"/>
      </w:pPr>
      <w:r>
        <w:rPr>
          <w:b/>
          <w:bCs/>
        </w:rPr>
        <w:t xml:space="preserve">La descomposición aditiva reparte la varianza así: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Varianza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Proporción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 completa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Tendencia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Residuo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Estacional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3 %</w:t>
            </w:r>
          </w:p>
        </w:tc>
      </w:tr>
    </w:tbl>
    <w:p>
      <w:pPr>
        <w:pStyle w:val="BodyText"/>
      </w:pPr>
      <w:r>
        <w:rPr>
          <w:b/>
          <w:bCs/>
        </w:rPr>
        <w:t xml:space="preserve">La estacionalidad global es casi nula, pero eso no significa que no exista.</w:t>
      </w:r>
      <w:r>
        <w:t xml:space="preserve"> </w:t>
      </w:r>
      <w:r>
        <w:t xml:space="preserve">El</w:t>
      </w:r>
      <w:r>
        <w:t xml:space="preserve"> </w:t>
      </w:r>
      <w:r>
        <w:t xml:space="preserve">perfil mensual por hemisferio muestra la causa: el hemisferio norte promedia</w:t>
      </w:r>
      <w:r>
        <w:t xml:space="preserve"> </w:t>
      </w:r>
      <w:r>
        <w:t xml:space="preserve">positivo los doce meses (0.091 a 0.185) mientras que el sur promedia negativo o</w:t>
      </w:r>
      <w:r>
        <w:t xml:space="preserve"> </w:t>
      </w:r>
      <w:r>
        <w:t xml:space="preserve">nulo (−0.105 a 0.025). Los ciclos son</w:t>
      </w:r>
      <w:r>
        <w:t xml:space="preserve"> </w:t>
      </w:r>
      <w:r>
        <w:rPr>
          <w:b/>
          <w:bCs/>
        </w:rPr>
        <w:t xml:space="preserve">opuestos</w:t>
      </w:r>
      <w:r>
        <w:t xml:space="preserve"> </w:t>
      </w:r>
      <w:r>
        <w:t xml:space="preserve">y se cancelan al promediarse.</w:t>
      </w:r>
      <w:r>
        <w:t xml:space="preserve"> </w:t>
      </w:r>
      <w:r>
        <w:t xml:space="preserve">El cruce banda × mes confirma ciclos mensuales definidos dentro de cada región.</w:t>
      </w:r>
    </w:p>
    <w:p>
      <w:pPr>
        <w:pStyle w:val="CaptionedFigure"/>
      </w:pPr>
      <w:r>
        <w:drawing>
          <wp:inline>
            <wp:extent cx="5334000" cy="1638165"/>
            <wp:effectExtent b="0" l="0" r="0" t="0"/>
            <wp:docPr descr="Perfil estacional por hemisferio. El norte promedia positivo los doce meses y el sur cae hasta −0.105 en junio: los ciclos opuestos se cancelan en el promedio global." title="" id="34" name="Picture"/>
            <a:graphic>
              <a:graphicData uri="http://schemas.openxmlformats.org/drawingml/2006/picture">
                <pic:pic>
                  <pic:nvPicPr>
                    <pic:cNvPr descr="../figures/17_perfil_estacional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8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Perfil estacional por hemisferio. El norte promedia positivo los doce meses y el sur cae hasta −0.105 en junio: los ciclos opuestos se cancelan en el promedio global.</w:t>
      </w:r>
    </w:p>
    <w:p>
      <w:pPr>
        <w:pStyle w:val="BodyText"/>
      </w:pPr>
      <w:r>
        <w:t xml:space="preserve">Es un hallazgo metodológico relevante:</w:t>
      </w:r>
      <w:r>
        <w:t xml:space="preserve"> </w:t>
      </w:r>
      <w:r>
        <w:rPr>
          <w:b/>
          <w:bCs/>
        </w:rPr>
        <w:t xml:space="preserve">una serie agregada globalmente no es el</w:t>
      </w:r>
      <w:r>
        <w:rPr>
          <w:b/>
          <w:bCs/>
        </w:rPr>
        <w:t xml:space="preserve"> </w:t>
      </w:r>
      <w:r>
        <w:rPr>
          <w:b/>
          <w:bCs/>
        </w:rPr>
        <w:t xml:space="preserve">objeto adecuado para estudiar la estacionalidad de este fenómeno.</w:t>
      </w:r>
    </w:p>
    <w:bookmarkEnd w:id="36"/>
    <w:bookmarkStart w:id="40" w:name="análisis-espacial"/>
    <w:p>
      <w:pPr>
        <w:pStyle w:val="Heading2"/>
      </w:pPr>
      <w:r>
        <w:t xml:space="preserve">8.5 Análisis espacial</w:t>
      </w:r>
    </w:p>
    <w:p>
      <w:pPr>
        <w:pStyle w:val="FirstParagraph"/>
      </w:pPr>
      <w:r>
        <w:t xml:space="preserve">El conjunto está fuertemente desbalanceado: el</w:t>
      </w:r>
      <w:r>
        <w:t xml:space="preserve"> </w:t>
      </w:r>
      <w:r>
        <w:rPr>
          <w:b/>
          <w:bCs/>
        </w:rPr>
        <w:t xml:space="preserve">80.3 %</w:t>
      </w:r>
      <w:r>
        <w:t xml:space="preserve"> </w:t>
      </w:r>
      <w:r>
        <w:t xml:space="preserve">de las observaciones</w:t>
      </w:r>
      <w:r>
        <w:t xml:space="preserve"> </w:t>
      </w:r>
      <w:r>
        <w:t xml:space="preserve">corresponde al hemisferio norte y la banda polar sur no tiene ninguna, reflejo de</w:t>
      </w:r>
      <w:r>
        <w:t xml:space="preserve"> </w:t>
      </w:r>
      <w:r>
        <w:t xml:space="preserve">la distribución real de tierra emergida.</w:t>
      </w:r>
    </w:p>
    <w:p>
      <w:pPr>
        <w:pStyle w:val="CaptionedFigure"/>
      </w:pPr>
      <w:r>
        <w:drawing>
          <wp:inline>
            <wp:extent cx="5334000" cy="2895263"/>
            <wp:effectExtent b="0" l="0" r="0" t="0"/>
            <wp:docPr descr="Promedio de la variable objetivo por celda de la rejilla. La estructura espacial es continua y coherente, con valores bajos en el norte de África y el sur de Asia." title="" id="38" name="Picture"/>
            <a:graphic>
              <a:graphicData uri="http://schemas.openxmlformats.org/drawingml/2006/picture">
                <pic:pic>
                  <pic:nvPicPr>
                    <pic:cNvPr descr="../figures/18_mapa_promedio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Promedio de la variable objetivo por celda de la rejilla. La estructura espacial es continua y coherente, con valores bajos en el norte de África y el sur de Asia.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Banda de latitud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Observaciones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Desv.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Templada sur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38 188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Subtropical sur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118 237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Tropical sur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267 636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Tropical 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307 545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−0.222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Subtropical 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223 897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Templada 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662 020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Polar 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536 498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0.869</w:t>
            </w:r>
          </w:p>
        </w:tc>
      </w:tr>
    </w:tbl>
    <w:p>
      <w:pPr>
        <w:pStyle w:val="BodyText"/>
      </w:pPr>
      <w:r>
        <w:t xml:space="preserve">La banda tropical norte es la de menor media y a la vez donde se registran el</w:t>
      </w:r>
      <w:r>
        <w:t xml:space="preserve"> </w:t>
      </w:r>
      <w:r>
        <w:t xml:space="preserve">mínimo (−3.968) y el máximo (4.057) absolutos del conjunto. Entre ella y la</w:t>
      </w:r>
      <w:r>
        <w:t xml:space="preserve"> </w:t>
      </w:r>
      <w:r>
        <w:t xml:space="preserve">subtropical norte hay una diferencia de más de medio punto, comparable a media</w:t>
      </w:r>
      <w:r>
        <w:t xml:space="preserve"> </w:t>
      </w:r>
      <w:r>
        <w:t xml:space="preserve">desviación estándar.</w:t>
      </w:r>
    </w:p>
    <w:bookmarkEnd w:id="40"/>
    <w:bookmarkStart w:id="44" w:name="correlaciones"/>
    <w:p>
      <w:pPr>
        <w:pStyle w:val="Heading2"/>
      </w:pPr>
      <w:r>
        <w:t xml:space="preserve">8.6 Correlaciones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Pearson con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Spearman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Diferencia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TWS_t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SPEI_12_t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SPEI_06_t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SOIL_MOISTURE_t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SPEI_03_t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SPEI_01_t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−0.008</w:t>
            </w:r>
          </w:p>
        </w:tc>
      </w:tr>
    </w:tbl>
    <w:p>
      <w:pPr>
        <w:pStyle w:val="CaptionedFigure"/>
      </w:pPr>
      <w:r>
        <w:drawing>
          <wp:inline>
            <wp:extent cx="5334000" cy="4691529"/>
            <wp:effectExtent b="0" l="0" r="0" t="0"/>
            <wp:docPr descr="Matriz de correlación de Pearson entre las variables numéricas." title="" id="42" name="Picture"/>
            <a:graphic>
              <a:graphicData uri="http://schemas.openxmlformats.org/drawingml/2006/picture">
                <pic:pic>
                  <pic:nvPicPr>
                    <pic:cNvPr descr="../figures/19_matriz_correlacio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1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Matriz de correlación de Pearson entre las variables numéricas.</w:t>
      </w:r>
    </w:p>
    <w:p>
      <w:pPr>
        <w:pStyle w:val="BodyText"/>
      </w:pPr>
      <w:r>
        <w:rPr>
          <w:b/>
          <w:bCs/>
        </w:rPr>
        <w:t xml:space="preserve">La persistencia domina.</w:t>
      </w:r>
      <w:r>
        <w:t xml:space="preserve"> </w:t>
      </w:r>
      <w:r>
        <w:t xml:space="preserve">El almacenamiento del mes actual explica el</w:t>
      </w:r>
      <w:r>
        <w:t xml:space="preserve"> </w:t>
      </w:r>
      <w:r>
        <w:t xml:space="preserve">comportamiento del mes siguiente mucho mejor que cualquier covariable, y la</w:t>
      </w:r>
      <w:r>
        <w:t xml:space="preserve"> </w:t>
      </w:r>
      <w:r>
        <w:t xml:space="preserve">asociación se mantiene en todas las regiones (de 0.752 en tropical norte a 0.824</w:t>
      </w:r>
      <w:r>
        <w:t xml:space="preserve"> </w:t>
      </w:r>
      <w:r>
        <w:t xml:space="preserve">en templada norte).</w:t>
      </w:r>
    </w:p>
    <w:p>
      <w:pPr>
        <w:pStyle w:val="BodyText"/>
      </w:pPr>
      <w:r>
        <w:rPr>
          <w:b/>
          <w:bCs/>
        </w:rPr>
        <w:t xml:space="preserve">El orden de los SPEI sigue exactamente la escala de acumulación</w:t>
      </w:r>
      <w:r>
        <w:t xml:space="preserve">, lo que</w:t>
      </w:r>
      <w:r>
        <w:t xml:space="preserve"> </w:t>
      </w:r>
      <w:r>
        <w:t xml:space="preserve">confirma la expectativa planteada en la sección 5.2. Las diferencias entre Pearson</w:t>
      </w:r>
      <w:r>
        <w:t xml:space="preserve"> </w:t>
      </w:r>
      <w:r>
        <w:t xml:space="preserve">y Spearman no superan 0.024, de modo que las relaciones son esencialmente</w:t>
      </w:r>
      <w:r>
        <w:t xml:space="preserve"> </w:t>
      </w:r>
      <w:r>
        <w:t xml:space="preserve">lineales.</w:t>
      </w:r>
    </w:p>
    <w:p>
      <w:pPr>
        <w:pStyle w:val="BodyText"/>
      </w:pPr>
      <w:r>
        <w:rPr>
          <w:b/>
          <w:bCs/>
        </w:rPr>
        <w:t xml:space="preserve">Línea base de persistencia:</w:t>
      </w:r>
      <w:r>
        <w:t xml:space="preserve"> </w:t>
      </w:r>
      <w:r>
        <w:t xml:space="preserve">predecir que el mes siguiente será igual al actual</w:t>
      </w:r>
      <w:r>
        <w:t xml:space="preserve"> </w:t>
      </w:r>
      <w:r>
        <w:t xml:space="preserve">produce</w:t>
      </w:r>
      <w:r>
        <w:t xml:space="preserve"> </w:t>
      </w:r>
      <w:r>
        <w:rPr>
          <w:b/>
          <w:bCs/>
        </w:rPr>
        <w:t xml:space="preserve">RMSE 0.5724</w:t>
      </w:r>
      <w:r>
        <w:t xml:space="preserve"> </w:t>
      </w:r>
      <w:r>
        <w:t xml:space="preserve">y MAE 0.4045, equivalente al 62.8 % de la desviación</w:t>
      </w:r>
      <w:r>
        <w:t xml:space="preserve"> </w:t>
      </w:r>
      <w:r>
        <w:t xml:space="preserve">estándar de la variable objetivo. Como la métrica del reto es el RMSE, ese es el</w:t>
      </w:r>
      <w:r>
        <w:t xml:space="preserve"> </w:t>
      </w:r>
      <w:r>
        <w:t xml:space="preserve">umbral concreto que cualquier modelo debe superar.</w:t>
      </w:r>
    </w:p>
    <w:bookmarkEnd w:id="44"/>
    <w:bookmarkStart w:id="45" w:name="categorías-de-sequía"/>
    <w:p>
      <w:pPr>
        <w:pStyle w:val="Heading2"/>
      </w:pPr>
      <w:r>
        <w:t xml:space="preserve">8.7 Categorías de sequía</w:t>
      </w:r>
    </w:p>
    <w:p>
      <w:pPr>
        <w:pStyle w:val="FirstParagraph"/>
      </w:pPr>
      <w:r>
        <w:t xml:space="preserve">Clasificando</w:t>
      </w:r>
      <w:r>
        <w:t xml:space="preserve"> </w:t>
      </w:r>
      <w:r>
        <w:rPr>
          <w:rStyle w:val="VerbatimChar"/>
        </w:rPr>
        <w:t xml:space="preserve">SPEI_01_t</w:t>
      </w:r>
      <w:r>
        <w:t xml:space="preserve"> </w:t>
      </w:r>
      <w:r>
        <w:t xml:space="preserve">según la escala estándar del índice, el 66.9 % de las</w:t>
      </w:r>
      <w:r>
        <w:t xml:space="preserve"> </w:t>
      </w:r>
      <w:r>
        <w:t xml:space="preserve">observaciones es normal, el 17.3 % corresponde a sequía (11.6 % moderada, 4.8 %</w:t>
      </w:r>
      <w:r>
        <w:t xml:space="preserve"> </w:t>
      </w:r>
      <w:r>
        <w:t xml:space="preserve">severa, 0.9 % extrema) y el 15.8 % a condiciones húmedas.</w:t>
      </w:r>
    </w:p>
    <w:p>
      <w:pPr>
        <w:pStyle w:val="BodyText"/>
      </w:pPr>
      <w:r>
        <w:t xml:space="preserve">La media de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crece de forma</w:t>
      </w:r>
      <w:r>
        <w:t xml:space="preserve"> </w:t>
      </w:r>
      <w:r>
        <w:rPr>
          <w:b/>
          <w:bCs/>
        </w:rPr>
        <w:t xml:space="preserve">monótona</w:t>
      </w:r>
      <w:r>
        <w:t xml:space="preserve"> </w:t>
      </w:r>
      <w:r>
        <w:t xml:space="preserve">a lo largo de las siete</w:t>
      </w:r>
      <w:r>
        <w:t xml:space="preserve"> </w:t>
      </w:r>
      <w:r>
        <w:t xml:space="preserve">categorías: −0.285 en sequía extrema, −0.248 severa, −0.117 moderada, 0.116</w:t>
      </w:r>
      <w:r>
        <w:t xml:space="preserve"> </w:t>
      </w:r>
      <w:r>
        <w:t xml:space="preserve">normal, 0.337 húmedo moderado, 0.467 húmedo severo y 0.602 húmedo extremo. La</w:t>
      </w:r>
      <w:r>
        <w:t xml:space="preserve"> </w:t>
      </w:r>
      <w:r>
        <w:t xml:space="preserve">dispersión dentro de cada categoría sigue siendo alta (desviaciones 0.888 a</w:t>
      </w:r>
      <w:r>
        <w:t xml:space="preserve"> </w:t>
      </w:r>
      <w:r>
        <w:t xml:space="preserve">0.930), señal de que el SPEI por sí solo está lejos de determinar el resultado.</w:t>
      </w:r>
    </w:p>
    <w:bookmarkEnd w:id="45"/>
    <w:bookmarkEnd w:id="46"/>
    <w:bookmarkStart w:id="47" w:name="hallazgos"/>
    <w:p>
      <w:pPr>
        <w:pStyle w:val="Heading1"/>
      </w:pPr>
      <w:r>
        <w:t xml:space="preserve">9. Hallazgos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Sin nulos ni duplicados, pero con faltantes estructurales.</w:t>
      </w:r>
      <w:r>
        <w:t xml:space="preserve"> </w:t>
      </w:r>
      <w:r>
        <w:t xml:space="preserve">Las 13 columnas</w:t>
      </w:r>
      <w:r>
        <w:t xml:space="preserve"> </w:t>
      </w:r>
      <w:r>
        <w:t xml:space="preserve">están completas, pero faltan 22 de los 160 meses del calendario (13.8 %).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Los meses ausentes se concentran en 2002–2003 y 2011–2014.</w:t>
      </w:r>
      <w:r>
        <w:t xml:space="preserve"> </w:t>
      </w:r>
      <w:r>
        <w:t xml:space="preserve">Los años 2004 a</w:t>
      </w:r>
      <w:r>
        <w:t xml:space="preserve"> </w:t>
      </w:r>
      <w:r>
        <w:t xml:space="preserve">2010 están completos.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target</w:t>
      </w:r>
      <w:r>
        <w:rPr>
          <w:b/>
          <w:bCs/>
        </w:rPr>
        <w:t xml:space="preserve"> </w:t>
      </w:r>
      <w:r>
        <w:rPr>
          <w:b/>
          <w:bCs/>
        </w:rPr>
        <w:t xml:space="preserve">es el TWS del mes calendario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t+1</w:t>
      </w:r>
      <w:r>
        <w:t xml:space="preserve">, no el del siguiente mes</w:t>
      </w:r>
      <w:r>
        <w:t xml:space="preserve"> </w:t>
      </w:r>
      <w:r>
        <w:t xml:space="preserve">disponible; verificado celda por celda.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Las variables están estandarizadas y son adimensionales</w:t>
      </w:r>
      <w:r>
        <w:t xml:space="preserve">; no admiten lectura</w:t>
      </w:r>
      <w:r>
        <w:t xml:space="preserve"> </w:t>
      </w:r>
      <w:r>
        <w:t xml:space="preserve">como volumen físico.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Hay tendencia descendente y la serie no es estacionaria</w:t>
      </w:r>
      <w:r>
        <w:t xml:space="preserve"> </w:t>
      </w:r>
      <w:r>
        <w:t xml:space="preserve">(ADF p = 0.526); la</w:t>
      </w:r>
      <w:r>
        <w:t xml:space="preserve"> </w:t>
      </w:r>
      <w:r>
        <w:t xml:space="preserve">tendencia explica el 64 % de la varianza.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 estacionalidad se cancela al agregar globalmente</w:t>
      </w:r>
      <w:r>
        <w:t xml:space="preserve"> </w:t>
      </w:r>
      <w:r>
        <w:t xml:space="preserve">por los ciclos opuestos</w:t>
      </w:r>
      <w:r>
        <w:t xml:space="preserve"> </w:t>
      </w:r>
      <w:r>
        <w:t xml:space="preserve">de los hemisferios, pero existe a nivel regional.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El conjunto está desbalanceado espacialmente</w:t>
      </w:r>
      <w:r>
        <w:t xml:space="preserve"> </w:t>
      </w:r>
      <w:r>
        <w:t xml:space="preserve">(80.3 % hemisferio norte) y las</w:t>
      </w:r>
      <w:r>
        <w:t xml:space="preserve"> </w:t>
      </w:r>
      <w:r>
        <w:t xml:space="preserve">regiones difieren: de −0.222 en tropical norte a 0.327 en subtropical norte.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 persistencia domina</w:t>
      </w:r>
      <w:r>
        <w:t xml:space="preserve"> </w:t>
      </w:r>
      <w:r>
        <w:t xml:space="preserve">(r = 0.803) y entre las covariables mandan las</w:t>
      </w:r>
      <w:r>
        <w:t xml:space="preserve"> </w:t>
      </w:r>
      <w:r>
        <w:t xml:space="preserve">escalas largas del SPEI; la línea base a superar es RMSE 0.5724.</w:t>
      </w:r>
    </w:p>
    <w:bookmarkEnd w:id="47"/>
    <w:bookmarkStart w:id="48" w:name="conclusiones"/>
    <w:p>
      <w:pPr>
        <w:pStyle w:val="Heading1"/>
      </w:pPr>
      <w:r>
        <w:t xml:space="preserve">10. Conclusiones</w:t>
      </w:r>
    </w:p>
    <w:p>
      <w:pPr>
        <w:pStyle w:val="FirstParagraph"/>
      </w:pPr>
      <w:r>
        <w:t xml:space="preserve">El análisis cubrió los seis objetivos específicos planteados.</w:t>
      </w:r>
    </w:p>
    <w:p>
      <w:pPr>
        <w:pStyle w:val="BodyText"/>
      </w:pPr>
      <w:r>
        <w:t xml:space="preserve">Se describió la estructura del conjunto: 2 154 021 observaciones de entrenamiento</w:t>
      </w:r>
      <w:r>
        <w:t xml:space="preserve"> </w:t>
      </w:r>
      <w:r>
        <w:t xml:space="preserve">sobre una rejilla global de 1° con 15 715 celdas, entre mayo de 2002 y agosto de</w:t>
      </w:r>
      <w:r>
        <w:t xml:space="preserve"> </w:t>
      </w:r>
      <w:r>
        <w:t xml:space="preserve">2015. Se evaluó la calidad y se encontró que el problema real no son los nulos</w:t>
      </w:r>
      <w:r>
        <w:t xml:space="preserve"> </w:t>
      </w:r>
      <w:r>
        <w:t xml:space="preserve">—no hay— sino la ausencia de 22 meses completos del calendario. Se analizó el</w:t>
      </w:r>
      <w:r>
        <w:t xml:space="preserve"> </w:t>
      </w:r>
      <w:r>
        <w:t xml:space="preserve">comportamiento temporal y se determinó que existe una tendencia descendente</w:t>
      </w:r>
      <w:r>
        <w:t xml:space="preserve"> </w:t>
      </w:r>
      <w:r>
        <w:t xml:space="preserve">sostenida y que la serie no es estacionaria en media. Se compararon las regiones y</w:t>
      </w:r>
      <w:r>
        <w:t xml:space="preserve"> </w:t>
      </w:r>
      <w:r>
        <w:t xml:space="preserve">se estableció que el promedio global no es representativo del comportamiento</w:t>
      </w:r>
      <w:r>
        <w:t xml:space="preserve"> </w:t>
      </w:r>
      <w:r>
        <w:t xml:space="preserve">local, lo que además explicó por qué la estacionalidad parecía ausente. Se</w:t>
      </w:r>
      <w:r>
        <w:t xml:space="preserve"> </w:t>
      </w:r>
      <w:r>
        <w:t xml:space="preserve">determinaron las asociaciones y se confirmó el predominio de la persistencia y el</w:t>
      </w:r>
      <w:r>
        <w:t xml:space="preserve"> </w:t>
      </w:r>
      <w:r>
        <w:t xml:space="preserve">ordenamiento de los SPEI por escala de acumulación.</w:t>
      </w:r>
    </w:p>
    <w:p>
      <w:pPr>
        <w:pStyle w:val="BodyText"/>
      </w:pPr>
      <w:r>
        <w:rPr>
          <w:b/>
          <w:bCs/>
        </w:rPr>
        <w:t xml:space="preserve">Limitaciones.</w:t>
      </w:r>
      <w:r>
        <w:t xml:space="preserve"> </w:t>
      </w:r>
      <w:r>
        <w:t xml:space="preserve">Las variables estandarizadas no admiten interpretación física en</w:t>
      </w:r>
      <w:r>
        <w:t xml:space="preserve"> </w:t>
      </w:r>
      <w:r>
        <w:t xml:space="preserve">unidades de volumen. La resolución de 1° describe escalas de cientos de kilómetros</w:t>
      </w:r>
      <w:r>
        <w:t xml:space="preserve"> </w:t>
      </w:r>
      <w:r>
        <w:t xml:space="preserve">y no permite conclusiones sobre cuencas pequeñas. El desbalance hemisférico hace</w:t>
      </w:r>
      <w:r>
        <w:t xml:space="preserve"> </w:t>
      </w:r>
      <w:r>
        <w:t xml:space="preserve">que toda métrica global esté dominada por el hemisferio norte. El análisis es</w:t>
      </w:r>
      <w:r>
        <w:t xml:space="preserve"> </w:t>
      </w:r>
      <w:r>
        <w:t xml:space="preserve">descriptivo y asociativo:</w:t>
      </w:r>
      <w:r>
        <w:t xml:space="preserve"> </w:t>
      </w:r>
      <w:r>
        <w:rPr>
          <w:b/>
          <w:bCs/>
        </w:rPr>
        <w:t xml:space="preserve">en ningún punto se establece causalidad</w:t>
      </w:r>
      <w:r>
        <w:t xml:space="preserve">.</w:t>
      </w:r>
    </w:p>
    <w:bookmarkEnd w:id="48"/>
    <w:bookmarkStart w:id="49" w:name="próximos-pasos"/>
    <w:p>
      <w:pPr>
        <w:pStyle w:val="Heading1"/>
      </w:pPr>
      <w:r>
        <w:t xml:space="preserve">11. Próximos pasos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Partir de la persistencia como línea base</w:t>
      </w:r>
      <w:r>
        <w:t xml:space="preserve">: RMSE 0.5724 es la referencia que</w:t>
      </w:r>
      <w:r>
        <w:t xml:space="preserve"> </w:t>
      </w:r>
      <w:r>
        <w:t xml:space="preserve">debe reportarse y superarse.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Construir rezagos respetando los meses ausentes</w:t>
      </w:r>
      <w:r>
        <w:t xml:space="preserve">: un</w:t>
      </w:r>
      <w:r>
        <w:t xml:space="preserve"> </w:t>
      </w:r>
      <w:r>
        <w:rPr>
          <w:rStyle w:val="VerbatimChar"/>
        </w:rPr>
        <w:t xml:space="preserve">shift()</w:t>
      </w:r>
      <w:r>
        <w:t xml:space="preserve"> </w:t>
      </w:r>
      <w:r>
        <w:t xml:space="preserve">sobre el</w:t>
      </w:r>
      <w:r>
        <w:t xml:space="preserve"> </w:t>
      </w:r>
      <w:r>
        <w:t xml:space="preserve">índice de filas produciría rezagos falsos, porque el registro anterior de una</w:t>
      </w:r>
      <w:r>
        <w:t xml:space="preserve"> </w:t>
      </w:r>
      <w:r>
        <w:t xml:space="preserve">celda no siempre corresponde al mes anterior.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Incorporar la dimensión regional</w:t>
      </w:r>
      <w:r>
        <w:t xml:space="preserve"> </w:t>
      </w:r>
      <w:r>
        <w:t xml:space="preserve">y validar por regiones además de</w:t>
      </w:r>
      <w:r>
        <w:t xml:space="preserve"> </w:t>
      </w:r>
      <w:r>
        <w:t xml:space="preserve">globalmente. La organización advierte que latitud y longitud no deberían usarse</w:t>
      </w:r>
      <w:r>
        <w:t xml:space="preserve"> </w:t>
      </w:r>
      <w:r>
        <w:t xml:space="preserve">directamente como predictores.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Tratar la tendencia explícitamente</w:t>
      </w:r>
      <w:r>
        <w:t xml:space="preserve">: diferenciar, incluir un término de</w:t>
      </w:r>
      <w:r>
        <w:t xml:space="preserve"> </w:t>
      </w:r>
      <w:r>
        <w:t xml:space="preserve">tendencia o trabajar sobre residuos.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Priorizar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SPEI_12_t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SPEI_06_t</w:t>
      </w:r>
      <w:r>
        <w:t xml:space="preserve"> </w:t>
      </w:r>
      <w:r>
        <w:t xml:space="preserve">sobre las escalas cortas.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Validar respetando el orden temporal</w:t>
      </w:r>
      <w:r>
        <w:t xml:space="preserve">, con partición cronológica y nunca</w:t>
      </w:r>
      <w:r>
        <w:t xml:space="preserve"> </w:t>
      </w:r>
      <w:r>
        <w:t xml:space="preserve">aleatoria.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Manejar el enmascaramiento del conjunto de prueba</w:t>
      </w:r>
      <w:r>
        <w:t xml:space="preserve">: el 66.53 % de las filas</w:t>
      </w:r>
      <w:r>
        <w:t xml:space="preserve"> </w:t>
      </w:r>
      <w:r>
        <w:t xml:space="preserve">no tiene</w:t>
      </w:r>
      <w:r>
        <w:t xml:space="preserve"> </w:t>
      </w:r>
      <w:r>
        <w:rPr>
          <w:rStyle w:val="VerbatimChar"/>
        </w:rPr>
        <w:t xml:space="preserve">TWS_t</w:t>
      </w:r>
      <w:r>
        <w:t xml:space="preserve">, que es justamente la variable más predictiva; esa condición</w:t>
      </w:r>
      <w:r>
        <w:t xml:space="preserve"> </w:t>
      </w:r>
      <w:r>
        <w:t xml:space="preserve">debe reproducirse en la validación.</w:t>
      </w:r>
    </w:p>
    <w:bookmarkEnd w:id="49"/>
    <w:bookmarkStart w:id="53" w:name="referencias"/>
    <w:p>
      <w:pPr>
        <w:pStyle w:val="Heading1"/>
      </w:pPr>
      <w:r>
        <w:t xml:space="preserve">12. Referencias</w:t>
      </w:r>
    </w:p>
    <w:p>
      <w:pPr>
        <w:pStyle w:val="Compact"/>
        <w:numPr>
          <w:ilvl w:val="0"/>
          <w:numId w:val="1010"/>
        </w:numPr>
      </w:pPr>
      <w:r>
        <w:t xml:space="preserve">Zindi / ITU.</w:t>
      </w:r>
      <w:r>
        <w:t xml:space="preserve"> </w:t>
      </w:r>
      <w:r>
        <w:rPr>
          <w:i/>
          <w:iCs/>
        </w:rPr>
        <w:t xml:space="preserve">A Step Ahead of Drought: Forecasting Global Water Storage</w:t>
      </w:r>
      <w:r>
        <w:rPr>
          <w:i/>
          <w:iCs/>
        </w:rPr>
        <w:t xml:space="preserve"> </w:t>
      </w:r>
      <w:r>
        <w:rPr>
          <w:i/>
          <w:iCs/>
        </w:rPr>
        <w:t xml:space="preserve">Challenge.</w:t>
      </w:r>
      <w:r>
        <w:t xml:space="preserve"> </w:t>
      </w:r>
      <w:hyperlink r:id="rId50">
        <w:r>
          <w:rPr>
            <w:rStyle w:val="Hyperlink"/>
          </w:rPr>
          <w:t xml:space="preserve">https://zindi.world/competitions/one-step-ahead-of-drought-forecasting-global-water-storage-challenge</w:t>
        </w:r>
      </w:hyperlink>
    </w:p>
    <w:p>
      <w:pPr>
        <w:pStyle w:val="Compact"/>
        <w:numPr>
          <w:ilvl w:val="0"/>
          <w:numId w:val="1010"/>
        </w:numPr>
      </w:pPr>
      <w:r>
        <w:t xml:space="preserve">Zindi / ITU.</w:t>
      </w:r>
      <w:r>
        <w:t xml:space="preserve"> </w:t>
      </w:r>
      <w:r>
        <w:rPr>
          <w:i/>
          <w:iCs/>
        </w:rPr>
        <w:t xml:space="preserve">StarterNotebook.ipynb</w:t>
      </w:r>
      <w:r>
        <w:t xml:space="preserve"> </w:t>
      </w:r>
      <w:r>
        <w:t xml:space="preserve">— documentación oficial del formato de datos</w:t>
      </w:r>
      <w:r>
        <w:t xml:space="preserve"> </w:t>
      </w:r>
      <w:r>
        <w:t xml:space="preserve">y del enmascaramiento del conjunto de prueba.</w:t>
      </w:r>
    </w:p>
    <w:p>
      <w:pPr>
        <w:pStyle w:val="Compact"/>
        <w:numPr>
          <w:ilvl w:val="0"/>
          <w:numId w:val="1010"/>
        </w:numPr>
      </w:pPr>
      <w:r>
        <w:t xml:space="preserve">Copernicus European Drought Observatory.</w:t>
      </w:r>
      <w:r>
        <w:t xml:space="preserve"> </w:t>
      </w:r>
      <w:r>
        <w:rPr>
          <w:i/>
          <w:iCs/>
        </w:rPr>
        <w:t xml:space="preserve">GRACE Total Water Storage (TWS)</w:t>
      </w:r>
      <w:r>
        <w:rPr>
          <w:i/>
          <w:iCs/>
        </w:rPr>
        <w:t xml:space="preserve"> </w:t>
      </w:r>
      <w:r>
        <w:rPr>
          <w:i/>
          <w:iCs/>
        </w:rPr>
        <w:t xml:space="preserve">Anomaly — Factsheet.</w:t>
      </w:r>
      <w:r>
        <w:t xml:space="preserve"> </w:t>
      </w:r>
      <w:hyperlink r:id="rId51">
        <w:r>
          <w:rPr>
            <w:rStyle w:val="Hyperlink"/>
          </w:rPr>
          <w:t xml:space="preserve">https://drought.emergency.copernicus.eu/data/factsheets/factsheet_grace_tws_anomaly.pdf</w:t>
        </w:r>
      </w:hyperlink>
    </w:p>
    <w:p>
      <w:pPr>
        <w:pStyle w:val="Compact"/>
        <w:numPr>
          <w:ilvl w:val="0"/>
          <w:numId w:val="1010"/>
        </w:numPr>
      </w:pPr>
      <w:r>
        <w:t xml:space="preserve">Vicente-Serrano, S. M., Beguería, S. y López-Moreno, J. I.</w:t>
      </w:r>
      <w:r>
        <w:t xml:space="preserve"> </w:t>
      </w:r>
      <w:r>
        <w:rPr>
          <w:i/>
          <w:iCs/>
        </w:rPr>
        <w:t xml:space="preserve">SPEI: The</w:t>
      </w:r>
      <w:r>
        <w:rPr>
          <w:i/>
          <w:iCs/>
        </w:rPr>
        <w:t xml:space="preserve"> </w:t>
      </w:r>
      <w:r>
        <w:rPr>
          <w:i/>
          <w:iCs/>
        </w:rPr>
        <w:t xml:space="preserve">Standardised Precipitation-Evapotranspiration Index.</w:t>
      </w:r>
      <w:r>
        <w:t xml:space="preserve"> </w:t>
      </w:r>
      <w:hyperlink r:id="rId52">
        <w:r>
          <w:rPr>
            <w:rStyle w:val="Hyperlink"/>
          </w:rPr>
          <w:t xml:space="preserve">https://spei.csic.es/home.html</w:t>
        </w:r>
      </w:hyperlink>
    </w:p>
    <w:p>
      <w:pPr>
        <w:pStyle w:val="Compact"/>
        <w:numPr>
          <w:ilvl w:val="0"/>
          <w:numId w:val="1010"/>
        </w:numPr>
      </w:pPr>
      <w:r>
        <w:t xml:space="preserve">Universidad del Valle de Guatemala.</w:t>
      </w:r>
      <w:r>
        <w:t xml:space="preserve"> </w:t>
      </w:r>
      <w:r>
        <w:rPr>
          <w:i/>
          <w:iCs/>
        </w:rPr>
        <w:t xml:space="preserve">Guía del Proyecto 2 — Análisis</w:t>
      </w:r>
      <w:r>
        <w:rPr>
          <w:i/>
          <w:iCs/>
        </w:rPr>
        <w:t xml:space="preserve"> </w:t>
      </w:r>
      <w:r>
        <w:rPr>
          <w:i/>
          <w:iCs/>
        </w:rPr>
        <w:t xml:space="preserve">Exploratorio</w:t>
      </w:r>
      <w:r>
        <w:t xml:space="preserve">, CC3084 Data Science, Semestre II 2026.</w:t>
      </w:r>
    </w:p>
    <w:p>
      <w:pPr>
        <w:pStyle w:val="Compact"/>
        <w:numPr>
          <w:ilvl w:val="0"/>
          <w:numId w:val="1010"/>
        </w:numPr>
      </w:pPr>
      <w:r>
        <w:t xml:space="preserve">Material del curso CC3084:</w:t>
      </w:r>
      <w:r>
        <w:t xml:space="preserve"> </w:t>
      </w:r>
      <w:r>
        <w:rPr>
          <w:i/>
          <w:iCs/>
        </w:rPr>
        <w:t xml:space="preserve">Ejemplo series de tiempo LSTM</w:t>
      </w:r>
      <w:r>
        <w:t xml:space="preserve">,</w:t>
      </w:r>
      <w:r>
        <w:t xml:space="preserve"> </w:t>
      </w:r>
      <w:r>
        <w:rPr>
          <w:i/>
          <w:iCs/>
        </w:rPr>
        <w:t xml:space="preserve">Practica01 Incendios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EjemploGIS Sentinel2</w:t>
      </w:r>
      <w:r>
        <w:t xml:space="preserve">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hyperlink" Id="rId51" Target="https://drought.emergency.copernicus.eu/data/factsheets/factsheet_grace_tws_anomaly.pdf" TargetMode="External" /><Relationship Type="http://schemas.openxmlformats.org/officeDocument/2006/relationships/hyperlink" Id="rId9" Target="https://github.com/Javiervalladares1/CC3084-Proyecto2-Drought-EDA" TargetMode="External" /><Relationship Type="http://schemas.openxmlformats.org/officeDocument/2006/relationships/hyperlink" Id="rId52" Target="https://spei.csic.es/home.html" TargetMode="External" /><Relationship Type="http://schemas.openxmlformats.org/officeDocument/2006/relationships/hyperlink" Id="rId50" Target="https://zindi.world/competitions/one-step-ahead-of-drought-forecasting-global-water-storage-challe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drought.emergency.copernicus.eu/data/factsheets/factsheet_grace_tws_anomaly.pdf" TargetMode="External" /><Relationship Type="http://schemas.openxmlformats.org/officeDocument/2006/relationships/hyperlink" Id="rId9" Target="https://github.com/Javiervalladares1/CC3084-Proyecto2-Drought-EDA" TargetMode="External" /><Relationship Type="http://schemas.openxmlformats.org/officeDocument/2006/relationships/hyperlink" Id="rId52" Target="https://spei.csic.es/home.html" TargetMode="External" /><Relationship Type="http://schemas.openxmlformats.org/officeDocument/2006/relationships/hyperlink" Id="rId50" Target="https://zindi.world/competitions/one-step-ahead-of-drought-forecasting-global-water-storage-challe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2 — Análisis Exploratorio</dc:title>
  <dc:creator>CC3084 — Data Science · Universidad del Valle de Guatemala · Semestre II 2026</dc:creator>
  <dc:language>es</dc:language>
  <cp:keywords/>
  <dcterms:created xsi:type="dcterms:W3CDTF">2026-09-07T03:23:55Z</dcterms:created>
  <dcterms:modified xsi:type="dcterms:W3CDTF">2026-09-07T03:23:55Z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margin=2.5cm</vt:lpwstr>
  </property>
  <property fmtid="{D5CDD505-2E9C-101B-9397-08002B2CF9AE}" pid="4" name="subtitle">
    <vt:lpwstr>A Step Ahead of Drought: Forecasting Global Water Storage Challenge by ITU</vt:lpwstr>
  </property>
</Properties>
</file>