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352"/>
        <w:gridCol w:w="1728"/>
      </w:tblGrid>
      <w:tr>
        <w:tc>
          <w:tcPr>
            <w:tcW w:type="dxa" w:w="5040"/>
            <w:vAlign w:val="center"/>
            <w:tcBorders>
              <w:top w:val="nil"/>
              <w:left w:val="nil"/>
              <w:bottom w:val="nil"/>
              <w:right w:val="nil"/>
            </w:tcBorders>
          </w:tcPr>
          <w:p>
            <w:pPr>
              <w:jc w:val="left"/>
            </w:pPr>
            <w:r>
              <w:rPr>
                <w:rFonts w:ascii="Arial" w:hAnsi="Arial"/>
                <w:b/>
                <w:sz w:val="21"/>
              </w:rPr>
              <w:t>UNIVERSIDAD MARIANO GÁLVEZ DE GUATEMALA</w:t>
              <w:br/>
            </w:r>
            <w:r>
              <w:rPr>
                <w:rFonts w:ascii="Arial" w:hAnsi="Arial"/>
                <w:b/>
                <w:sz w:val="21"/>
              </w:rPr>
              <w:t>CENTRO UNIVERSITARIO GUASTATOYA</w:t>
              <w:br/>
            </w:r>
            <w:r>
              <w:rPr>
                <w:rFonts w:ascii="Arial" w:hAnsi="Arial"/>
                <w:b w:val="0"/>
                <w:sz w:val="21"/>
              </w:rPr>
              <w:t>FACULTAD: INGENIERÍA EN SISTEMAS</w:t>
              <w:br/>
            </w:r>
            <w:r>
              <w:rPr>
                <w:rFonts w:ascii="Arial" w:hAnsi="Arial"/>
                <w:b w:val="0"/>
                <w:sz w:val="21"/>
              </w:rPr>
              <w:t>CURSO: ANÁLISIS DE SISTEMAS II</w:t>
              <w:br/>
            </w:r>
            <w:r>
              <w:rPr>
                <w:rFonts w:ascii="Arial" w:hAnsi="Arial"/>
                <w:b w:val="0"/>
                <w:sz w:val="21"/>
              </w:rPr>
              <w:t>CÁTEDRA: _______________________________</w:t>
              <w:br/>
            </w:r>
            <w:r>
              <w:rPr>
                <w:rFonts w:ascii="Arial" w:hAnsi="Arial"/>
                <w:b w:val="0"/>
                <w:sz w:val="21"/>
              </w:rPr>
              <w:t>SECCIÓN: A</w:t>
            </w:r>
          </w:p>
        </w:tc>
        <w:tc>
          <w:tcPr>
            <w:tcW w:type="dxa" w:w="5040"/>
            <w:vAlign w:val="center"/>
            <w:tcBorders>
              <w:top w:val="nil"/>
              <w:left w:val="nil"/>
              <w:bottom w:val="nil"/>
              <w:right w:val="nil"/>
            </w:tcBorders>
          </w:tcPr>
          <w:p>
            <w:pPr>
              <w:jc w:val="center"/>
            </w:pPr>
            <w:r>
              <w:drawing>
                <wp:inline xmlns:a="http://schemas.openxmlformats.org/drawingml/2006/main" xmlns:pic="http://schemas.openxmlformats.org/drawingml/2006/picture">
                  <wp:extent cx="914400" cy="749808"/>
                  <wp:docPr id="1" name="Picture 1"/>
                  <wp:cNvGraphicFramePr>
                    <a:graphicFrameLocks noChangeAspect="1"/>
                  </wp:cNvGraphicFramePr>
                  <a:graphic>
                    <a:graphicData uri="http://schemas.openxmlformats.org/drawingml/2006/picture">
                      <pic:pic>
                        <pic:nvPicPr>
                          <pic:cNvPr id="0" name="umg_logo.png"/>
                          <pic:cNvPicPr/>
                        </pic:nvPicPr>
                        <pic:blipFill>
                          <a:blip r:embed="rId11"/>
                          <a:stretch>
                            <a:fillRect/>
                          </a:stretch>
                        </pic:blipFill>
                        <pic:spPr>
                          <a:xfrm>
                            <a:off x="0" y="0"/>
                            <a:ext cx="914400" cy="749808"/>
                          </a:xfrm>
                          <a:prstGeom prst="rect"/>
                        </pic:spPr>
                      </pic:pic>
                    </a:graphicData>
                  </a:graphic>
                </wp:inline>
              </w:drawing>
            </w:r>
          </w:p>
        </w:tc>
      </w:tr>
    </w:tbl>
    <w:p/>
    <w:p/>
    <w:p/>
    <w:p>
      <w:pPr>
        <w:spacing w:after="160"/>
        <w:jc w:val="center"/>
      </w:pPr>
      <w:r>
        <w:rPr>
          <w:rFonts w:ascii="Arial" w:hAnsi="Arial"/>
          <w:b/>
          <w:sz w:val="36"/>
        </w:rPr>
        <w:t>APLICACIÓN DEL PRINCIPIO ISP AL DISEÑO DEL</w:t>
        <w:br/>
        <w:t>DASHBOARD DE OCUPACIÓN HOSPITALARIA</w:t>
      </w:r>
    </w:p>
    <w:p>
      <w:pPr>
        <w:jc w:val="center"/>
      </w:pPr>
      <w:r>
        <w:rPr>
          <w:rFonts w:ascii="Arial" w:hAnsi="Arial"/>
          <w:i/>
          <w:sz w:val="24"/>
        </w:rPr>
        <w:t>Consolidación y consulta de ocupación por sala y estado de cama</w:t>
      </w:r>
    </w:p>
    <w:p/>
    <w:p/>
    <w:p/>
    <w:p/>
    <w:p/>
    <w:tbl>
      <w:tblPr>
        <w:tblW w:type="auto" w:w="0"/>
        <w:jc w:val="center"/>
        <w:tblLayout w:type="fixed"/>
        <w:tblLook w:firstColumn="1" w:firstRow="1" w:lastColumn="0" w:lastRow="0" w:noHBand="0" w:noVBand="1" w:val="04A0"/>
      </w:tblPr>
      <w:tblGrid>
        <w:gridCol w:w="5040"/>
        <w:gridCol w:w="5040"/>
      </w:tblGrid>
      <w:tr>
        <w:tc>
          <w:tcPr>
            <w:tcW w:type="dxa" w:w="5472"/>
            <w:tcBorders>
              <w:top w:val="nil"/>
              <w:left w:val="nil"/>
              <w:bottom w:val="nil"/>
              <w:right w:val="nil"/>
            </w:tcBorders>
          </w:tcPr>
          <w:p>
            <w:pPr>
              <w:jc w:val="left"/>
            </w:pPr>
            <w:r>
              <w:rPr>
                <w:rFonts w:ascii="Arial" w:hAnsi="Arial"/>
                <w:sz w:val="19"/>
              </w:rPr>
              <w:t>URL DEL REPOSITORIO: https://github.com/compilations-teams/sistema-hospitalario-integrado-SistenasII-2026</w:t>
              <w:br/>
            </w:r>
            <w:r>
              <w:rPr>
                <w:rFonts w:ascii="Arial" w:hAnsi="Arial"/>
                <w:sz w:val="19"/>
              </w:rPr>
              <w:t>RAMA: feature/asii-09-dashboard-de-ocupacion-hospitalaria-javifa2324</w:t>
              <w:br/>
            </w:r>
            <w:r>
              <w:rPr>
                <w:rFonts w:ascii="Arial" w:hAnsi="Arial"/>
                <w:sz w:val="19"/>
              </w:rPr>
              <w:t>ETIQUETA EVALUADA: asii-09-semana2</w:t>
            </w:r>
          </w:p>
        </w:tc>
        <w:tc>
          <w:tcPr>
            <w:tcW w:type="dxa" w:w="4608"/>
            <w:tcBorders>
              <w:top w:val="nil"/>
              <w:left w:val="nil"/>
              <w:bottom w:val="nil"/>
              <w:right w:val="nil"/>
            </w:tcBorders>
          </w:tcPr>
          <w:p>
            <w:pPr>
              <w:jc w:val="left"/>
            </w:pPr>
            <w:r>
              <w:rPr>
                <w:rFonts w:ascii="Arial" w:hAnsi="Arial"/>
                <w:sz w:val="19"/>
              </w:rPr>
              <w:t>NOMBRE DEL ESTUDIANTE: Javier Alexander Fajardo López</w:t>
              <w:br/>
            </w:r>
            <w:r>
              <w:rPr>
                <w:rFonts w:ascii="Arial" w:hAnsi="Arial"/>
                <w:sz w:val="19"/>
              </w:rPr>
              <w:t>NÚMERO DE CARNÉ: ____________________</w:t>
              <w:br/>
            </w:r>
            <w:r>
              <w:rPr>
                <w:rFonts w:ascii="Arial" w:hAnsi="Arial"/>
                <w:sz w:val="19"/>
              </w:rPr>
              <w:t>FECHA DE ENTREGA: 14 de agosto de 2026</w:t>
            </w:r>
          </w:p>
        </w:tc>
      </w:tr>
    </w:tbl>
    <w:p>
      <w:r>
        <w:br w:type="page"/>
      </w:r>
    </w:p>
    <w:p>
      <w:pPr>
        <w:pStyle w:val="Title"/>
        <w:jc w:val="center"/>
      </w:pPr>
      <w:r>
        <w:t>ÍNDICE</w:t>
      </w:r>
    </w:p>
    <w:p>
      <w:pPr>
        <w:tabs>
          <w:tab w:pos="9360" w:val="left"/>
        </w:tabs>
        <w:spacing w:after="100"/>
      </w:pPr>
      <w:r>
        <w:t>1. Introducción</w:t>
      </w:r>
      <w:r>
        <w:tab/>
        <w:t>3</w:t>
      </w:r>
    </w:p>
    <w:p>
      <w:pPr>
        <w:tabs>
          <w:tab w:pos="9360" w:val="left"/>
        </w:tabs>
        <w:spacing w:after="100"/>
      </w:pPr>
      <w:r>
        <w:t>2. Módulo, flujo y alcance</w:t>
      </w:r>
      <w:r>
        <w:tab/>
        <w:t>3</w:t>
      </w:r>
    </w:p>
    <w:p>
      <w:pPr>
        <w:tabs>
          <w:tab w:pos="9360" w:val="left"/>
        </w:tabs>
        <w:spacing w:after="100"/>
      </w:pPr>
      <w:r>
        <w:t>3. Requisitos funcionales y no funcionales</w:t>
      </w:r>
      <w:r>
        <w:tab/>
        <w:t>4</w:t>
      </w:r>
    </w:p>
    <w:p>
      <w:pPr>
        <w:tabs>
          <w:tab w:pos="9360" w:val="left"/>
        </w:tabs>
        <w:spacing w:after="100"/>
      </w:pPr>
      <w:r>
        <w:t>4. Criterios de aceptación</w:t>
      </w:r>
      <w:r>
        <w:tab/>
        <w:t>4</w:t>
      </w:r>
    </w:p>
    <w:p>
      <w:pPr>
        <w:tabs>
          <w:tab w:pos="9360" w:val="left"/>
        </w:tabs>
        <w:spacing w:after="100"/>
      </w:pPr>
      <w:r>
        <w:t>5. Aplicación del principio ISP</w:t>
      </w:r>
      <w:r>
        <w:tab/>
        <w:t>5</w:t>
      </w:r>
    </w:p>
    <w:p>
      <w:pPr>
        <w:tabs>
          <w:tab w:pos="9360" w:val="left"/>
        </w:tabs>
        <w:spacing w:after="100"/>
      </w:pPr>
      <w:r>
        <w:t>6. Diseño antes de aplicar ISP</w:t>
      </w:r>
      <w:r>
        <w:tab/>
        <w:t>5</w:t>
      </w:r>
    </w:p>
    <w:p>
      <w:pPr>
        <w:tabs>
          <w:tab w:pos="9360" w:val="left"/>
        </w:tabs>
        <w:spacing w:after="100"/>
      </w:pPr>
      <w:r>
        <w:t>7. Diseño después de aplicar ISP</w:t>
      </w:r>
      <w:r>
        <w:tab/>
        <w:t>6</w:t>
      </w:r>
    </w:p>
    <w:p>
      <w:pPr>
        <w:tabs>
          <w:tab w:pos="9360" w:val="left"/>
        </w:tabs>
        <w:spacing w:after="100"/>
      </w:pPr>
      <w:r>
        <w:t>8. Responsabilidades y dependencias</w:t>
      </w:r>
      <w:r>
        <w:tab/>
        <w:t>7</w:t>
      </w:r>
    </w:p>
    <w:p>
      <w:pPr>
        <w:tabs>
          <w:tab w:pos="9360" w:val="left"/>
        </w:tabs>
        <w:spacing w:after="100"/>
      </w:pPr>
      <w:r>
        <w:t>9. Evidencia y validación</w:t>
      </w:r>
      <w:r>
        <w:tab/>
        <w:t>8</w:t>
      </w:r>
    </w:p>
    <w:p>
      <w:pPr>
        <w:tabs>
          <w:tab w:pos="9360" w:val="left"/>
        </w:tabs>
        <w:spacing w:after="100"/>
      </w:pPr>
      <w:r>
        <w:t>10. Conclusión</w:t>
      </w:r>
      <w:r>
        <w:tab/>
        <w:t>8</w:t>
      </w:r>
    </w:p>
    <w:p>
      <w:pPr>
        <w:tabs>
          <w:tab w:pos="9360" w:val="left"/>
        </w:tabs>
        <w:spacing w:after="100"/>
      </w:pPr>
      <w:r>
        <w:t>11. Bibliografía</w:t>
      </w:r>
      <w:r>
        <w:tab/>
        <w:t>8</w:t>
      </w:r>
    </w:p>
    <w:p>
      <w:r>
        <w:br w:type="page"/>
      </w:r>
    </w:p>
    <w:p>
      <w:pPr>
        <w:pStyle w:val="Heading1"/>
        <w:spacing w:before="160" w:after="100"/>
      </w:pPr>
      <w:r>
        <w:t>1. Introducción</w:t>
      </w:r>
    </w:p>
    <w:p>
      <w:pPr>
        <w:spacing w:after="120" w:line="276" w:lineRule="auto"/>
        <w:jc w:val="both"/>
      </w:pPr>
      <w:r>
        <w:t>En este trabajo aplico el principio de Segregación de Interfaces (ISP) al diseño del Dashboard de ocupación hospitalaria. El flujo que analizo es la consolidación y consulta de ocupación por sala y estado de cama. La idea no es cambiar lo que hace el módulo, sino revisar cómo están organizadas sus dependencias para evitar que un componente tenga que conocer operaciones que realmente no utiliza.</w:t>
      </w:r>
    </w:p>
    <w:p>
      <w:pPr>
        <w:spacing w:after="120" w:line="276" w:lineRule="auto"/>
        <w:jc w:val="both"/>
      </w:pPr>
      <w:r>
        <w:t>El ejercicio parte de un diseño sencillo donde varias consultas del dashboard están reunidas en una sola interfaz. Después se separan esas operaciones en interfaces más pequeñas según la necesidad de cada parte del dashboard. Con esto se busca que el diseño quede más claro, fácil de mantener y menos sensible a cambios que no le corresponden.</w:t>
      </w:r>
    </w:p>
    <w:p>
      <w:pPr>
        <w:pStyle w:val="Heading1"/>
        <w:spacing w:before="160" w:after="100"/>
      </w:pPr>
      <w:r>
        <w:t>2. Módulo, flujo y alcance</w:t>
      </w:r>
    </w:p>
    <w:p>
      <w:pPr>
        <w:pStyle w:val="Heading2"/>
        <w:spacing w:before="160" w:after="100"/>
      </w:pPr>
      <w:r>
        <w:t>2.1 Módulo asignado</w:t>
      </w:r>
    </w:p>
    <w:p>
      <w:pPr>
        <w:spacing w:after="120" w:line="276" w:lineRule="auto"/>
        <w:jc w:val="both"/>
      </w:pPr>
      <w:r>
        <w:t>Mi módulo es el Dashboard de ocupación hospitalaria. Su función es mostrar de forma resumida cómo se encuentran las camas del hospital, permitiendo revisar la ocupación general, consultar por sala, filtrar por estado y ver indicadores relacionados con la ocupación.</w:t>
      </w:r>
    </w:p>
    <w:p>
      <w:pPr>
        <w:pStyle w:val="Heading2"/>
        <w:spacing w:before="160" w:after="100"/>
      </w:pPr>
      <w:r>
        <w:t>2.2 Flujo trabajado</w:t>
      </w:r>
    </w:p>
    <w:p>
      <w:pPr>
        <w:spacing w:after="120" w:line="276" w:lineRule="auto"/>
        <w:jc w:val="both"/>
      </w:pPr>
      <w:r>
        <w:t>El flujo trabajado es la consolidación y consulta de ocupación por sala y estado de cama. Un usuario autorizado abre el dashboard, consulta el resumen, puede aplicar filtros y recibe la información disponible sin modificar directamente el estado de las camas.</w:t>
      </w:r>
    </w:p>
    <w:p>
      <w:pPr>
        <w:pStyle w:val="Heading2"/>
        <w:spacing w:before="160" w:after="100"/>
      </w:pPr>
      <w:r>
        <w:t>2.3 Alcance</w:t>
      </w:r>
    </w:p>
    <w:p>
      <w:pPr>
        <w:spacing w:after="120" w:line="276" w:lineRule="auto"/>
        <w:jc w:val="both"/>
      </w:pPr>
      <w:r>
        <w:t>El alcance se limita a consultar y presentar información de ocupación. No incluye crear salas, registrar camas, admitir pacientes, trasladarlos, dar altas ni liberar camas. Esas acciones pertenecen a otros procesos y no son necesarias para demostrar ISP en este módulo.</w:t>
      </w:r>
    </w:p>
    <w:p>
      <w:pPr>
        <w:pStyle w:val="Heading2"/>
        <w:spacing w:before="160" w:after="100"/>
      </w:pPr>
      <w:r>
        <w:t>2.4 Objetivo del cambio</w:t>
      </w:r>
    </w:p>
    <w:p>
      <w:pPr>
        <w:spacing w:after="120" w:line="276" w:lineRule="auto"/>
        <w:jc w:val="both"/>
      </w:pPr>
      <w:r>
        <w:t>El objetivo es separar las dependencias del dashboard para que cada cliente utilice una interfaz pequeña y enfocada. El resumen no necesita depender de los filtros, los filtros no necesitan depender del detalle de una cama y el componente de métricas no necesita conocer operaciones que no usa.</w:t>
      </w:r>
    </w:p>
    <w:p>
      <w:r>
        <w:br w:type="page"/>
      </w:r>
    </w:p>
    <w:p>
      <w:pPr>
        <w:pStyle w:val="Heading1"/>
        <w:spacing w:before="160" w:after="100"/>
      </w:pPr>
      <w:r>
        <w:t>3. Requisitos funcionales y no funcionales</w:t>
      </w:r>
    </w:p>
    <w:p>
      <w:pPr>
        <w:pStyle w:val="Heading2"/>
        <w:spacing w:before="160" w:after="100"/>
      </w:pPr>
      <w:r>
        <w:t>3.1 Requisitos funcionales (RF)</w:t>
      </w:r>
    </w:p>
    <w:tbl>
      <w:tblPr>
        <w:tblStyle w:val="TableGrid"/>
        <w:tblW w:type="auto" w:w="0"/>
        <w:jc w:val="center"/>
        <w:tblLook w:firstColumn="1" w:firstRow="1" w:lastColumn="0" w:lastRow="0" w:noHBand="0" w:noVBand="1" w:val="04A0"/>
      </w:tblPr>
      <w:tblGrid>
        <w:gridCol w:w="5040"/>
        <w:gridCol w:w="5040"/>
      </w:tblGrid>
      <w:tr>
        <w:tc>
          <w:tcPr>
            <w:tcW w:type="dxa" w:w="1008"/>
            <w:vAlign w:val="center"/>
            <w:shd w:fill="D9EAF7"/>
          </w:tcPr>
          <w:p>
            <w:pPr>
              <w:spacing w:after="30" w:before="30" w:line="240" w:lineRule="auto"/>
            </w:pPr>
            <w:r>
              <w:rPr>
                <w:rFonts w:ascii="Arial" w:hAnsi="Arial"/>
                <w:b/>
                <w:sz w:val="18"/>
              </w:rPr>
              <w:t>ID</w:t>
            </w:r>
          </w:p>
        </w:tc>
        <w:tc>
          <w:tcPr>
            <w:tcW w:type="dxa" w:w="8928"/>
            <w:vAlign w:val="center"/>
            <w:shd w:fill="D9EAF7"/>
          </w:tcPr>
          <w:p>
            <w:pPr>
              <w:spacing w:after="30" w:before="30" w:line="240" w:lineRule="auto"/>
            </w:pPr>
            <w:r>
              <w:rPr>
                <w:rFonts w:ascii="Arial" w:hAnsi="Arial"/>
                <w:b/>
                <w:sz w:val="18"/>
              </w:rPr>
              <w:t>Requisito funcional</w:t>
            </w:r>
          </w:p>
        </w:tc>
      </w:tr>
      <w:tr>
        <w:tc>
          <w:tcPr>
            <w:tcW w:type="dxa" w:w="1008"/>
            <w:vAlign w:val="center"/>
          </w:tcPr>
          <w:p>
            <w:pPr>
              <w:spacing w:after="30" w:before="30" w:line="240" w:lineRule="auto"/>
            </w:pPr>
            <w:r>
              <w:rPr>
                <w:rFonts w:ascii="Arial" w:hAnsi="Arial"/>
                <w:sz w:val="18"/>
              </w:rPr>
              <w:t>RF-01</w:t>
            </w:r>
          </w:p>
        </w:tc>
        <w:tc>
          <w:tcPr>
            <w:tcW w:type="dxa" w:w="8928"/>
            <w:vAlign w:val="center"/>
          </w:tcPr>
          <w:p>
            <w:pPr>
              <w:spacing w:after="30" w:before="30" w:line="240" w:lineRule="auto"/>
            </w:pPr>
            <w:r>
              <w:rPr>
                <w:rFonts w:ascii="Arial" w:hAnsi="Arial"/>
                <w:sz w:val="18"/>
              </w:rPr>
              <w:t>Consultar el resumen general de ocupación, mostrando al menos total de camas, ocupadas y disponibles.</w:t>
            </w:r>
          </w:p>
        </w:tc>
      </w:tr>
      <w:tr>
        <w:tc>
          <w:tcPr>
            <w:tcW w:type="dxa" w:w="1008"/>
            <w:vAlign w:val="center"/>
          </w:tcPr>
          <w:p>
            <w:pPr>
              <w:spacing w:after="30" w:before="30" w:line="240" w:lineRule="auto"/>
            </w:pPr>
            <w:r>
              <w:rPr>
                <w:rFonts w:ascii="Arial" w:hAnsi="Arial"/>
                <w:sz w:val="18"/>
              </w:rPr>
              <w:t>RF-02</w:t>
            </w:r>
          </w:p>
        </w:tc>
        <w:tc>
          <w:tcPr>
            <w:tcW w:type="dxa" w:w="8928"/>
            <w:vAlign w:val="center"/>
          </w:tcPr>
          <w:p>
            <w:pPr>
              <w:spacing w:after="30" w:before="30" w:line="240" w:lineRule="auto"/>
            </w:pPr>
            <w:r>
              <w:rPr>
                <w:rFonts w:ascii="Arial" w:hAnsi="Arial"/>
                <w:sz w:val="18"/>
              </w:rPr>
              <w:t>Consultar la ocupación de una sala específica.</w:t>
            </w:r>
          </w:p>
        </w:tc>
      </w:tr>
      <w:tr>
        <w:tc>
          <w:tcPr>
            <w:tcW w:type="dxa" w:w="1008"/>
            <w:vAlign w:val="center"/>
          </w:tcPr>
          <w:p>
            <w:pPr>
              <w:spacing w:after="30" w:before="30" w:line="240" w:lineRule="auto"/>
            </w:pPr>
            <w:r>
              <w:rPr>
                <w:rFonts w:ascii="Arial" w:hAnsi="Arial"/>
                <w:sz w:val="18"/>
              </w:rPr>
              <w:t>RF-03</w:t>
            </w:r>
          </w:p>
        </w:tc>
        <w:tc>
          <w:tcPr>
            <w:tcW w:type="dxa" w:w="8928"/>
            <w:vAlign w:val="center"/>
          </w:tcPr>
          <w:p>
            <w:pPr>
              <w:spacing w:after="30" w:before="30" w:line="240" w:lineRule="auto"/>
            </w:pPr>
            <w:r>
              <w:rPr>
                <w:rFonts w:ascii="Arial" w:hAnsi="Arial"/>
                <w:sz w:val="18"/>
              </w:rPr>
              <w:t>Filtrar la información por estado de cama.</w:t>
            </w:r>
          </w:p>
        </w:tc>
      </w:tr>
      <w:tr>
        <w:tc>
          <w:tcPr>
            <w:tcW w:type="dxa" w:w="1008"/>
            <w:vAlign w:val="center"/>
          </w:tcPr>
          <w:p>
            <w:pPr>
              <w:spacing w:after="30" w:before="30" w:line="240" w:lineRule="auto"/>
            </w:pPr>
            <w:r>
              <w:rPr>
                <w:rFonts w:ascii="Arial" w:hAnsi="Arial"/>
                <w:sz w:val="18"/>
              </w:rPr>
              <w:t>RF-04</w:t>
            </w:r>
          </w:p>
        </w:tc>
        <w:tc>
          <w:tcPr>
            <w:tcW w:type="dxa" w:w="8928"/>
            <w:vAlign w:val="center"/>
          </w:tcPr>
          <w:p>
            <w:pPr>
              <w:spacing w:after="30" w:before="30" w:line="240" w:lineRule="auto"/>
            </w:pPr>
            <w:r>
              <w:rPr>
                <w:rFonts w:ascii="Arial" w:hAnsi="Arial"/>
                <w:sz w:val="18"/>
              </w:rPr>
              <w:t>Obtener el porcentaje o indicador de ocupación a partir de los datos consolidados.</w:t>
            </w:r>
          </w:p>
        </w:tc>
      </w:tr>
      <w:tr>
        <w:tc>
          <w:tcPr>
            <w:tcW w:type="dxa" w:w="1008"/>
            <w:vAlign w:val="center"/>
          </w:tcPr>
          <w:p>
            <w:pPr>
              <w:spacing w:after="30" w:before="30" w:line="240" w:lineRule="auto"/>
            </w:pPr>
            <w:r>
              <w:rPr>
                <w:rFonts w:ascii="Arial" w:hAnsi="Arial"/>
                <w:sz w:val="18"/>
              </w:rPr>
              <w:t>RF-05</w:t>
            </w:r>
          </w:p>
        </w:tc>
        <w:tc>
          <w:tcPr>
            <w:tcW w:type="dxa" w:w="8928"/>
            <w:vAlign w:val="center"/>
          </w:tcPr>
          <w:p>
            <w:pPr>
              <w:spacing w:after="30" w:before="30" w:line="240" w:lineRule="auto"/>
            </w:pPr>
            <w:r>
              <w:rPr>
                <w:rFonts w:ascii="Arial" w:hAnsi="Arial"/>
                <w:sz w:val="18"/>
              </w:rPr>
              <w:t>Consultar el detalle básico de una cama cuando el usuario lo solicite.</w:t>
            </w:r>
          </w:p>
        </w:tc>
      </w:tr>
      <w:tr>
        <w:tc>
          <w:tcPr>
            <w:tcW w:type="dxa" w:w="1008"/>
            <w:vAlign w:val="center"/>
          </w:tcPr>
          <w:p>
            <w:pPr>
              <w:spacing w:after="30" w:before="30" w:line="240" w:lineRule="auto"/>
            </w:pPr>
            <w:r>
              <w:rPr>
                <w:rFonts w:ascii="Arial" w:hAnsi="Arial"/>
                <w:sz w:val="18"/>
              </w:rPr>
              <w:t>RF-06</w:t>
            </w:r>
          </w:p>
        </w:tc>
        <w:tc>
          <w:tcPr>
            <w:tcW w:type="dxa" w:w="8928"/>
            <w:vAlign w:val="center"/>
          </w:tcPr>
          <w:p>
            <w:pPr>
              <w:spacing w:after="30" w:before="30" w:line="240" w:lineRule="auto"/>
            </w:pPr>
            <w:r>
              <w:rPr>
                <w:rFonts w:ascii="Arial" w:hAnsi="Arial"/>
                <w:sz w:val="18"/>
              </w:rPr>
              <w:t>Mostrar un estado vacío cuando no existan datos y un mensaje claro cuando ocurra un error de consulta.</w:t>
            </w:r>
          </w:p>
        </w:tc>
      </w:tr>
      <w:tr>
        <w:tc>
          <w:tcPr>
            <w:tcW w:type="dxa" w:w="1008"/>
            <w:vAlign w:val="center"/>
          </w:tcPr>
          <w:p>
            <w:pPr>
              <w:spacing w:after="30" w:before="30" w:line="240" w:lineRule="auto"/>
            </w:pPr>
            <w:r>
              <w:rPr>
                <w:rFonts w:ascii="Arial" w:hAnsi="Arial"/>
                <w:sz w:val="18"/>
              </w:rPr>
              <w:t>RF-07</w:t>
            </w:r>
          </w:p>
        </w:tc>
        <w:tc>
          <w:tcPr>
            <w:tcW w:type="dxa" w:w="8928"/>
            <w:vAlign w:val="center"/>
          </w:tcPr>
          <w:p>
            <w:pPr>
              <w:spacing w:after="30" w:before="30" w:line="240" w:lineRule="auto"/>
            </w:pPr>
            <w:r>
              <w:rPr>
                <w:rFonts w:ascii="Arial" w:hAnsi="Arial"/>
                <w:sz w:val="18"/>
              </w:rPr>
              <w:t>Permitir la consulta únicamente a usuarios con acceso autorizado al dashboard.</w:t>
            </w:r>
          </w:p>
        </w:tc>
      </w:tr>
    </w:tbl>
    <w:p>
      <w:pPr>
        <w:pStyle w:val="Heading2"/>
        <w:spacing w:before="160" w:after="100"/>
      </w:pPr>
      <w:r>
        <w:t>3.2 Requisitos no funcionales (RNF)</w:t>
      </w:r>
    </w:p>
    <w:tbl>
      <w:tblPr>
        <w:tblStyle w:val="TableGrid"/>
        <w:tblW w:type="auto" w:w="0"/>
        <w:jc w:val="center"/>
        <w:tblLook w:firstColumn="1" w:firstRow="1" w:lastColumn="0" w:lastRow="0" w:noHBand="0" w:noVBand="1" w:val="04A0"/>
      </w:tblPr>
      <w:tblGrid>
        <w:gridCol w:w="3360"/>
        <w:gridCol w:w="3360"/>
        <w:gridCol w:w="3360"/>
      </w:tblGrid>
      <w:tr>
        <w:tc>
          <w:tcPr>
            <w:tcW w:type="dxa" w:w="1008"/>
            <w:vAlign w:val="center"/>
            <w:shd w:fill="D9EAF7"/>
          </w:tcPr>
          <w:p>
            <w:pPr>
              <w:spacing w:after="30" w:before="30" w:line="240" w:lineRule="auto"/>
            </w:pPr>
            <w:r>
              <w:rPr>
                <w:rFonts w:ascii="Arial" w:hAnsi="Arial"/>
                <w:b/>
                <w:sz w:val="17"/>
              </w:rPr>
              <w:t>ID</w:t>
            </w:r>
          </w:p>
        </w:tc>
        <w:tc>
          <w:tcPr>
            <w:tcW w:type="dxa" w:w="1800"/>
            <w:vAlign w:val="center"/>
            <w:shd w:fill="D9EAF7"/>
          </w:tcPr>
          <w:p>
            <w:pPr>
              <w:spacing w:after="30" w:before="30" w:line="240" w:lineRule="auto"/>
            </w:pPr>
            <w:r>
              <w:rPr>
                <w:rFonts w:ascii="Arial" w:hAnsi="Arial"/>
                <w:b/>
                <w:sz w:val="17"/>
              </w:rPr>
              <w:t>Tipo</w:t>
            </w:r>
          </w:p>
        </w:tc>
        <w:tc>
          <w:tcPr>
            <w:tcW w:type="dxa" w:w="7128"/>
            <w:vAlign w:val="center"/>
            <w:shd w:fill="D9EAF7"/>
          </w:tcPr>
          <w:p>
            <w:pPr>
              <w:spacing w:after="30" w:before="30" w:line="240" w:lineRule="auto"/>
            </w:pPr>
            <w:r>
              <w:rPr>
                <w:rFonts w:ascii="Arial" w:hAnsi="Arial"/>
                <w:b/>
                <w:sz w:val="17"/>
              </w:rPr>
              <w:t>Requisito no funcional</w:t>
            </w:r>
          </w:p>
        </w:tc>
      </w:tr>
      <w:tr>
        <w:tc>
          <w:tcPr>
            <w:tcW w:type="dxa" w:w="1008"/>
            <w:vAlign w:val="center"/>
          </w:tcPr>
          <w:p>
            <w:pPr>
              <w:spacing w:after="30" w:before="30" w:line="240" w:lineRule="auto"/>
            </w:pPr>
            <w:r>
              <w:rPr>
                <w:rFonts w:ascii="Arial" w:hAnsi="Arial"/>
                <w:sz w:val="17"/>
              </w:rPr>
              <w:t>RNF-01</w:t>
            </w:r>
          </w:p>
        </w:tc>
        <w:tc>
          <w:tcPr>
            <w:tcW w:type="dxa" w:w="1800"/>
            <w:vAlign w:val="center"/>
          </w:tcPr>
          <w:p>
            <w:pPr>
              <w:spacing w:after="30" w:before="30" w:line="240" w:lineRule="auto"/>
            </w:pPr>
            <w:r>
              <w:rPr>
                <w:rFonts w:ascii="Arial" w:hAnsi="Arial"/>
                <w:sz w:val="17"/>
              </w:rPr>
              <w:t>Seguridad</w:t>
            </w:r>
          </w:p>
        </w:tc>
        <w:tc>
          <w:tcPr>
            <w:tcW w:type="dxa" w:w="7128"/>
            <w:vAlign w:val="center"/>
          </w:tcPr>
          <w:p>
            <w:pPr>
              <w:spacing w:after="30" w:before="30" w:line="240" w:lineRule="auto"/>
            </w:pPr>
            <w:r>
              <w:rPr>
                <w:rFonts w:ascii="Arial" w:hAnsi="Arial"/>
                <w:sz w:val="17"/>
              </w:rPr>
              <w:t>La consulta debe respetar la autenticación y los permisos definidos para el dashboard.</w:t>
            </w:r>
          </w:p>
        </w:tc>
      </w:tr>
      <w:tr>
        <w:tc>
          <w:tcPr>
            <w:tcW w:type="dxa" w:w="1008"/>
            <w:vAlign w:val="center"/>
          </w:tcPr>
          <w:p>
            <w:pPr>
              <w:spacing w:after="30" w:before="30" w:line="240" w:lineRule="auto"/>
            </w:pPr>
            <w:r>
              <w:rPr>
                <w:rFonts w:ascii="Arial" w:hAnsi="Arial"/>
                <w:sz w:val="17"/>
              </w:rPr>
              <w:t>RNF-02</w:t>
            </w:r>
          </w:p>
        </w:tc>
        <w:tc>
          <w:tcPr>
            <w:tcW w:type="dxa" w:w="1800"/>
            <w:vAlign w:val="center"/>
          </w:tcPr>
          <w:p>
            <w:pPr>
              <w:spacing w:after="30" w:before="30" w:line="240" w:lineRule="auto"/>
            </w:pPr>
            <w:r>
              <w:rPr>
                <w:rFonts w:ascii="Arial" w:hAnsi="Arial"/>
                <w:sz w:val="17"/>
              </w:rPr>
              <w:t>Rendimiento</w:t>
            </w:r>
          </w:p>
        </w:tc>
        <w:tc>
          <w:tcPr>
            <w:tcW w:type="dxa" w:w="7128"/>
            <w:vAlign w:val="center"/>
          </w:tcPr>
          <w:p>
            <w:pPr>
              <w:spacing w:after="30" w:before="30" w:line="240" w:lineRule="auto"/>
            </w:pPr>
            <w:r>
              <w:rPr>
                <w:rFonts w:ascii="Arial" w:hAnsi="Arial"/>
                <w:sz w:val="17"/>
              </w:rPr>
              <w:t>Con datos de prueba normales, la consulta principal debería responder en un tiempo que no interrumpa el uso del dashboard; para esta actividad se propone un máximo de 3 segundos.</w:t>
            </w:r>
          </w:p>
        </w:tc>
      </w:tr>
      <w:tr>
        <w:tc>
          <w:tcPr>
            <w:tcW w:type="dxa" w:w="1008"/>
            <w:vAlign w:val="center"/>
          </w:tcPr>
          <w:p>
            <w:pPr>
              <w:spacing w:after="30" w:before="30" w:line="240" w:lineRule="auto"/>
            </w:pPr>
            <w:r>
              <w:rPr>
                <w:rFonts w:ascii="Arial" w:hAnsi="Arial"/>
                <w:sz w:val="17"/>
              </w:rPr>
              <w:t>RNF-03</w:t>
            </w:r>
          </w:p>
        </w:tc>
        <w:tc>
          <w:tcPr>
            <w:tcW w:type="dxa" w:w="1800"/>
            <w:vAlign w:val="center"/>
          </w:tcPr>
          <w:p>
            <w:pPr>
              <w:spacing w:after="30" w:before="30" w:line="240" w:lineRule="auto"/>
            </w:pPr>
            <w:r>
              <w:rPr>
                <w:rFonts w:ascii="Arial" w:hAnsi="Arial"/>
                <w:sz w:val="17"/>
              </w:rPr>
              <w:t>Mantenibilidad</w:t>
            </w:r>
          </w:p>
        </w:tc>
        <w:tc>
          <w:tcPr>
            <w:tcW w:type="dxa" w:w="7128"/>
            <w:vAlign w:val="center"/>
          </w:tcPr>
          <w:p>
            <w:pPr>
              <w:spacing w:after="30" w:before="30" w:line="240" w:lineRule="auto"/>
            </w:pPr>
            <w:r>
              <w:rPr>
                <w:rFonts w:ascii="Arial" w:hAnsi="Arial"/>
                <w:sz w:val="17"/>
              </w:rPr>
              <w:t>Los componentes deben depender solo de las operaciones que realmente utilizan, evitando interfaces demasiado grandes.</w:t>
            </w:r>
          </w:p>
        </w:tc>
      </w:tr>
      <w:tr>
        <w:tc>
          <w:tcPr>
            <w:tcW w:type="dxa" w:w="1008"/>
            <w:vAlign w:val="center"/>
          </w:tcPr>
          <w:p>
            <w:pPr>
              <w:spacing w:after="30" w:before="30" w:line="240" w:lineRule="auto"/>
            </w:pPr>
            <w:r>
              <w:rPr>
                <w:rFonts w:ascii="Arial" w:hAnsi="Arial"/>
                <w:sz w:val="17"/>
              </w:rPr>
              <w:t>RNF-04</w:t>
            </w:r>
          </w:p>
        </w:tc>
        <w:tc>
          <w:tcPr>
            <w:tcW w:type="dxa" w:w="1800"/>
            <w:vAlign w:val="center"/>
          </w:tcPr>
          <w:p>
            <w:pPr>
              <w:spacing w:after="30" w:before="30" w:line="240" w:lineRule="auto"/>
            </w:pPr>
            <w:r>
              <w:rPr>
                <w:rFonts w:ascii="Arial" w:hAnsi="Arial"/>
                <w:sz w:val="17"/>
              </w:rPr>
              <w:t>Usabilidad</w:t>
            </w:r>
          </w:p>
        </w:tc>
        <w:tc>
          <w:tcPr>
            <w:tcW w:type="dxa" w:w="7128"/>
            <w:vAlign w:val="center"/>
          </w:tcPr>
          <w:p>
            <w:pPr>
              <w:spacing w:after="30" w:before="30" w:line="240" w:lineRule="auto"/>
            </w:pPr>
            <w:r>
              <w:rPr>
                <w:rFonts w:ascii="Arial" w:hAnsi="Arial"/>
                <w:sz w:val="17"/>
              </w:rPr>
              <w:t>Los estados de carga, vacío y error deben ser fáciles de entender para el usuario.</w:t>
            </w:r>
          </w:p>
        </w:tc>
      </w:tr>
      <w:tr>
        <w:tc>
          <w:tcPr>
            <w:tcW w:type="dxa" w:w="1008"/>
            <w:vAlign w:val="center"/>
          </w:tcPr>
          <w:p>
            <w:pPr>
              <w:spacing w:after="30" w:before="30" w:line="240" w:lineRule="auto"/>
            </w:pPr>
            <w:r>
              <w:rPr>
                <w:rFonts w:ascii="Arial" w:hAnsi="Arial"/>
                <w:sz w:val="17"/>
              </w:rPr>
              <w:t>RNF-05</w:t>
            </w:r>
          </w:p>
        </w:tc>
        <w:tc>
          <w:tcPr>
            <w:tcW w:type="dxa" w:w="1800"/>
            <w:vAlign w:val="center"/>
          </w:tcPr>
          <w:p>
            <w:pPr>
              <w:spacing w:after="30" w:before="30" w:line="240" w:lineRule="auto"/>
            </w:pPr>
            <w:r>
              <w:rPr>
                <w:rFonts w:ascii="Arial" w:hAnsi="Arial"/>
                <w:sz w:val="17"/>
              </w:rPr>
              <w:t>Trazabilidad</w:t>
            </w:r>
          </w:p>
        </w:tc>
        <w:tc>
          <w:tcPr>
            <w:tcW w:type="dxa" w:w="7128"/>
            <w:vAlign w:val="center"/>
          </w:tcPr>
          <w:p>
            <w:pPr>
              <w:spacing w:after="30" w:before="30" w:line="240" w:lineRule="auto"/>
            </w:pPr>
            <w:r>
              <w:rPr>
                <w:rFonts w:ascii="Arial" w:hAnsi="Arial"/>
                <w:sz w:val="17"/>
              </w:rPr>
              <w:t>Los requisitos, criterios de aceptación y elementos del diseño deben mantener relación entre sí.</w:t>
            </w:r>
          </w:p>
        </w:tc>
      </w:tr>
    </w:tbl>
    <w:p>
      <w:pPr>
        <w:pStyle w:val="Heading1"/>
        <w:spacing w:before="160" w:after="100"/>
      </w:pPr>
      <w:r>
        <w:t>4. Criterios de aceptación</w:t>
      </w:r>
    </w:p>
    <w:tbl>
      <w:tblPr>
        <w:tblStyle w:val="TableGrid"/>
        <w:tblW w:type="auto" w:w="0"/>
        <w:jc w:val="center"/>
        <w:tblLook w:firstColumn="1" w:firstRow="1" w:lastColumn="0" w:lastRow="0" w:noHBand="0" w:noVBand="1" w:val="04A0"/>
      </w:tblPr>
      <w:tblGrid>
        <w:gridCol w:w="5040"/>
        <w:gridCol w:w="5040"/>
      </w:tblGrid>
      <w:tr>
        <w:tc>
          <w:tcPr>
            <w:tcW w:type="dxa" w:w="1008"/>
            <w:vAlign w:val="center"/>
            <w:shd w:fill="D9EAF7"/>
          </w:tcPr>
          <w:p>
            <w:pPr>
              <w:spacing w:after="30" w:before="30" w:line="240" w:lineRule="auto"/>
            </w:pPr>
            <w:r>
              <w:rPr>
                <w:rFonts w:ascii="Arial" w:hAnsi="Arial"/>
                <w:b/>
                <w:sz w:val="17"/>
              </w:rPr>
              <w:t>ID</w:t>
            </w:r>
          </w:p>
        </w:tc>
        <w:tc>
          <w:tcPr>
            <w:tcW w:type="dxa" w:w="8928"/>
            <w:vAlign w:val="center"/>
            <w:shd w:fill="D9EAF7"/>
          </w:tcPr>
          <w:p>
            <w:pPr>
              <w:spacing w:after="30" w:before="30" w:line="240" w:lineRule="auto"/>
            </w:pPr>
            <w:r>
              <w:rPr>
                <w:rFonts w:ascii="Arial" w:hAnsi="Arial"/>
                <w:b/>
                <w:sz w:val="17"/>
              </w:rPr>
              <w:t>Criterio de aceptación</w:t>
            </w:r>
          </w:p>
        </w:tc>
      </w:tr>
      <w:tr>
        <w:tc>
          <w:tcPr>
            <w:tcW w:type="dxa" w:w="1008"/>
            <w:vAlign w:val="center"/>
          </w:tcPr>
          <w:p>
            <w:pPr>
              <w:spacing w:after="30" w:before="30" w:line="240" w:lineRule="auto"/>
            </w:pPr>
            <w:r>
              <w:rPr>
                <w:rFonts w:ascii="Arial" w:hAnsi="Arial"/>
                <w:sz w:val="17"/>
              </w:rPr>
              <w:t>CA-01</w:t>
            </w:r>
          </w:p>
        </w:tc>
        <w:tc>
          <w:tcPr>
            <w:tcW w:type="dxa" w:w="8928"/>
            <w:vAlign w:val="center"/>
          </w:tcPr>
          <w:p>
            <w:pPr>
              <w:spacing w:after="30" w:before="30" w:line="240" w:lineRule="auto"/>
            </w:pPr>
            <w:r>
              <w:rPr>
                <w:rFonts w:ascii="Arial" w:hAnsi="Arial"/>
                <w:sz w:val="17"/>
              </w:rPr>
              <w:t>Si un usuario autorizado abre el dashboard y existen datos, debe visualizar el resumen general de ocupación.</w:t>
            </w:r>
          </w:p>
        </w:tc>
      </w:tr>
      <w:tr>
        <w:tc>
          <w:tcPr>
            <w:tcW w:type="dxa" w:w="1008"/>
            <w:vAlign w:val="center"/>
          </w:tcPr>
          <w:p>
            <w:pPr>
              <w:spacing w:after="30" w:before="30" w:line="240" w:lineRule="auto"/>
            </w:pPr>
            <w:r>
              <w:rPr>
                <w:rFonts w:ascii="Arial" w:hAnsi="Arial"/>
                <w:sz w:val="17"/>
              </w:rPr>
              <w:t>CA-02</w:t>
            </w:r>
          </w:p>
        </w:tc>
        <w:tc>
          <w:tcPr>
            <w:tcW w:type="dxa" w:w="8928"/>
            <w:vAlign w:val="center"/>
          </w:tcPr>
          <w:p>
            <w:pPr>
              <w:spacing w:after="30" w:before="30" w:line="240" w:lineRule="auto"/>
            </w:pPr>
            <w:r>
              <w:rPr>
                <w:rFonts w:ascii="Arial" w:hAnsi="Arial"/>
                <w:sz w:val="17"/>
              </w:rPr>
              <w:t>Si el usuario selecciona una sala, el resultado debe mostrar únicamente la información correspondiente a esa sala.</w:t>
            </w:r>
          </w:p>
        </w:tc>
      </w:tr>
      <w:tr>
        <w:tc>
          <w:tcPr>
            <w:tcW w:type="dxa" w:w="1008"/>
            <w:vAlign w:val="center"/>
          </w:tcPr>
          <w:p>
            <w:pPr>
              <w:spacing w:after="30" w:before="30" w:line="240" w:lineRule="auto"/>
            </w:pPr>
            <w:r>
              <w:rPr>
                <w:rFonts w:ascii="Arial" w:hAnsi="Arial"/>
                <w:sz w:val="17"/>
              </w:rPr>
              <w:t>CA-03</w:t>
            </w:r>
          </w:p>
        </w:tc>
        <w:tc>
          <w:tcPr>
            <w:tcW w:type="dxa" w:w="8928"/>
            <w:vAlign w:val="center"/>
          </w:tcPr>
          <w:p>
            <w:pPr>
              <w:spacing w:after="30" w:before="30" w:line="240" w:lineRule="auto"/>
            </w:pPr>
            <w:r>
              <w:rPr>
                <w:rFonts w:ascii="Arial" w:hAnsi="Arial"/>
                <w:sz w:val="17"/>
              </w:rPr>
              <w:t>Si el usuario selecciona un estado de cama, el resultado debe limitarse a las camas que cumplan ese estado.</w:t>
            </w:r>
          </w:p>
        </w:tc>
      </w:tr>
      <w:tr>
        <w:tc>
          <w:tcPr>
            <w:tcW w:type="dxa" w:w="1008"/>
            <w:vAlign w:val="center"/>
          </w:tcPr>
          <w:p>
            <w:pPr>
              <w:spacing w:after="30" w:before="30" w:line="240" w:lineRule="auto"/>
            </w:pPr>
            <w:r>
              <w:rPr>
                <w:rFonts w:ascii="Arial" w:hAnsi="Arial"/>
                <w:sz w:val="17"/>
              </w:rPr>
              <w:t>CA-04</w:t>
            </w:r>
          </w:p>
        </w:tc>
        <w:tc>
          <w:tcPr>
            <w:tcW w:type="dxa" w:w="8928"/>
            <w:vAlign w:val="center"/>
          </w:tcPr>
          <w:p>
            <w:pPr>
              <w:spacing w:after="30" w:before="30" w:line="240" w:lineRule="auto"/>
            </w:pPr>
            <w:r>
              <w:rPr>
                <w:rFonts w:ascii="Arial" w:hAnsi="Arial"/>
                <w:sz w:val="17"/>
              </w:rPr>
              <w:t>El porcentaje de ocupación debe ser coherente con los valores de total y camas ocupadas usados en la misma respuesta.</w:t>
            </w:r>
          </w:p>
        </w:tc>
      </w:tr>
      <w:tr>
        <w:tc>
          <w:tcPr>
            <w:tcW w:type="dxa" w:w="1008"/>
            <w:vAlign w:val="center"/>
          </w:tcPr>
          <w:p>
            <w:pPr>
              <w:spacing w:after="30" w:before="30" w:line="240" w:lineRule="auto"/>
            </w:pPr>
            <w:r>
              <w:rPr>
                <w:rFonts w:ascii="Arial" w:hAnsi="Arial"/>
                <w:sz w:val="17"/>
              </w:rPr>
              <w:t>CA-05</w:t>
            </w:r>
          </w:p>
        </w:tc>
        <w:tc>
          <w:tcPr>
            <w:tcW w:type="dxa" w:w="8928"/>
            <w:vAlign w:val="center"/>
          </w:tcPr>
          <w:p>
            <w:pPr>
              <w:spacing w:after="30" w:before="30" w:line="240" w:lineRule="auto"/>
            </w:pPr>
            <w:r>
              <w:rPr>
                <w:rFonts w:ascii="Arial" w:hAnsi="Arial"/>
                <w:sz w:val="17"/>
              </w:rPr>
              <w:t>Si no existen registros para la consulta, el sistema debe mostrar un estado vacío y no un error genérico.</w:t>
            </w:r>
          </w:p>
        </w:tc>
      </w:tr>
      <w:tr>
        <w:tc>
          <w:tcPr>
            <w:tcW w:type="dxa" w:w="1008"/>
            <w:vAlign w:val="center"/>
          </w:tcPr>
          <w:p>
            <w:pPr>
              <w:spacing w:after="30" w:before="30" w:line="240" w:lineRule="auto"/>
            </w:pPr>
            <w:r>
              <w:rPr>
                <w:rFonts w:ascii="Arial" w:hAnsi="Arial"/>
                <w:sz w:val="17"/>
              </w:rPr>
              <w:t>CA-06</w:t>
            </w:r>
          </w:p>
        </w:tc>
        <w:tc>
          <w:tcPr>
            <w:tcW w:type="dxa" w:w="8928"/>
            <w:vAlign w:val="center"/>
          </w:tcPr>
          <w:p>
            <w:pPr>
              <w:spacing w:after="30" w:before="30" w:line="240" w:lineRule="auto"/>
            </w:pPr>
            <w:r>
              <w:rPr>
                <w:rFonts w:ascii="Arial" w:hAnsi="Arial"/>
                <w:sz w:val="17"/>
              </w:rPr>
              <w:t>Si ocurre un fallo durante la consulta, el usuario debe recibir un mensaje de error comprensible.</w:t>
            </w:r>
          </w:p>
        </w:tc>
      </w:tr>
      <w:tr>
        <w:tc>
          <w:tcPr>
            <w:tcW w:type="dxa" w:w="1008"/>
            <w:vAlign w:val="center"/>
          </w:tcPr>
          <w:p>
            <w:pPr>
              <w:spacing w:after="30" w:before="30" w:line="240" w:lineRule="auto"/>
            </w:pPr>
            <w:r>
              <w:rPr>
                <w:rFonts w:ascii="Arial" w:hAnsi="Arial"/>
                <w:sz w:val="17"/>
              </w:rPr>
              <w:t>CA-07</w:t>
            </w:r>
          </w:p>
        </w:tc>
        <w:tc>
          <w:tcPr>
            <w:tcW w:type="dxa" w:w="8928"/>
            <w:vAlign w:val="center"/>
          </w:tcPr>
          <w:p>
            <w:pPr>
              <w:spacing w:after="30" w:before="30" w:line="240" w:lineRule="auto"/>
            </w:pPr>
            <w:r>
              <w:rPr>
                <w:rFonts w:ascii="Arial" w:hAnsi="Arial"/>
                <w:sz w:val="17"/>
              </w:rPr>
              <w:t>Si el usuario no tiene autorización, la consulta debe ser rechazada.</w:t>
            </w:r>
          </w:p>
        </w:tc>
      </w:tr>
      <w:tr>
        <w:tc>
          <w:tcPr>
            <w:tcW w:type="dxa" w:w="1008"/>
            <w:vAlign w:val="center"/>
          </w:tcPr>
          <w:p>
            <w:pPr>
              <w:spacing w:after="30" w:before="30" w:line="240" w:lineRule="auto"/>
            </w:pPr>
            <w:r>
              <w:rPr>
                <w:rFonts w:ascii="Arial" w:hAnsi="Arial"/>
                <w:sz w:val="17"/>
              </w:rPr>
              <w:t>CA-08</w:t>
            </w:r>
          </w:p>
        </w:tc>
        <w:tc>
          <w:tcPr>
            <w:tcW w:type="dxa" w:w="8928"/>
            <w:vAlign w:val="center"/>
          </w:tcPr>
          <w:p>
            <w:pPr>
              <w:spacing w:after="30" w:before="30" w:line="240" w:lineRule="auto"/>
            </w:pPr>
            <w:r>
              <w:rPr>
                <w:rFonts w:ascii="Arial" w:hAnsi="Arial"/>
                <w:sz w:val="17"/>
              </w:rPr>
              <w:t>El componente de resumen debe depender solo de la interfaz de resumen; los filtros, métricas y detalle deben depender de sus interfaces correspondientes.</w:t>
            </w:r>
          </w:p>
        </w:tc>
      </w:tr>
    </w:tbl>
    <w:p>
      <w:pPr>
        <w:pStyle w:val="Heading1"/>
        <w:spacing w:before="160" w:after="100"/>
      </w:pPr>
      <w:r>
        <w:t>5. Aplicación del principio ISP</w:t>
      </w:r>
    </w:p>
    <w:p>
      <w:pPr>
        <w:spacing w:after="120" w:line="276" w:lineRule="auto"/>
        <w:jc w:val="both"/>
      </w:pPr>
      <w:r>
        <w:t>La fuente indicada para la actividad explica que, al aplicar Interface Segregation, es preferible trabajar con varias interfaces pequeñas que con pocas interfaces cargadas de métodos. La razón es sencilla: una clase o un cliente no debería quedar obligado a implementar o depender de operaciones que no necesita.</w:t>
      </w:r>
    </w:p>
    <w:p>
      <w:pPr>
        <w:spacing w:before="80" w:after="140"/>
        <w:ind w:left="504" w:right="504"/>
      </w:pPr>
      <w:r>
        <w:rPr>
          <w:i/>
        </w:rPr>
        <w:t>“ninguna clase debe de estar obligada a implementar métodos que no necesita”</w:t>
      </w:r>
      <w:r>
        <w:t xml:space="preserve"> (MVP Cluster, “Principios básicos del diseño de software”).</w:t>
      </w:r>
    </w:p>
    <w:p>
      <w:pPr>
        <w:spacing w:after="120" w:line="276" w:lineRule="auto"/>
        <w:jc w:val="both"/>
      </w:pPr>
      <w:r>
        <w:t>En mi módulo ese problema aparece si todo el dashboard depende de una sola interfaz que mezcla resumen, filtros, métricas y detalle de cama. Aunque todas esas operaciones pertenezcan al mismo módulo, no todos los clientes las utilizan. Por eso la mejora consiste en separar la interfaz de acuerdo con las necesidades reales de cada consumidor.</w:t>
      </w:r>
    </w:p>
    <w:p>
      <w:pPr>
        <w:pStyle w:val="Heading1"/>
        <w:spacing w:before="160" w:after="100"/>
      </w:pPr>
      <w:r>
        <w:t>6. Diseño antes de aplicar ISP</w:t>
      </w:r>
    </w:p>
    <w:p>
      <w:pPr>
        <w:spacing w:after="120" w:line="276" w:lineRule="auto"/>
        <w:jc w:val="both"/>
      </w:pPr>
      <w:r>
        <w:t>En el diseño inicial se utiliza una sola interfaz llamada OccupancyDashboardInterface. Esta interfaz contiene todas las operaciones principales del dashboard. OccupancyService la implementa y los distintos componentes del dashboard dependen de ella.</w:t>
      </w:r>
    </w:p>
    <w:p>
      <w:pPr>
        <w:jc w:val="center"/>
      </w:pPr>
      <w:r>
        <w:drawing>
          <wp:inline xmlns:a="http://schemas.openxmlformats.org/drawingml/2006/main" xmlns:pic="http://schemas.openxmlformats.org/drawingml/2006/picture">
            <wp:extent cx="6263640" cy="3564518"/>
            <wp:docPr id="2" name="Picture 2"/>
            <wp:cNvGraphicFramePr>
              <a:graphicFrameLocks noChangeAspect="1"/>
            </wp:cNvGraphicFramePr>
            <a:graphic>
              <a:graphicData uri="http://schemas.openxmlformats.org/drawingml/2006/picture">
                <pic:pic>
                  <pic:nvPicPr>
                    <pic:cNvPr id="0" name="isp-antes.png"/>
                    <pic:cNvPicPr/>
                  </pic:nvPicPr>
                  <pic:blipFill>
                    <a:blip r:embed="rId12"/>
                    <a:stretch>
                      <a:fillRect/>
                    </a:stretch>
                  </pic:blipFill>
                  <pic:spPr>
                    <a:xfrm>
                      <a:off x="0" y="0"/>
                      <a:ext cx="6263640" cy="3564518"/>
                    </a:xfrm>
                    <a:prstGeom prst="rect"/>
                  </pic:spPr>
                </pic:pic>
              </a:graphicData>
            </a:graphic>
          </wp:inline>
        </w:drawing>
      </w:r>
    </w:p>
    <w:p>
      <w:pPr>
        <w:spacing w:before="40" w:after="140"/>
        <w:jc w:val="center"/>
      </w:pPr>
      <w:r>
        <w:rPr>
          <w:i/>
          <w:sz w:val="18"/>
        </w:rPr>
        <w:t>Figura 1. Diseño inicial: una sola interfaz concentra operaciones que no todos los clientes necesitan.</w:t>
      </w:r>
    </w:p>
    <w:p>
      <w:pPr>
        <w:spacing w:after="120" w:line="276" w:lineRule="auto"/>
        <w:jc w:val="both"/>
      </w:pPr>
      <w:r>
        <w:t>El problema no es que los métodos estén relacionados con ocupación, sino que la interfaz es más grande de lo que necesita cada cliente. SummaryWidget solo necesita getSummary(), MetricsWidget solo necesita getOccupancyRate() y BedDetailView solo necesita getBedDetail(). Sin embargo, todos quedan acoplados a la interfaz completa.</w:t>
      </w:r>
    </w:p>
    <w:p>
      <w:r>
        <w:br w:type="page"/>
      </w:r>
    </w:p>
    <w:p>
      <w:pPr>
        <w:pStyle w:val="Heading1"/>
        <w:spacing w:before="160" w:after="100"/>
      </w:pPr>
      <w:r>
        <w:t>7. Diseño después de aplicar ISP</w:t>
      </w:r>
    </w:p>
    <w:p>
      <w:pPr>
        <w:spacing w:after="120" w:line="276" w:lineRule="auto"/>
        <w:jc w:val="both"/>
      </w:pPr>
      <w:r>
        <w:t>Después de aplicar ISP, la interfaz grande se separa en cuatro interfaces pequeñas. No es necesario crear un servicio distinto para cada una: OccupancyService puede implementar varias interfaces, mientras cada cliente depende únicamente de la que necesita.</w:t>
      </w:r>
    </w:p>
    <w:p>
      <w:pPr>
        <w:jc w:val="center"/>
      </w:pPr>
      <w:r>
        <w:drawing>
          <wp:inline xmlns:a="http://schemas.openxmlformats.org/drawingml/2006/main" xmlns:pic="http://schemas.openxmlformats.org/drawingml/2006/picture">
            <wp:extent cx="5257800" cy="7253159"/>
            <wp:docPr id="3" name="Picture 3"/>
            <wp:cNvGraphicFramePr>
              <a:graphicFrameLocks noChangeAspect="1"/>
            </wp:cNvGraphicFramePr>
            <a:graphic>
              <a:graphicData uri="http://schemas.openxmlformats.org/drawingml/2006/picture">
                <pic:pic>
                  <pic:nvPicPr>
                    <pic:cNvPr id="0" name="isp-despues.png"/>
                    <pic:cNvPicPr/>
                  </pic:nvPicPr>
                  <pic:blipFill>
                    <a:blip r:embed="rId13"/>
                    <a:stretch>
                      <a:fillRect/>
                    </a:stretch>
                  </pic:blipFill>
                  <pic:spPr>
                    <a:xfrm>
                      <a:off x="0" y="0"/>
                      <a:ext cx="5257800" cy="7253159"/>
                    </a:xfrm>
                    <a:prstGeom prst="rect"/>
                  </pic:spPr>
                </pic:pic>
              </a:graphicData>
            </a:graphic>
          </wp:inline>
        </w:drawing>
      </w:r>
    </w:p>
    <w:p>
      <w:pPr>
        <w:spacing w:before="40" w:after="140"/>
        <w:jc w:val="center"/>
      </w:pPr>
      <w:r>
        <w:rPr>
          <w:i/>
          <w:sz w:val="18"/>
        </w:rPr>
        <w:t>Figura 2. Diseño después de ISP: cada cliente depende de una interfaz enfocada.</w:t>
      </w:r>
    </w:p>
    <w:p>
      <w:pPr>
        <w:pStyle w:val="Heading1"/>
        <w:spacing w:before="160" w:after="100"/>
      </w:pPr>
      <w:r>
        <w:t>8. Responsabilidades y dependencias</w:t>
      </w:r>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center"/>
            <w:shd w:fill="D9EAF7"/>
          </w:tcPr>
          <w:p>
            <w:pPr>
              <w:spacing w:after="30" w:before="30" w:line="240" w:lineRule="auto"/>
            </w:pPr>
            <w:r>
              <w:rPr>
                <w:rFonts w:ascii="Arial" w:hAnsi="Arial"/>
                <w:b/>
                <w:sz w:val="17"/>
              </w:rPr>
              <w:t>Elemento</w:t>
            </w:r>
          </w:p>
        </w:tc>
        <w:tc>
          <w:tcPr>
            <w:tcW w:type="dxa" w:w="4320"/>
            <w:vAlign w:val="center"/>
            <w:shd w:fill="D9EAF7"/>
          </w:tcPr>
          <w:p>
            <w:pPr>
              <w:spacing w:after="30" w:before="30" w:line="240" w:lineRule="auto"/>
            </w:pPr>
            <w:r>
              <w:rPr>
                <w:rFonts w:ascii="Arial" w:hAnsi="Arial"/>
                <w:b/>
                <w:sz w:val="17"/>
              </w:rPr>
              <w:t>Responsabilidad</w:t>
            </w:r>
          </w:p>
        </w:tc>
        <w:tc>
          <w:tcPr>
            <w:tcW w:type="dxa" w:w="2592"/>
            <w:vAlign w:val="center"/>
            <w:shd w:fill="D9EAF7"/>
          </w:tcPr>
          <w:p>
            <w:pPr>
              <w:spacing w:after="30" w:before="30" w:line="240" w:lineRule="auto"/>
            </w:pPr>
            <w:r>
              <w:rPr>
                <w:rFonts w:ascii="Arial" w:hAnsi="Arial"/>
                <w:b/>
                <w:sz w:val="17"/>
              </w:rPr>
              <w:t>Quién lo usa</w:t>
            </w:r>
          </w:p>
        </w:tc>
      </w:tr>
      <w:tr>
        <w:tc>
          <w:tcPr>
            <w:tcW w:type="dxa" w:w="3024"/>
            <w:vAlign w:val="center"/>
          </w:tcPr>
          <w:p>
            <w:pPr>
              <w:spacing w:after="30" w:before="30" w:line="240" w:lineRule="auto"/>
            </w:pPr>
            <w:r>
              <w:rPr>
                <w:rFonts w:ascii="Arial" w:hAnsi="Arial"/>
                <w:sz w:val="17"/>
              </w:rPr>
              <w:t>OccupancySummaryInterface</w:t>
            </w:r>
          </w:p>
        </w:tc>
        <w:tc>
          <w:tcPr>
            <w:tcW w:type="dxa" w:w="4320"/>
            <w:vAlign w:val="center"/>
          </w:tcPr>
          <w:p>
            <w:pPr>
              <w:spacing w:after="30" w:before="30" w:line="240" w:lineRule="auto"/>
            </w:pPr>
            <w:r>
              <w:rPr>
                <w:rFonts w:ascii="Arial" w:hAnsi="Arial"/>
                <w:sz w:val="17"/>
              </w:rPr>
              <w:t>Entregar el resumen general de ocupación.</w:t>
            </w:r>
          </w:p>
        </w:tc>
        <w:tc>
          <w:tcPr>
            <w:tcW w:type="dxa" w:w="2592"/>
            <w:vAlign w:val="center"/>
          </w:tcPr>
          <w:p>
            <w:pPr>
              <w:spacing w:after="30" w:before="30" w:line="240" w:lineRule="auto"/>
            </w:pPr>
            <w:r>
              <w:rPr>
                <w:rFonts w:ascii="Arial" w:hAnsi="Arial"/>
                <w:sz w:val="17"/>
              </w:rPr>
              <w:t>SummaryWidget</w:t>
            </w:r>
          </w:p>
        </w:tc>
      </w:tr>
      <w:tr>
        <w:tc>
          <w:tcPr>
            <w:tcW w:type="dxa" w:w="3024"/>
            <w:vAlign w:val="center"/>
          </w:tcPr>
          <w:p>
            <w:pPr>
              <w:spacing w:after="30" w:before="30" w:line="240" w:lineRule="auto"/>
            </w:pPr>
            <w:r>
              <w:rPr>
                <w:rFonts w:ascii="Arial" w:hAnsi="Arial"/>
                <w:sz w:val="17"/>
              </w:rPr>
              <w:t>OccupancyFilterInterface</w:t>
            </w:r>
          </w:p>
        </w:tc>
        <w:tc>
          <w:tcPr>
            <w:tcW w:type="dxa" w:w="4320"/>
            <w:vAlign w:val="center"/>
          </w:tcPr>
          <w:p>
            <w:pPr>
              <w:spacing w:after="30" w:before="30" w:line="240" w:lineRule="auto"/>
            </w:pPr>
            <w:r>
              <w:rPr>
                <w:rFonts w:ascii="Arial" w:hAnsi="Arial"/>
                <w:sz w:val="17"/>
              </w:rPr>
              <w:t>Consultar por sala o por estado de cama.</w:t>
            </w:r>
          </w:p>
        </w:tc>
        <w:tc>
          <w:tcPr>
            <w:tcW w:type="dxa" w:w="2592"/>
            <w:vAlign w:val="center"/>
          </w:tcPr>
          <w:p>
            <w:pPr>
              <w:spacing w:after="30" w:before="30" w:line="240" w:lineRule="auto"/>
            </w:pPr>
            <w:r>
              <w:rPr>
                <w:rFonts w:ascii="Arial" w:hAnsi="Arial"/>
                <w:sz w:val="17"/>
              </w:rPr>
              <w:t>FilterPanel</w:t>
            </w:r>
          </w:p>
        </w:tc>
      </w:tr>
      <w:tr>
        <w:tc>
          <w:tcPr>
            <w:tcW w:type="dxa" w:w="3024"/>
            <w:vAlign w:val="center"/>
          </w:tcPr>
          <w:p>
            <w:pPr>
              <w:spacing w:after="30" w:before="30" w:line="240" w:lineRule="auto"/>
            </w:pPr>
            <w:r>
              <w:rPr>
                <w:rFonts w:ascii="Arial" w:hAnsi="Arial"/>
                <w:sz w:val="17"/>
              </w:rPr>
              <w:t>OccupancyMetricsInterface</w:t>
            </w:r>
          </w:p>
        </w:tc>
        <w:tc>
          <w:tcPr>
            <w:tcW w:type="dxa" w:w="4320"/>
            <w:vAlign w:val="center"/>
          </w:tcPr>
          <w:p>
            <w:pPr>
              <w:spacing w:after="30" w:before="30" w:line="240" w:lineRule="auto"/>
            </w:pPr>
            <w:r>
              <w:rPr>
                <w:rFonts w:ascii="Arial" w:hAnsi="Arial"/>
                <w:sz w:val="17"/>
              </w:rPr>
              <w:t>Entregar el indicador o porcentaje de ocupación.</w:t>
            </w:r>
          </w:p>
        </w:tc>
        <w:tc>
          <w:tcPr>
            <w:tcW w:type="dxa" w:w="2592"/>
            <w:vAlign w:val="center"/>
          </w:tcPr>
          <w:p>
            <w:pPr>
              <w:spacing w:after="30" w:before="30" w:line="240" w:lineRule="auto"/>
            </w:pPr>
            <w:r>
              <w:rPr>
                <w:rFonts w:ascii="Arial" w:hAnsi="Arial"/>
                <w:sz w:val="17"/>
              </w:rPr>
              <w:t>MetricsWidget</w:t>
            </w:r>
          </w:p>
        </w:tc>
      </w:tr>
      <w:tr>
        <w:tc>
          <w:tcPr>
            <w:tcW w:type="dxa" w:w="3024"/>
            <w:vAlign w:val="center"/>
          </w:tcPr>
          <w:p>
            <w:pPr>
              <w:spacing w:after="30" w:before="30" w:line="240" w:lineRule="auto"/>
            </w:pPr>
            <w:r>
              <w:rPr>
                <w:rFonts w:ascii="Arial" w:hAnsi="Arial"/>
                <w:sz w:val="17"/>
              </w:rPr>
              <w:t>BedDetailInterface</w:t>
            </w:r>
          </w:p>
        </w:tc>
        <w:tc>
          <w:tcPr>
            <w:tcW w:type="dxa" w:w="4320"/>
            <w:vAlign w:val="center"/>
          </w:tcPr>
          <w:p>
            <w:pPr>
              <w:spacing w:after="30" w:before="30" w:line="240" w:lineRule="auto"/>
            </w:pPr>
            <w:r>
              <w:rPr>
                <w:rFonts w:ascii="Arial" w:hAnsi="Arial"/>
                <w:sz w:val="17"/>
              </w:rPr>
              <w:t>Consultar el detalle básico de una cama.</w:t>
            </w:r>
          </w:p>
        </w:tc>
        <w:tc>
          <w:tcPr>
            <w:tcW w:type="dxa" w:w="2592"/>
            <w:vAlign w:val="center"/>
          </w:tcPr>
          <w:p>
            <w:pPr>
              <w:spacing w:after="30" w:before="30" w:line="240" w:lineRule="auto"/>
            </w:pPr>
            <w:r>
              <w:rPr>
                <w:rFonts w:ascii="Arial" w:hAnsi="Arial"/>
                <w:sz w:val="17"/>
              </w:rPr>
              <w:t>BedDetailView</w:t>
            </w:r>
          </w:p>
        </w:tc>
      </w:tr>
      <w:tr>
        <w:tc>
          <w:tcPr>
            <w:tcW w:type="dxa" w:w="3024"/>
            <w:vAlign w:val="center"/>
          </w:tcPr>
          <w:p>
            <w:pPr>
              <w:spacing w:after="30" w:before="30" w:line="240" w:lineRule="auto"/>
            </w:pPr>
            <w:r>
              <w:rPr>
                <w:rFonts w:ascii="Arial" w:hAnsi="Arial"/>
                <w:sz w:val="17"/>
              </w:rPr>
              <w:t>OccupancyService</w:t>
            </w:r>
          </w:p>
        </w:tc>
        <w:tc>
          <w:tcPr>
            <w:tcW w:type="dxa" w:w="4320"/>
            <w:vAlign w:val="center"/>
          </w:tcPr>
          <w:p>
            <w:pPr>
              <w:spacing w:after="30" w:before="30" w:line="240" w:lineRule="auto"/>
            </w:pPr>
            <w:r>
              <w:rPr>
                <w:rFonts w:ascii="Arial" w:hAnsi="Arial"/>
                <w:sz w:val="17"/>
              </w:rPr>
              <w:t>Resolver las consultas y ofrecer las capacidades definidas por las interfaces.</w:t>
            </w:r>
          </w:p>
        </w:tc>
        <w:tc>
          <w:tcPr>
            <w:tcW w:type="dxa" w:w="2592"/>
            <w:vAlign w:val="center"/>
          </w:tcPr>
          <w:p>
            <w:pPr>
              <w:spacing w:after="30" w:before="30" w:line="240" w:lineRule="auto"/>
            </w:pPr>
            <w:r>
              <w:rPr>
                <w:rFonts w:ascii="Arial" w:hAnsi="Arial"/>
                <w:sz w:val="17"/>
              </w:rPr>
              <w:t>Implementa las interfaces necesarias</w:t>
            </w:r>
          </w:p>
        </w:tc>
      </w:tr>
    </w:tbl>
    <w:p>
      <w:pPr>
        <w:spacing w:after="120" w:line="276" w:lineRule="auto"/>
        <w:jc w:val="both"/>
      </w:pPr>
      <w:r>
        <w:t>La mejora principal es que un cambio en filtros no obliga al componente de resumen a depender de esa modificación. De la misma forma, agregar o ajustar una métrica queda separado del detalle de cama. Esto reduce dependencias innecesarias sin hacer el diseño más complicado de lo necesario.</w:t>
      </w:r>
    </w:p>
    <w:p>
      <w:pPr>
        <w:pStyle w:val="Heading2"/>
        <w:spacing w:before="160" w:after="100"/>
      </w:pPr>
      <w:r>
        <w:t>8.1 Comparación antes y después</w:t>
      </w:r>
    </w:p>
    <w:tbl>
      <w:tblPr>
        <w:tblStyle w:val="TableGrid"/>
        <w:tblW w:type="auto" w:w="0"/>
        <w:jc w:val="center"/>
        <w:tblLook w:firstColumn="1" w:firstRow="1" w:lastColumn="0" w:lastRow="0" w:noHBand="0" w:noVBand="1" w:val="04A0"/>
      </w:tblPr>
      <w:tblGrid>
        <w:gridCol w:w="3360"/>
        <w:gridCol w:w="3360"/>
        <w:gridCol w:w="3360"/>
      </w:tblGrid>
      <w:tr>
        <w:tc>
          <w:tcPr>
            <w:tcW w:type="dxa" w:w="1800"/>
            <w:vAlign w:val="center"/>
            <w:shd w:fill="D9EAF7"/>
          </w:tcPr>
          <w:p>
            <w:pPr>
              <w:spacing w:after="30" w:before="30" w:line="240" w:lineRule="auto"/>
            </w:pPr>
            <w:r>
              <w:rPr>
                <w:rFonts w:ascii="Arial" w:hAnsi="Arial"/>
                <w:b/>
                <w:sz w:val="16"/>
              </w:rPr>
              <w:t>Aspecto</w:t>
            </w:r>
          </w:p>
        </w:tc>
        <w:tc>
          <w:tcPr>
            <w:tcW w:type="dxa" w:w="4032"/>
            <w:vAlign w:val="center"/>
            <w:shd w:fill="D9EAF7"/>
          </w:tcPr>
          <w:p>
            <w:pPr>
              <w:spacing w:after="30" w:before="30" w:line="240" w:lineRule="auto"/>
            </w:pPr>
            <w:r>
              <w:rPr>
                <w:rFonts w:ascii="Arial" w:hAnsi="Arial"/>
                <w:b/>
                <w:sz w:val="16"/>
              </w:rPr>
              <w:t>Antes</w:t>
            </w:r>
          </w:p>
        </w:tc>
        <w:tc>
          <w:tcPr>
            <w:tcW w:type="dxa" w:w="4104"/>
            <w:vAlign w:val="center"/>
            <w:shd w:fill="D9EAF7"/>
          </w:tcPr>
          <w:p>
            <w:pPr>
              <w:spacing w:after="30" w:before="30" w:line="240" w:lineRule="auto"/>
            </w:pPr>
            <w:r>
              <w:rPr>
                <w:rFonts w:ascii="Arial" w:hAnsi="Arial"/>
                <w:b/>
                <w:sz w:val="16"/>
              </w:rPr>
              <w:t>Después</w:t>
            </w:r>
          </w:p>
        </w:tc>
      </w:tr>
      <w:tr>
        <w:tc>
          <w:tcPr>
            <w:tcW w:type="dxa" w:w="1800"/>
            <w:vAlign w:val="center"/>
          </w:tcPr>
          <w:p>
            <w:pPr>
              <w:spacing w:after="30" w:before="30" w:line="240" w:lineRule="auto"/>
            </w:pPr>
            <w:r>
              <w:rPr>
                <w:rFonts w:ascii="Arial" w:hAnsi="Arial"/>
                <w:sz w:val="16"/>
              </w:rPr>
              <w:t>Interfaces</w:t>
            </w:r>
          </w:p>
        </w:tc>
        <w:tc>
          <w:tcPr>
            <w:tcW w:type="dxa" w:w="4032"/>
            <w:vAlign w:val="center"/>
          </w:tcPr>
          <w:p>
            <w:pPr>
              <w:spacing w:after="30" w:before="30" w:line="240" w:lineRule="auto"/>
            </w:pPr>
            <w:r>
              <w:rPr>
                <w:rFonts w:ascii="Arial" w:hAnsi="Arial"/>
                <w:sz w:val="16"/>
              </w:rPr>
              <w:t>Una interfaz grande para todo el dashboard.</w:t>
            </w:r>
          </w:p>
        </w:tc>
        <w:tc>
          <w:tcPr>
            <w:tcW w:type="dxa" w:w="4104"/>
            <w:vAlign w:val="center"/>
          </w:tcPr>
          <w:p>
            <w:pPr>
              <w:spacing w:after="30" w:before="30" w:line="240" w:lineRule="auto"/>
            </w:pPr>
            <w:r>
              <w:rPr>
                <w:rFonts w:ascii="Arial" w:hAnsi="Arial"/>
                <w:sz w:val="16"/>
              </w:rPr>
              <w:t>Varias interfaces pequeñas por necesidad.</w:t>
            </w:r>
          </w:p>
        </w:tc>
      </w:tr>
      <w:tr>
        <w:tc>
          <w:tcPr>
            <w:tcW w:type="dxa" w:w="1800"/>
            <w:vAlign w:val="center"/>
          </w:tcPr>
          <w:p>
            <w:pPr>
              <w:spacing w:after="30" w:before="30" w:line="240" w:lineRule="auto"/>
            </w:pPr>
            <w:r>
              <w:rPr>
                <w:rFonts w:ascii="Arial" w:hAnsi="Arial"/>
                <w:sz w:val="16"/>
              </w:rPr>
              <w:t>Dependencia de clientes</w:t>
            </w:r>
          </w:p>
        </w:tc>
        <w:tc>
          <w:tcPr>
            <w:tcW w:type="dxa" w:w="4032"/>
            <w:vAlign w:val="center"/>
          </w:tcPr>
          <w:p>
            <w:pPr>
              <w:spacing w:after="30" w:before="30" w:line="240" w:lineRule="auto"/>
            </w:pPr>
            <w:r>
              <w:rPr>
                <w:rFonts w:ascii="Arial" w:hAnsi="Arial"/>
                <w:sz w:val="16"/>
              </w:rPr>
              <w:t>Cada cliente conoce métodos que no usa.</w:t>
            </w:r>
          </w:p>
        </w:tc>
        <w:tc>
          <w:tcPr>
            <w:tcW w:type="dxa" w:w="4104"/>
            <w:vAlign w:val="center"/>
          </w:tcPr>
          <w:p>
            <w:pPr>
              <w:spacing w:after="30" w:before="30" w:line="240" w:lineRule="auto"/>
            </w:pPr>
            <w:r>
              <w:rPr>
                <w:rFonts w:ascii="Arial" w:hAnsi="Arial"/>
                <w:sz w:val="16"/>
              </w:rPr>
              <w:t>Cada cliente conoce solo lo que necesita.</w:t>
            </w:r>
          </w:p>
        </w:tc>
      </w:tr>
      <w:tr>
        <w:tc>
          <w:tcPr>
            <w:tcW w:type="dxa" w:w="1800"/>
            <w:vAlign w:val="center"/>
          </w:tcPr>
          <w:p>
            <w:pPr>
              <w:spacing w:after="30" w:before="30" w:line="240" w:lineRule="auto"/>
            </w:pPr>
            <w:r>
              <w:rPr>
                <w:rFonts w:ascii="Arial" w:hAnsi="Arial"/>
                <w:sz w:val="16"/>
              </w:rPr>
              <w:t>Impacto de cambios</w:t>
            </w:r>
          </w:p>
        </w:tc>
        <w:tc>
          <w:tcPr>
            <w:tcW w:type="dxa" w:w="4032"/>
            <w:vAlign w:val="center"/>
          </w:tcPr>
          <w:p>
            <w:pPr>
              <w:spacing w:after="30" w:before="30" w:line="240" w:lineRule="auto"/>
            </w:pPr>
            <w:r>
              <w:rPr>
                <w:rFonts w:ascii="Arial" w:hAnsi="Arial"/>
                <w:sz w:val="16"/>
              </w:rPr>
              <w:t>Un cambio en la interfaz puede alcanzar a varios clientes.</w:t>
            </w:r>
          </w:p>
        </w:tc>
        <w:tc>
          <w:tcPr>
            <w:tcW w:type="dxa" w:w="4104"/>
            <w:vAlign w:val="center"/>
          </w:tcPr>
          <w:p>
            <w:pPr>
              <w:spacing w:after="30" w:before="30" w:line="240" w:lineRule="auto"/>
            </w:pPr>
            <w:r>
              <w:rPr>
                <w:rFonts w:ascii="Arial" w:hAnsi="Arial"/>
                <w:sz w:val="16"/>
              </w:rPr>
              <w:t>El cambio queda más acotado a la interfaz relacionada.</w:t>
            </w:r>
          </w:p>
        </w:tc>
      </w:tr>
      <w:tr>
        <w:tc>
          <w:tcPr>
            <w:tcW w:type="dxa" w:w="1800"/>
            <w:vAlign w:val="center"/>
          </w:tcPr>
          <w:p>
            <w:pPr>
              <w:spacing w:after="30" w:before="30" w:line="240" w:lineRule="auto"/>
            </w:pPr>
            <w:r>
              <w:rPr>
                <w:rFonts w:ascii="Arial" w:hAnsi="Arial"/>
                <w:sz w:val="16"/>
              </w:rPr>
              <w:t>Mantenimiento</w:t>
            </w:r>
          </w:p>
        </w:tc>
        <w:tc>
          <w:tcPr>
            <w:tcW w:type="dxa" w:w="4032"/>
            <w:vAlign w:val="center"/>
          </w:tcPr>
          <w:p>
            <w:pPr>
              <w:spacing w:after="30" w:before="30" w:line="240" w:lineRule="auto"/>
            </w:pPr>
            <w:r>
              <w:rPr>
                <w:rFonts w:ascii="Arial" w:hAnsi="Arial"/>
                <w:sz w:val="16"/>
              </w:rPr>
              <w:t>Más acoplamiento entre funciones diferentes.</w:t>
            </w:r>
          </w:p>
        </w:tc>
        <w:tc>
          <w:tcPr>
            <w:tcW w:type="dxa" w:w="4104"/>
            <w:vAlign w:val="center"/>
          </w:tcPr>
          <w:p>
            <w:pPr>
              <w:spacing w:after="30" w:before="30" w:line="240" w:lineRule="auto"/>
            </w:pPr>
            <w:r>
              <w:rPr>
                <w:rFonts w:ascii="Arial" w:hAnsi="Arial"/>
                <w:sz w:val="16"/>
              </w:rPr>
              <w:t>Dependencias más claras y fáciles de revisar.</w:t>
            </w:r>
          </w:p>
        </w:tc>
      </w:tr>
    </w:tbl>
    <w:p>
      <w:r>
        <w:br w:type="page"/>
      </w:r>
    </w:p>
    <w:p>
      <w:pPr>
        <w:pStyle w:val="Heading1"/>
        <w:spacing w:before="160" w:after="100"/>
      </w:pPr>
      <w:r>
        <w:t>9. Evidencia y validación</w:t>
      </w:r>
    </w:p>
    <w:p>
      <w:pPr>
        <w:spacing w:after="120" w:line="276" w:lineRule="auto"/>
        <w:jc w:val="both"/>
      </w:pPr>
      <w:r>
        <w:t>La entrega incluye las fuentes editables isp-antes.puml e isp-despues.puml, además de las imágenes de ambos diseños. Los nombres de interfaces y métodos usados en los diagramas coinciden con la explicación del documento y con los criterios de aceptación relacionados con ISP.</w:t>
      </w:r>
    </w:p>
    <w:p>
      <w:pPr>
        <w:spacing w:after="120" w:line="276" w:lineRule="auto"/>
        <w:jc w:val="both"/>
      </w:pPr>
      <w:r>
        <w:t>Para la evidencia Git se debe usar la salida real del repositorio después de copiar estos archivos al worktree y realizar el commit. No se colocan hashes inventados. El archivo EVIDENCIA_GIT.md contiene los comandos para obtener la rama, el historial, el árbol de archivos, la URL remota y el commit final.</w:t>
      </w:r>
    </w:p>
    <w:p>
      <w:pPr>
        <w:pStyle w:val="Heading2"/>
        <w:spacing w:before="160" w:after="100"/>
      </w:pPr>
      <w:r>
        <w:t>9.1 Validaciones realizadas</w:t>
      </w:r>
    </w:p>
    <w:p>
      <w:pPr>
        <w:pStyle w:val="ListBullet"/>
        <w:spacing w:after="60" w:line="252" w:lineRule="auto"/>
      </w:pPr>
      <w:r>
        <w:t>El diseño inicial muestra una interfaz amplia de la que dependen clientes con necesidades distintas.</w:t>
      </w:r>
    </w:p>
    <w:p>
      <w:pPr>
        <w:pStyle w:val="ListBullet"/>
        <w:spacing w:after="60" w:line="252" w:lineRule="auto"/>
      </w:pPr>
      <w:r>
        <w:t>El diseño final separa resumen, filtros, métricas y detalle de cama.</w:t>
      </w:r>
    </w:p>
    <w:p>
      <w:pPr>
        <w:pStyle w:val="ListBullet"/>
        <w:spacing w:after="60" w:line="252" w:lineRule="auto"/>
      </w:pPr>
      <w:r>
        <w:t>Cada cliente del diseño final depende de una sola interfaz acorde con lo que utiliza.</w:t>
      </w:r>
    </w:p>
    <w:p>
      <w:pPr>
        <w:pStyle w:val="ListBullet"/>
        <w:spacing w:after="60" w:line="252" w:lineRule="auto"/>
      </w:pPr>
      <w:r>
        <w:t>Los RF, RNF y criterios de aceptación se relacionan con el mismo flujo del dashboard.</w:t>
      </w:r>
    </w:p>
    <w:p>
      <w:pPr>
        <w:pStyle w:val="ListBullet"/>
        <w:spacing w:after="60" w:line="252" w:lineRule="auto"/>
      </w:pPr>
      <w:r>
        <w:t>No se utilizaron datos clínicos reales ni información identificable de pacientes.</w:t>
      </w:r>
    </w:p>
    <w:p>
      <w:pPr>
        <w:pStyle w:val="ListBullet"/>
        <w:spacing w:after="60" w:line="252" w:lineRule="auto"/>
      </w:pPr>
      <w:r>
        <w:t>Las fuentes .puml quedan disponibles para modificar un elemento durante la defensa oral.</w:t>
      </w:r>
    </w:p>
    <w:p>
      <w:pPr>
        <w:pStyle w:val="Heading1"/>
        <w:spacing w:before="160" w:after="100"/>
      </w:pPr>
      <w:r>
        <w:t>10. Conclusión</w:t>
      </w:r>
    </w:p>
    <w:p>
      <w:pPr>
        <w:spacing w:after="120" w:line="276" w:lineRule="auto"/>
        <w:jc w:val="both"/>
      </w:pPr>
      <w:r>
        <w:t>Con esta actividad logré aplicar ISP al diseño del Dashboard de ocupación hospitalaria sin cambiar el objetivo del módulo. El punto más importante fue identificar que una sola interfaz para resumen, filtros, métricas y detalle hacía que los clientes dependieran de operaciones que no usaban. Al separar esas capacidades, cada parte del dashboard queda conectada únicamente con lo que necesita.</w:t>
      </w:r>
    </w:p>
    <w:p>
      <w:pPr>
        <w:spacing w:after="120" w:line="276" w:lineRule="auto"/>
        <w:jc w:val="both"/>
      </w:pPr>
      <w:r>
        <w:t>La limitación de este ejercicio es que se trabaja a nivel de diseño y no incluye una implementación completa del servicio. Aun así, los requisitos, criterios de aceptación, diagramas editables y comparación antes/después permiten comprobar de forma clara dónde estaba el problema y cómo se corrige aplicando ISP.</w:t>
      </w:r>
    </w:p>
    <w:p>
      <w:pPr>
        <w:pStyle w:val="Heading1"/>
        <w:spacing w:before="160" w:after="100"/>
      </w:pPr>
      <w:r>
        <w:t>11. Bibliografía</w:t>
      </w:r>
    </w:p>
    <w:p>
      <w:pPr>
        <w:spacing w:after="100"/>
      </w:pPr>
      <w:r>
        <w:rPr>
          <w:b/>
        </w:rPr>
        <w:t xml:space="preserve">MVP Cluster. </w:t>
      </w:r>
      <w:r>
        <w:t>“Principios básicos del diseño de software (SOLID)”. Disponible en: https://mvpcluster.com/diseno-de-software-2/. Consulta indicada en la guía de la actividad: 31 de julio de 2026.</w:t>
      </w:r>
    </w:p>
    <w:p>
      <w:r>
        <w:rPr>
          <w:b/>
        </w:rPr>
        <w:t xml:space="preserve">PlantUML. </w:t>
      </w:r>
      <w:r>
        <w:t>Documentación y proyecto oficial para diagramas como código. https://plantuml.com/.</w:t>
      </w:r>
    </w:p>
    <w:p>
      <w:pPr>
        <w:spacing w:before="200"/>
      </w:pPr>
      <w:r>
        <w:rPr>
          <w:b/>
        </w:rPr>
        <w:t>Nota para la entrega: la URL y la rama de la portada corresponden al repositorio de trabajo. La etiqueta asii-09-semana2 debe crearse sobre el commit final de esta actividad y publicarse en origin.</w:t>
      </w:r>
      <w:r/>
    </w:p>
    <w:sectPr w:rsidR="00FC693F" w:rsidRPr="0006063C" w:rsidSect="00034616">
      <w:footerReference w:type="first" r:id="rId9"/>
      <w:footerReference w:type="default" r:id="rId10"/>
      <w:pgSz w:w="12240" w:h="15840"/>
      <w:pgMar w:top="936" w:right="1080" w:bottom="936"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Análisis de Sistemas II  |  Dashboard de ocupación hospitalaria  |  Página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Aplicación de ISP al Dashboard de ocupación hospitalaria</dc:title>
  <dc:subject>Análisis de Sistemas II - SOLID ISP</dc:subject>
  <dc:creator>Javier Alexander Fajardo López</dc:creator>
  <cp:keywords>SOLID, ISP, dashboard, ocupación hospitalaria, UML, PlantUML</cp:keywords>
  <dc:description>generated by python-docx</dc:description>
  <cp:lastModifiedBy/>
  <cp:revision>1</cp:revision>
  <dcterms:created xsi:type="dcterms:W3CDTF">2013-12-23T23:15:00Z</dcterms:created>
  <dcterms:modified xsi:type="dcterms:W3CDTF">2013-12-23T23:15:00Z</dcterms:modified>
  <cp:category/>
</cp:coreProperties>
</file>