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un documento de Word, muestra: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a) La primera y última IP válida de cada red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b) Un paquete de ARP, explicando los campos/protocolos que conozcas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c) Un paquete ICMP de "ida" (ping)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d) Un paquete ICMP de "vuelta" (pong)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e) El esquema hecho en Packet Tracer indicando la IP de cada dispositivo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R1 es la red 192.168.1.0 y caben hasta 15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255.255.255.224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Primera ip válida 192</w:t>
        <w:tab/>
        <w:t xml:space="preserve">168</w:t>
        <w:tab/>
        <w:t xml:space="preserve">1</w:t>
        <w:tab/>
        <w:t xml:space="preserve">1 (00000001)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Ultima ip válida 192</w:t>
        <w:tab/>
        <w:t xml:space="preserve">168</w:t>
        <w:tab/>
        <w:t xml:space="preserve">1</w:t>
        <w:tab/>
        <w:t xml:space="preserve">30 (000 11110)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nombre de red: 192.168.1.0/27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11111111.11111111.11111111.11100000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R2 es la res 192.168.2.128 y caben hasta 20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192.168.2.10000000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PRIMERA 192.168.2.129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SEGUNDA 192.168.2.158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255.255.255.11100000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255.255.255.224/27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R3 es la red 192.168.3.0 y caben hasta 3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PRIMERA 192.168.3.1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SEGUNDA 192.168.3.6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255.255.255.11111000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255.255.255.248/29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R4 es la red 192.168.4.128 y caben hasta 20hosts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PRIMERA 192.168.4.129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SEGUNDA 192.168.4.158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255.255.255.11100000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255.255.255.224/27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R5 es la red 192.168.5.0 y caben hasta 15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PRIMERA 192.168.5.1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SEGUNDA 192.168.5.30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255.255.255.11100000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255.255.255.224/27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ARP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1673" cy="3477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673" cy="347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ICMP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757165" cy="35535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165" cy="355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ICMP VUELTA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6125" cy="41559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125" cy="4155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7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