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60"/>
        </w:pBdr>
      </w:pPr>
    </w:p>
    <w:p>
      <w:pPr>
        <w:spacing w:before="1440"/>
      </w:pPr>
    </w:p>
    <w:p>
      <w:pPr>
        <w:spacing w:after="200" w:before="0"/>
        <w:jc w:val="center"/>
      </w:pPr>
      <w:r>
        <w:rPr>
          <w:rFonts w:ascii="Arial" w:cs="Arial" w:eastAsia="Arial" w:hAnsi="Arial"/>
          <w:b/>
          <w:bCs/>
          <w:caps/>
          <w:color w:val="1B3A6B"/>
          <w:sz w:val="36"/>
          <w:szCs w:val="36"/>
        </w:rPr>
        <w:t xml:space="preserve">SISTEMA DE GESTIÓN DE SEGURIDAD DE LA INFORMACIÓN</w:t>
      </w:r>
    </w:p>
    <w:p>
      <w:pPr>
        <w:spacing w:after="120" w:before="0"/>
        <w:jc w:val="center"/>
      </w:pPr>
      <w:r>
        <w:rPr>
          <w:rFonts w:ascii="Arial" w:cs="Arial" w:eastAsia="Arial" w:hAnsi="Arial"/>
          <w:b/>
          <w:bCs/>
          <w:color w:val="2563EB"/>
          <w:sz w:val="52"/>
          <w:szCs w:val="52"/>
        </w:rPr>
        <w:t xml:space="preserve">RESPUESTA A INCIDENTES</w:t>
      </w:r>
    </w:p>
    <w:p>
      <w:pPr>
        <w:spacing w:after="160" w:before="0"/>
        <w:jc w:val="center"/>
      </w:pPr>
      <w:r>
        <w:rPr>
          <w:rFonts w:ascii="Arial" w:cs="Arial" w:eastAsia="Arial" w:hAnsi="Arial"/>
          <w:b/>
          <w:bCs/>
          <w:color w:val="1B3A6B"/>
          <w:sz w:val="26"/>
          <w:szCs w:val="26"/>
        </w:rPr>
        <w:t xml:space="preserve">Procedimientos del Equipo CSIRT de NovaTech Solutions</w:t>
      </w:r>
    </w:p>
    <w:p>
      <w:pPr>
        <w:spacing w:after="480" w:before="0"/>
        <w:jc w:val="center"/>
      </w:pPr>
      <w:r>
        <w:rPr>
          <w:rFonts w:ascii="Arial" w:cs="Arial" w:eastAsia="Arial" w:hAnsi="Arial"/>
          <w:i/>
          <w:iCs/>
          <w:color w:val="374151"/>
          <w:sz w:val="22"/>
          <w:szCs w:val="22"/>
        </w:rPr>
        <w:t xml:space="preserve">Documento 8 del Repositorio SGSI_NovaTech/</w:t>
      </w:r>
    </w:p>
    <w:p>
      <w:pPr>
        <w:spacing w:after="120" w:before="0"/>
        <w:jc w:val="center"/>
      </w:pPr>
      <w:r>
        <w:rPr>
          <w:rFonts w:ascii="Arial" w:cs="Arial" w:eastAsia="Arial" w:hAnsi="Arial"/>
          <w:b/>
          <w:bCs/>
          <w:color w:val="374151"/>
          <w:sz w:val="36"/>
          <w:szCs w:val="36"/>
        </w:rPr>
        <w:t xml:space="preserve">NovaTech Solutions</w:t>
      </w:r>
    </w:p>
    <w:p>
      <w:pPr>
        <w:spacing w:after="720" w:before="0"/>
        <w:jc w:val="center"/>
      </w:pPr>
      <w:r>
        <w:rPr>
          <w:rFonts w:ascii="Arial" w:cs="Arial" w:eastAsia="Arial" w:hAnsi="Arial"/>
          <w:color w:val="374151"/>
          <w:sz w:val="24"/>
          <w:szCs w:val="24"/>
        </w:rPr>
        <w:t xml:space="preserve">Monterrey, Nuevo León,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Inicial</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Confidencial — Uso interno</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Borrador para revisión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Elaborado por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Comité de Seguridad de la Información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Referencia normativa</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ISO/IEC 27001:2022 Anexo A — A.5.24 a A.5.28 | LFPDPPP Art. 20</w:t>
            </w:r>
          </w:p>
        </w:tc>
      </w:tr>
    </w:tbl>
    <w:p>
      <w:pPr>
        <w:spacing w:before="1440"/>
      </w:pPr>
    </w:p>
    <w:p>
      <w:pPr>
        <w:pBdr>
          <w:top w:val="single" w:color="2563EB" w:sz="8" w:space="4"/>
        </w:pBdr>
        <w:spacing w:before="120"/>
        <w:jc w:val="center"/>
      </w:pPr>
      <w:r>
        <w:rPr>
          <w:rFonts w:ascii="Arial" w:cs="Arial" w:eastAsia="Arial" w:hAnsi="Arial"/>
          <w:i/>
          <w:iCs/>
          <w:color w:val="374151"/>
          <w:sz w:val="18"/>
          <w:szCs w:val="18"/>
        </w:rPr>
        <w:t xml:space="preserve">Misión: Blindaje Organizacional  |  Comité de Seguridad de la Información</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 Propósito del Documento</w:t>
      </w:r>
    </w:p>
    <w:p>
      <w:pPr>
        <w:spacing w:after="80" w:before="80"/>
      </w:pPr>
      <w:r>
        <w:rPr>
          <w:rFonts w:ascii="Arial" w:cs="Arial" w:eastAsia="Arial" w:hAnsi="Arial"/>
          <w:color w:val="374151"/>
          <w:sz w:val="22"/>
          <w:szCs w:val="22"/>
        </w:rPr>
        <w:t xml:space="preserve">El presente documento establece el proceso formal de gestión y respuesta a incidentes de seguridad de la información de NovaTech Solutions, incluyendo la composición y responsabilidades del Equipo de Respuesta a Incidentes de Seguridad Informática (CSIRT — Computer Security Incident Response Team), los procedimientos para cada fase del ciclo de vida del incidente y las plantillas operativas para su documentación.</w:t>
      </w:r>
    </w:p>
    <w:p>
      <w:pPr>
        <w:spacing w:after="80" w:before="80"/>
      </w:pPr>
      <w:r>
        <w:rPr>
          <w:rFonts w:ascii="Arial" w:cs="Arial" w:eastAsia="Arial" w:hAnsi="Arial"/>
          <w:color w:val="374151"/>
          <w:sz w:val="22"/>
          <w:szCs w:val="22"/>
        </w:rPr>
        <w:t xml:space="preserve">Los tres incidentes previos de NovaTech Solutions (acceso no autorizado al repositorio, filtración de datos por correo y caída del CRM) ocurrieron sin un proceso formal de respuesta. Ninguno fue declarado oficialmente como incidente, ninguno tuvo un equipo coordinado de respuesta y ninguno generó lecciones aprendidas documentadas. Este documento cierra esa brecha estructural.</w:t>
      </w:r>
    </w:p>
    <w:p>
      <w:pPr>
        <w:spacing w:after="80" w:before="80"/>
      </w:pPr>
      <w:r>
        <w:rPr>
          <w:rFonts w:ascii="Arial" w:cs="Arial" w:eastAsia="Arial" w:hAnsi="Arial"/>
          <w:color w:val="374151"/>
          <w:sz w:val="22"/>
          <w:szCs w:val="22"/>
        </w:rPr>
        <w:t xml:space="preserve">El proceso de respuesta a incidentes se alinea con los controles A.5.24 a A.5.28 del Anexo A de ISO/IEC 27001:2022 y con el artículo 20 de la LFPDPPP respecto a la notificación de vulnerabilidades de seguridad de datos personales.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Los tres principios del CSIRT de NovaTech Solutions</w:t>
            </w:r>
          </w:p>
          <w:p>
            <w:pPr>
              <w:pStyle w:val="ListParagraph"/>
              <w:numPr>
                <w:ilvl w:val="0"/>
                <w:numId w:val="2"/>
              </w:numPr>
              <w:spacing w:after="40" w:before="40"/>
            </w:pPr>
            <w:r>
              <w:rPr>
                <w:rFonts w:ascii="Arial" w:cs="Arial" w:eastAsia="Arial" w:hAnsi="Arial"/>
                <w:color w:val="374151"/>
                <w:sz w:val="21"/>
                <w:szCs w:val="21"/>
              </w:rPr>
              <w:t xml:space="preserve">Velocidad: cada minuto sin contención en un incidente activo aumenta el daño. Los tiempos de respuesta son obligaciones, no sugerencias.</w:t>
            </w:r>
          </w:p>
          <w:p>
            <w:pPr>
              <w:pStyle w:val="ListParagraph"/>
              <w:numPr>
                <w:ilvl w:val="0"/>
                <w:numId w:val="2"/>
              </w:numPr>
              <w:spacing w:after="40" w:before="40"/>
            </w:pPr>
            <w:r>
              <w:rPr>
                <w:rFonts w:ascii="Arial" w:cs="Arial" w:eastAsia="Arial" w:hAnsi="Arial"/>
                <w:color w:val="374151"/>
                <w:sz w:val="21"/>
                <w:szCs w:val="21"/>
              </w:rPr>
              <w:t xml:space="preserve">Documentación: todo lo que ocurre durante un incidente debe documentarse en tiempo real. Sin evidencia no hay análisis, sin análisis no hay mejora.</w:t>
            </w:r>
          </w:p>
          <w:p>
            <w:pPr>
              <w:pStyle w:val="ListParagraph"/>
              <w:numPr>
                <w:ilvl w:val="0"/>
                <w:numId w:val="2"/>
              </w:numPr>
              <w:spacing w:after="40" w:before="40"/>
            </w:pPr>
            <w:r>
              <w:rPr>
                <w:rFonts w:ascii="Arial" w:cs="Arial" w:eastAsia="Arial" w:hAnsi="Arial"/>
                <w:color w:val="374151"/>
                <w:sz w:val="21"/>
                <w:szCs w:val="21"/>
              </w:rPr>
              <w:t xml:space="preserve">Aprendizaje: cada incidente es una oportunidad de fortalecer el SGSI. Las lecciones aprendidas son el producto más valioso de cualquier respuesta.</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2. Definiciones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Término</w:t>
            </w:r>
          </w:p>
        </w:tc>
        <w:tc>
          <w:tcPr>
            <w:tcW w:type="dxa" w:w="3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Definición</w:t>
            </w:r>
          </w:p>
        </w:tc>
        <w:tc>
          <w:tcPr>
            <w:tcW w:type="dxa" w:w="3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Ejemplo en NovaTech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 de seguridad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Evento confirmado que compromete o ha comprometido la confidencialidad, integridad o disponibilidad de un activo de información.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no autorizado al repositorio Git (Incidente I real)</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Evento de seguridad</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Ocurrencia identificada en un sistema o red que puede indicar una posible violación de política o falla de control.</w:t>
            </w:r>
          </w:p>
        </w:tc>
        <w:tc>
          <w:tcPr>
            <w:tcW w:type="dxa" w:w="3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Intento de acceso fallido repetido al CRM desde una IP desconocida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Vulnerabilidad de seguridad de datos personales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Brecha de seguridad que afecta datos personales, sujeta a notificación bajo el Art. 20 de la LFPDPPP.</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Filtración de datos de contacto de cliente por error de correo (Incidente II real)</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CSIRT</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Computer Security Incident Response Team: equipo formal encargado de coordinar la respuesta a incidentes de seguridad de la información.</w:t>
            </w:r>
          </w:p>
        </w:tc>
        <w:tc>
          <w:tcPr>
            <w:tcW w:type="dxa" w:w="3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Equipo designado en la Sección 3 de este documento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MTTD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Mean Time to Detect: tiempo promedio desde que ocurre un incidente hasta que es detectado.</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Objetivo NovaTech: MTTD &lt; 2 horas para incidentes P1 y P2</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MTTR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Mean Time to Respond/Resolve: tiempo promedio desde la detección hasta la contención o resolución del incidente.</w:t>
            </w:r>
          </w:p>
        </w:tc>
        <w:tc>
          <w:tcPr>
            <w:tcW w:type="dxa" w:w="3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Objetivo NovaTech: MTTR &lt; 4 horas para incidentes P1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IOC</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Indicators of Compromise: evidencias técnicas que indican que un sistema ha sido comprometido.</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IP anómala en logs, hash de malware, credenciales expuestas en dark web</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Post-mortem</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Análisis formal de un incidente cerrado para identificar causa raíz, impacto y lecciones aprendidas.</w:t>
            </w:r>
          </w:p>
        </w:tc>
        <w:tc>
          <w:tcPr>
            <w:tcW w:type="dxa" w:w="3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Reunión de post-mortem obligatoria dentro de los 5 días hábiles tras el cierre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Playbook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Guía de respuesta detallada paso a paso para un tipo específico de incidente.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Playbook de ransomware, playbook de phishing, playbook de fuga de datos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3. Equipo de Respuesta a Incidentes (CSIRT)</w:t>
      </w:r>
    </w:p>
    <w:p>
      <w:pPr>
        <w:pStyle w:val="Heading2"/>
        <w:spacing w:after="140" w:before="280"/>
      </w:pPr>
      <w:r>
        <w:rPr>
          <w:rFonts w:ascii="Arial" w:cs="Arial" w:eastAsia="Arial" w:hAnsi="Arial"/>
          <w:b/>
          <w:bCs/>
          <w:color w:val="2563EB"/>
          <w:sz w:val="28"/>
          <w:szCs w:val="28"/>
        </w:rPr>
        <w:t xml:space="preserve">3.1 Composición del CSIRT</w:t>
      </w:r>
    </w:p>
    <w:p>
      <w:pPr>
        <w:spacing w:after="80" w:before="80"/>
      </w:pPr>
      <w:r>
        <w:rPr>
          <w:rFonts w:ascii="Arial" w:cs="Arial" w:eastAsia="Arial" w:hAnsi="Arial"/>
          <w:color w:val="374151"/>
          <w:sz w:val="22"/>
          <w:szCs w:val="22"/>
        </w:rPr>
        <w:t xml:space="preserve">El CSIRT de NovaTech Solutions es un equipo multidisciplinario de respuesta a incidentes. Su activación es dinámica: el núcleo permanente siempre está disponible, y se incorporan miembros adicionales según el tipo y el impacto del incidente.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1600"/>
        <w:gridCol w:w="960"/>
      </w:tblGrid>
      <w:tr>
        <w:trPr>
          <w:tblHeader/>
        </w:trPr>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Rol</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Responsabilidades</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Titular</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Suplente</w:t>
            </w:r>
          </w:p>
        </w:tc>
        <w:tc>
          <w:tcPr>
            <w:tcW w:type="dxa" w:w="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Disponibilidad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Líder del CSIRT (CISO)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Coordinar toda la respuesta. Tomar decisiones técnicas. Escalar a la Dirección. Aprobar comunicaciones externas. Garantizar la documentación del incidente.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Gerente de Desarrollo</w:t>
            </w:r>
          </w:p>
        </w:tc>
        <w:tc>
          <w:tcPr>
            <w:tcW w:type="dxa" w:w="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24/7 durante un incidente activo</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Analista Técnico Senior</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Analizar evidencias técnicas, logs y sistemas afectados. Ejecutar la contención y erradicación. Proponer controles correctivos.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Desarrollador senior designado / DevOps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Segundo desarrollador senior</w:t>
            </w:r>
          </w:p>
        </w:tc>
        <w:tc>
          <w:tcPr>
            <w:tcW w:type="dxa" w:w="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Horario laboral + guardia de emergencia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Administrador de Infraestructura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Ejecutar acciones en la infraestructura: aislamiento de sistemas, restauración desde backups, cambios de configuración de emergencia.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principal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secundario</w:t>
            </w:r>
          </w:p>
        </w:tc>
        <w:tc>
          <w:tcPr>
            <w:tcW w:type="dxa" w:w="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Horario laboral + guardia de emergencia</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Responsable de Comunicaciones</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Redactar y enviar comunicaciones a clientes, proveedores y reguladores. Gestionar el mensaje interno durante el incidente.</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Atención a Clientes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Director General</w:t>
            </w:r>
          </w:p>
        </w:tc>
        <w:tc>
          <w:tcPr>
            <w:tcW w:type="dxa" w:w="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Disponible dentro de 2 horas de activación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 / Asesor Legal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Evaluar si el incidente implica una vulnerabilidad de datos personales bajo la LFPDPPP. Gestionar la notificación al INAI si aplica. Asesorar sobre implicaciones legales.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 / Gerente de Administración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Abogado externo designado</w:t>
            </w:r>
          </w:p>
        </w:tc>
        <w:tc>
          <w:tcPr>
            <w:tcW w:type="dxa" w:w="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Disponible dentro de 4 horas de activación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Representante del Área Afectada</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Proporcionar contexto del negocio sobre el sistema o proceso afectado. Coordinar la continuidad operativa del área durante el incidente.</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del área afectada</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Supervisor del área</w:t>
            </w:r>
          </w:p>
        </w:tc>
        <w:tc>
          <w:tcPr>
            <w:tcW w:type="dxa" w:w="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Disponible dentro de 1 hora de notificación</w:t>
            </w:r>
          </w:p>
        </w:tc>
      </w:tr>
    </w:tbl>
    <w:p>
      <w:pPr>
        <w:spacing w:before="200"/>
      </w:pPr>
    </w:p>
    <w:p>
      <w:pPr>
        <w:pStyle w:val="Heading2"/>
        <w:spacing w:after="140" w:before="280"/>
      </w:pPr>
      <w:r>
        <w:rPr>
          <w:rFonts w:ascii="Arial" w:cs="Arial" w:eastAsia="Arial" w:hAnsi="Arial"/>
          <w:b/>
          <w:bCs/>
          <w:color w:val="2563EB"/>
          <w:sz w:val="28"/>
          <w:szCs w:val="28"/>
        </w:rPr>
        <w:t xml:space="preserve">3.2 Canal de comunicación del CSIRT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8"/>
              <w:bottom w:val="single" w:color="991B1B" w:sz="8"/>
              <w:right w:val="single" w:color="991B1B" w:sz="8"/>
            </w:tcBorders>
            <w:shd w:fill="FEE2E2" w:val="clear"/>
            <w:tcMar>
              <w:top w:type="dxa" w:w="120"/>
              <w:left w:type="dxa" w:w="160"/>
              <w:bottom w:type="dxa" w:w="120"/>
              <w:right w:type="dxa" w:w="160"/>
            </w:tcMar>
          </w:tcPr>
          <w:p>
            <w:pPr>
              <w:spacing w:after="80" w:before="60"/>
            </w:pPr>
            <w:r>
              <w:rPr>
                <w:rFonts w:ascii="Arial" w:cs="Arial" w:eastAsia="Arial" w:hAnsi="Arial"/>
                <w:b/>
                <w:bCs/>
                <w:color w:val="991B1B"/>
                <w:sz w:val="22"/>
                <w:szCs w:val="22"/>
              </w:rPr>
              <w:t xml:space="preserve">Canal de crisis del CSIRT</w:t>
            </w:r>
          </w:p>
          <w:p>
            <w:pPr>
              <w:pStyle w:val="ListParagraph"/>
              <w:numPr>
                <w:ilvl w:val="0"/>
                <w:numId w:val="2"/>
              </w:numPr>
              <w:spacing w:after="40" w:before="40"/>
            </w:pPr>
            <w:r>
              <w:rPr>
                <w:rFonts w:ascii="Arial" w:cs="Arial" w:eastAsia="Arial" w:hAnsi="Arial"/>
                <w:color w:val="374151"/>
                <w:sz w:val="21"/>
                <w:szCs w:val="21"/>
              </w:rPr>
              <w:t xml:space="preserve">Durante un incidente activo, toda comunicación del CSIRT se centraliza en el Canal de Crisis designado (grupo de mensajería privado: WhatsApp Business o Microsoft Teams — canal 'CSIRT-Emergencias').</w:t>
            </w:r>
          </w:p>
          <w:p>
            <w:pPr>
              <w:pStyle w:val="ListParagraph"/>
              <w:numPr>
                <w:ilvl w:val="0"/>
                <w:numId w:val="2"/>
              </w:numPr>
              <w:spacing w:after="40" w:before="40"/>
            </w:pPr>
            <w:r>
              <w:rPr>
                <w:rFonts w:ascii="Arial" w:cs="Arial" w:eastAsia="Arial" w:hAnsi="Arial"/>
                <w:color w:val="374151"/>
                <w:sz w:val="21"/>
                <w:szCs w:val="21"/>
              </w:rPr>
              <w:t xml:space="preserve">Únicamente los miembros del CSIRT tienen acceso al canal de crisis. Las comunicaciones de este canal son confidenciales.</w:t>
            </w:r>
          </w:p>
          <w:p>
            <w:pPr>
              <w:pStyle w:val="ListParagraph"/>
              <w:numPr>
                <w:ilvl w:val="0"/>
                <w:numId w:val="2"/>
              </w:numPr>
              <w:spacing w:after="40" w:before="40"/>
            </w:pPr>
            <w:r>
              <w:rPr>
                <w:rFonts w:ascii="Arial" w:cs="Arial" w:eastAsia="Arial" w:hAnsi="Arial"/>
                <w:color w:val="374151"/>
                <w:sz w:val="21"/>
                <w:szCs w:val="21"/>
              </w:rPr>
              <w:t xml:space="preserve">Toda decisión relevante tomada durante el incidente debe documentarse en el Registro de Incidente en tiempo real (Sección 9).</w:t>
            </w:r>
          </w:p>
          <w:p>
            <w:pPr>
              <w:pStyle w:val="ListParagraph"/>
              <w:numPr>
                <w:ilvl w:val="0"/>
                <w:numId w:val="2"/>
              </w:numPr>
              <w:spacing w:after="40" w:before="40"/>
            </w:pPr>
            <w:r>
              <w:rPr>
                <w:rFonts w:ascii="Arial" w:cs="Arial" w:eastAsia="Arial" w:hAnsi="Arial"/>
                <w:color w:val="374151"/>
                <w:sz w:val="21"/>
                <w:szCs w:val="21"/>
              </w:rPr>
              <w:t xml:space="preserve">Queda prohibido discutir detalles técnicos del incidente por correo electrónico estándar o canales no seguros durante la fase activa de respuesta.</w:t>
            </w:r>
          </w:p>
        </w:tc>
      </w:tr>
    </w:tbl>
    <w:p>
      <w:pPr>
        <w:spacing w:before="200"/>
      </w:pPr>
    </w:p>
    <w:p>
      <w:pPr>
        <w:pStyle w:val="Heading2"/>
        <w:spacing w:after="140" w:before="280"/>
      </w:pPr>
      <w:r>
        <w:rPr>
          <w:rFonts w:ascii="Arial" w:cs="Arial" w:eastAsia="Arial" w:hAnsi="Arial"/>
          <w:b/>
          <w:bCs/>
          <w:color w:val="2563EB"/>
          <w:sz w:val="28"/>
          <w:szCs w:val="28"/>
        </w:rPr>
        <w:t xml:space="preserve">3.3 Árbol de escalamiento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rPr>
          <w:tblHeader/>
        </w:trPr>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 de severidad</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Equipo activado</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Escalamiento a dirección</w:t>
            </w:r>
          </w:p>
        </w:tc>
        <w:tc>
          <w:tcPr>
            <w:tcW w:type="dxa" w:w="2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Notificación externa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P1 — Crítico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CSIRT completo + Director General desde el inicio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Inmediato — Director General participa activamente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Según impacto: clientes afectados (1h) + INAI si datos personales (plazo legal)</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P2 — Alto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CSIRT completo (sin Director General de inicio)</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2 horas de confirmación del incidente</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Clientes afectados dentro de 4 horas si el servicio está impactado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P3 — Medio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Líder CSIRT + Analista Técnico + Área afectada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Reporte al Director General en el resumen diario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Solo si hay impacto en clientes o datos personales comprometidos</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P4 — Bajo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Líder CSIRT + Área afectada</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Reporte mensual de incidentes menores</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 requerida generalmente</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4. Clasificación y Severidad de Incidentes</w:t>
      </w:r>
    </w:p>
    <w:p>
      <w:pPr>
        <w:pStyle w:val="Heading2"/>
        <w:spacing w:after="140" w:before="280"/>
      </w:pPr>
      <w:r>
        <w:rPr>
          <w:rFonts w:ascii="Arial" w:cs="Arial" w:eastAsia="Arial" w:hAnsi="Arial"/>
          <w:b/>
          <w:bCs/>
          <w:color w:val="2563EB"/>
          <w:sz w:val="28"/>
          <w:szCs w:val="28"/>
        </w:rPr>
        <w:t xml:space="preserve">4.1 Matriz de severidad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1800"/>
        <w:gridCol w:w="2460"/>
      </w:tblGrid>
      <w:tr>
        <w:trPr>
          <w:tblHeader/>
        </w:trPr>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Nombre</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Criterios de clasificación</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RTO de respuesta</w:t>
            </w:r>
          </w:p>
        </w:tc>
        <w:tc>
          <w:tcPr>
            <w:tcW w:type="dxa" w:w="24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Ejemplos en NovaTech</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P1</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P1 — Crítico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Interrupción total de un servicio crítico (producción, CRM). Compromiso masivo de datos personales. Ransomware activo. Control externo de infraestructura.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Contención en 1 hora. Resolución en 4 horas.</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Ransomware en producción. Compromiso de consola de nube. Caída total del CRM + pérdida de datos.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P2</w:t>
            </w:r>
          </w:p>
        </w:tc>
        <w:tc>
          <w:tcPr>
            <w:tcW w:type="dxa" w:w="14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P2 — Alto</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Interrupción parcial de servicios. Brecha de datos confirmada de alcance limitado. Acceso no autorizado a sistemas críticos. Credenciales de administrador comprometidas.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Contención en 2 horas. Resolución en 8 horas.</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Acceso no autorizado al repositorio Git (Incidente I). Interrupción del CRM por mala configuración (Incidente III).</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P3</w:t>
            </w:r>
          </w:p>
        </w:tc>
        <w:tc>
          <w:tcPr>
            <w:tcW w:type="dxa" w:w="1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P3 — Medio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Intento de acceso no autorizado detectado y bloqueado. Filtración de datos de alcance limitado. Malware detectado y aislado. Vulnerabilidad crítica descubierta sin explotación activa.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Contención en 4 horas. Resolución en 24 horas.</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Filtración de datos de cliente por error de correo (Incidente II). Detección de credenciales en repositorio público.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P4</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19"/>
                <w:szCs w:val="19"/>
              </w:rPr>
              <w:t xml:space="preserve">P4 — Bajo</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Correo de phishing recibido sin acción del usuario. Intento de fuerza bruta bloqueado automáticamente. Incumplimiento menor de política sin impacto en sistemas.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Análisis en 24 horas. Resolución en 5 días hábiles.</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Empleado reenvía correo a dirección incorrecta sin información sensible. Intento de login fallido repetido.</w:t>
            </w:r>
          </w:p>
        </w:tc>
      </w:tr>
    </w:tbl>
    <w:p>
      <w:pPr>
        <w:spacing w:before="200"/>
      </w:pPr>
    </w:p>
    <w:p>
      <w:pPr>
        <w:pStyle w:val="Heading2"/>
        <w:spacing w:after="140" w:before="280"/>
      </w:pPr>
      <w:r>
        <w:rPr>
          <w:rFonts w:ascii="Arial" w:cs="Arial" w:eastAsia="Arial" w:hAnsi="Arial"/>
          <w:b/>
          <w:bCs/>
          <w:color w:val="2563EB"/>
          <w:sz w:val="28"/>
          <w:szCs w:val="28"/>
        </w:rPr>
        <w:t xml:space="preserve">4.2 Tipos de incidentes reconocidos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200"/>
        <w:gridCol w:w="19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Código</w:t>
            </w:r>
          </w:p>
        </w:tc>
        <w:tc>
          <w:tcPr>
            <w:tcW w:type="dxa" w:w="4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1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Severidad típica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no autorizado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INC-ACC</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a sistemas, datos o instalaciones por persona no autorizada, ya sea confirmado o sospechado.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P1 o P2</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Fuga o filtración de datos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INC-FUG</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Divulgación no autorizada de información, incluyendo datos personales. Puede ser intencional o accidental.</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P2 o P3</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Malware / Ransomware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INC-MAL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Presencia confirmada o sospechada de software malicioso en sistemas de NovaTech.</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P1 o P2</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Interrupción de servicio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INC-DIS</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Indisponibilidad no planificada de un sistema o servicio, ya sea por ataque, falla técnica o error humano.</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P1 a P3 según impacto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Compromiso de credenciales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INC-CRE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Contraseñas, tokens o llaves SSH comprometidos o sospechados de estarlo.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P1 o P2</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Ingeniería social / Phishing</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INC-PHI</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Intento de manipulación de empleados para obtener información o accesos. Incluye phishing, vishing y smishing.</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P3 o P4</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Uso indebido de recursos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INC-USO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Uso de sistemas corporativos para fines no autorizados o violación de la Política de Uso Aceptable.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P3 o P4</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Vulnerabilidad crítica descubierta</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INC-VUL</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Identificación de una vulnerabilidad de alto riesgo en sistemas de NovaTech antes de su explotación.</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P2 o P3</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Pérdida o robo de dispositivo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INC-DIS2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Extravío o robo de equipo corporativo (laptop, teléfono) con potencial de acceso a información.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P2 o P3</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físico de seguridad</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INC-FIS</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Acceso físico no autorizado a instalaciones o destrucción de equipos o documentos.</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P2 a P4</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5. Proceso de Respuesta a Incidentes — 6 Fases</w:t>
      </w:r>
    </w:p>
    <w:p>
      <w:pPr>
        <w:spacing w:after="80" w:before="80"/>
      </w:pPr>
      <w:r>
        <w:rPr>
          <w:rFonts w:ascii="Arial" w:cs="Arial" w:eastAsia="Arial" w:hAnsi="Arial"/>
          <w:color w:val="374151"/>
          <w:sz w:val="22"/>
          <w:szCs w:val="22"/>
        </w:rPr>
        <w:t xml:space="preserve">El proceso de respuesta a incidentes de NovaTech Solutions se estructura en seis fases secuenciales. Cada fase tiene actividades obligatorias, responsables definidos y criterios de salida que deben cumplirse antes de avanzar a la siguiente.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0"/>
              <w:bottom w:val="single" w:color="991B1B" w:sz="10"/>
              <w:right w:val="single" w:color="991B1B" w:sz="10"/>
            </w:tcBorders>
            <w:shd w:fill="FEE2E2" w:val="clear"/>
            <w:tcMar>
              <w:top w:type="dxa" w:w="120"/>
              <w:left w:type="dxa" w:w="160"/>
              <w:bottom w:type="dxa" w:w="120"/>
              <w:right w:type="dxa" w:w="160"/>
            </w:tcMar>
          </w:tcPr>
          <w:p>
            <w:pPr>
              <w:spacing w:after="80" w:before="60"/>
            </w:pPr>
            <w:r>
              <w:rPr>
                <w:rFonts w:ascii="Arial" w:cs="Arial" w:eastAsia="Arial" w:hAnsi="Arial"/>
                <w:b/>
                <w:bCs/>
                <w:color w:val="991B1B"/>
                <w:sz w:val="22"/>
                <w:szCs w:val="22"/>
              </w:rPr>
              <w:t xml:space="preserve">FASE 1 — </w:t>
            </w:r>
            <w:r>
              <w:rPr>
                <w:rFonts w:ascii="Arial" w:cs="Arial" w:eastAsia="Arial" w:hAnsi="Arial"/>
                <w:b/>
                <w:bCs/>
                <w:color w:val="991B1B"/>
                <w:sz w:val="22"/>
                <w:szCs w:val="22"/>
              </w:rPr>
              <w:t xml:space="preserve">DETECCIÓN Y REPORTE</w:t>
            </w:r>
          </w:p>
          <w:p>
            <w:pPr>
              <w:pStyle w:val="ListParagraph"/>
              <w:numPr>
                <w:ilvl w:val="0"/>
                <w:numId w:val="3"/>
              </w:numPr>
              <w:spacing w:after="40" w:before="40"/>
            </w:pPr>
            <w:r>
              <w:rPr>
                <w:rFonts w:ascii="Arial" w:cs="Arial" w:eastAsia="Arial" w:hAnsi="Arial"/>
                <w:color w:val="374151"/>
                <w:sz w:val="21"/>
                <w:szCs w:val="21"/>
              </w:rPr>
              <w:t xml:space="preserve">Cualquier empleado que detecte o sospeche un incidente de seguridad debe notificar INMEDIATAMENTE al CISO por teléfono directo o correo de emergencia. No intentar resolver el incidente por cuenta propia.</w:t>
            </w:r>
          </w:p>
          <w:p>
            <w:pPr>
              <w:pStyle w:val="ListParagraph"/>
              <w:numPr>
                <w:ilvl w:val="0"/>
                <w:numId w:val="3"/>
              </w:numPr>
              <w:spacing w:after="40" w:before="40"/>
            </w:pPr>
            <w:r>
              <w:rPr>
                <w:rFonts w:ascii="Arial" w:cs="Arial" w:eastAsia="Arial" w:hAnsi="Arial"/>
                <w:color w:val="374151"/>
                <w:sz w:val="21"/>
                <w:szCs w:val="21"/>
              </w:rPr>
              <w:t xml:space="preserve">El CISO registra el reporte inicial en el Registro de Incidentes (Sección 9.1) con: fecha/hora, quién reporta, descripción inicial del evento y sistemas potencialmente afectados.</w:t>
            </w:r>
          </w:p>
          <w:p>
            <w:pPr>
              <w:pStyle w:val="ListParagraph"/>
              <w:numPr>
                <w:ilvl w:val="0"/>
                <w:numId w:val="3"/>
              </w:numPr>
              <w:spacing w:after="40" w:before="40"/>
            </w:pPr>
            <w:r>
              <w:rPr>
                <w:rFonts w:ascii="Arial" w:cs="Arial" w:eastAsia="Arial" w:hAnsi="Arial"/>
                <w:color w:val="374151"/>
                <w:sz w:val="21"/>
                <w:szCs w:val="21"/>
              </w:rPr>
              <w:t xml:space="preserve">El CISO realiza una evaluación inicial de 15 minutos para determinar si es un incidente real o un falso positivo.</w:t>
            </w:r>
          </w:p>
          <w:p>
            <w:pPr>
              <w:pStyle w:val="ListParagraph"/>
              <w:numPr>
                <w:ilvl w:val="0"/>
                <w:numId w:val="3"/>
              </w:numPr>
              <w:spacing w:after="40" w:before="40"/>
            </w:pPr>
            <w:r>
              <w:rPr>
                <w:rFonts w:ascii="Arial" w:cs="Arial" w:eastAsia="Arial" w:hAnsi="Arial"/>
                <w:color w:val="374151"/>
                <w:sz w:val="21"/>
                <w:szCs w:val="21"/>
              </w:rPr>
              <w:t xml:space="preserve">Si se confirma como incidente, el CISO asigna un código de incidente (formato: INC-YYYY-NN), lo clasifica por tipo y severidad, y notifica al CSIRT.</w:t>
            </w:r>
          </w:p>
          <w:p>
            <w:pPr>
              <w:pStyle w:val="ListParagraph"/>
              <w:numPr>
                <w:ilvl w:val="0"/>
                <w:numId w:val="3"/>
              </w:numPr>
              <w:spacing w:after="40" w:before="40"/>
            </w:pPr>
            <w:r>
              <w:rPr>
                <w:rFonts w:ascii="Arial" w:cs="Arial" w:eastAsia="Arial" w:hAnsi="Arial"/>
                <w:color w:val="374151"/>
                <w:sz w:val="21"/>
                <w:szCs w:val="21"/>
              </w:rPr>
              <w:t xml:space="preserve">Criterio de salida: incidente registrado, clasificado y equipo CSIRT notificado.</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0"/>
              <w:left w:val="single" w:color="9A3412" w:sz="10"/>
              <w:bottom w:val="single" w:color="9A3412" w:sz="10"/>
              <w:right w:val="single" w:color="9A3412" w:sz="10"/>
            </w:tcBorders>
            <w:shd w:fill="FFEDD5" w:val="clear"/>
            <w:tcMar>
              <w:top w:type="dxa" w:w="120"/>
              <w:left w:type="dxa" w:w="160"/>
              <w:bottom w:type="dxa" w:w="120"/>
              <w:right w:type="dxa" w:w="160"/>
            </w:tcMar>
          </w:tcPr>
          <w:p>
            <w:pPr>
              <w:spacing w:after="80" w:before="60"/>
            </w:pPr>
            <w:r>
              <w:rPr>
                <w:rFonts w:ascii="Arial" w:cs="Arial" w:eastAsia="Arial" w:hAnsi="Arial"/>
                <w:b/>
                <w:bCs/>
                <w:color w:val="9A3412"/>
                <w:sz w:val="22"/>
                <w:szCs w:val="22"/>
              </w:rPr>
              <w:t xml:space="preserve">FASE 2 — </w:t>
            </w:r>
            <w:r>
              <w:rPr>
                <w:rFonts w:ascii="Arial" w:cs="Arial" w:eastAsia="Arial" w:hAnsi="Arial"/>
                <w:b/>
                <w:bCs/>
                <w:color w:val="9A3412"/>
                <w:sz w:val="22"/>
                <w:szCs w:val="22"/>
              </w:rPr>
              <w:t xml:space="preserve">ANÁLISIS Y CLASIFICACIÓN</w:t>
            </w:r>
          </w:p>
          <w:p>
            <w:pPr>
              <w:pStyle w:val="ListParagraph"/>
              <w:numPr>
                <w:ilvl w:val="0"/>
                <w:numId w:val="3"/>
              </w:numPr>
              <w:spacing w:after="40" w:before="40"/>
            </w:pPr>
            <w:r>
              <w:rPr>
                <w:rFonts w:ascii="Arial" w:cs="Arial" w:eastAsia="Arial" w:hAnsi="Arial"/>
                <w:color w:val="374151"/>
                <w:sz w:val="21"/>
                <w:szCs w:val="21"/>
              </w:rPr>
              <w:t xml:space="preserve">El Analista Técnico recopila evidencias iniciales: logs de acceso, alertas de monitoreo, pantallazos del comportamiento anómalo, correos involucrados. TODA evidencia debe preservarse sin modificación.</w:t>
            </w:r>
          </w:p>
          <w:p>
            <w:pPr>
              <w:pStyle w:val="ListParagraph"/>
              <w:numPr>
                <w:ilvl w:val="0"/>
                <w:numId w:val="3"/>
              </w:numPr>
              <w:spacing w:after="40" w:before="40"/>
            </w:pPr>
            <w:r>
              <w:rPr>
                <w:rFonts w:ascii="Arial" w:cs="Arial" w:eastAsia="Arial" w:hAnsi="Arial"/>
                <w:color w:val="374151"/>
                <w:sz w:val="21"/>
                <w:szCs w:val="21"/>
              </w:rPr>
              <w:t xml:space="preserve">El CSIRT responde las preguntas clave: ¿Qué sistemas están afectados? ¿Qué datos pueden estar comprometidos? ¿Cuál es el vector de ataque probable? ¿El incidente está activo o ya finalizó?</w:t>
            </w:r>
          </w:p>
          <w:p>
            <w:pPr>
              <w:pStyle w:val="ListParagraph"/>
              <w:numPr>
                <w:ilvl w:val="0"/>
                <w:numId w:val="3"/>
              </w:numPr>
              <w:spacing w:after="40" w:before="40"/>
            </w:pPr>
            <w:r>
              <w:rPr>
                <w:rFonts w:ascii="Arial" w:cs="Arial" w:eastAsia="Arial" w:hAnsi="Arial"/>
                <w:color w:val="374151"/>
                <w:sz w:val="21"/>
                <w:szCs w:val="21"/>
              </w:rPr>
              <w:t xml:space="preserve">Se confirma o ajusta el nivel de severidad (P1 a P4) y se activa el nivel de escalamiento correspondiente (Sección 3.3).</w:t>
            </w:r>
          </w:p>
          <w:p>
            <w:pPr>
              <w:pStyle w:val="ListParagraph"/>
              <w:numPr>
                <w:ilvl w:val="0"/>
                <w:numId w:val="3"/>
              </w:numPr>
              <w:spacing w:after="40" w:before="40"/>
            </w:pPr>
            <w:r>
              <w:rPr>
                <w:rFonts w:ascii="Arial" w:cs="Arial" w:eastAsia="Arial" w:hAnsi="Arial"/>
                <w:color w:val="374151"/>
                <w:sz w:val="21"/>
                <w:szCs w:val="21"/>
              </w:rPr>
              <w:t xml:space="preserve">El DPO evalúa si hay datos personales potencialmente comprometidos para determinar si aplica la obligación de notificación bajo el Art. 20 de la LFPDPPP.</w:t>
            </w:r>
          </w:p>
          <w:p>
            <w:pPr>
              <w:pStyle w:val="ListParagraph"/>
              <w:numPr>
                <w:ilvl w:val="0"/>
                <w:numId w:val="3"/>
              </w:numPr>
              <w:spacing w:after="40" w:before="40"/>
            </w:pPr>
            <w:r>
              <w:rPr>
                <w:rFonts w:ascii="Arial" w:cs="Arial" w:eastAsia="Arial" w:hAnsi="Arial"/>
                <w:color w:val="374151"/>
                <w:sz w:val="21"/>
                <w:szCs w:val="21"/>
              </w:rPr>
              <w:t xml:space="preserve">Se actualiza el Registro de Incidentes con los hallazgos del análisis inicial.</w:t>
            </w:r>
          </w:p>
          <w:p>
            <w:pPr>
              <w:pStyle w:val="ListParagraph"/>
              <w:numPr>
                <w:ilvl w:val="0"/>
                <w:numId w:val="3"/>
              </w:numPr>
              <w:spacing w:after="40" w:before="40"/>
            </w:pPr>
            <w:r>
              <w:rPr>
                <w:rFonts w:ascii="Arial" w:cs="Arial" w:eastAsia="Arial" w:hAnsi="Arial"/>
                <w:color w:val="374151"/>
                <w:sz w:val="21"/>
                <w:szCs w:val="21"/>
              </w:rPr>
              <w:t xml:space="preserve">Criterio de salida: alcance del incidente definido, severidad confirmada, escalamiento activado si corresponde.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0"/>
              <w:left w:val="single" w:color="92400E" w:sz="10"/>
              <w:bottom w:val="single" w:color="92400E" w:sz="10"/>
              <w:right w:val="single" w:color="92400E" w:sz="10"/>
            </w:tcBorders>
            <w:shd w:fill="FEF3C7" w:val="clear"/>
            <w:tcMar>
              <w:top w:type="dxa" w:w="120"/>
              <w:left w:type="dxa" w:w="160"/>
              <w:bottom w:type="dxa" w:w="120"/>
              <w:right w:type="dxa" w:w="160"/>
            </w:tcMar>
          </w:tcPr>
          <w:p>
            <w:pPr>
              <w:spacing w:after="80" w:before="60"/>
            </w:pPr>
            <w:r>
              <w:rPr>
                <w:rFonts w:ascii="Arial" w:cs="Arial" w:eastAsia="Arial" w:hAnsi="Arial"/>
                <w:b/>
                <w:bCs/>
                <w:color w:val="92400E"/>
                <w:sz w:val="22"/>
                <w:szCs w:val="22"/>
              </w:rPr>
              <w:t xml:space="preserve">FASE 3 — </w:t>
            </w:r>
            <w:r>
              <w:rPr>
                <w:rFonts w:ascii="Arial" w:cs="Arial" w:eastAsia="Arial" w:hAnsi="Arial"/>
                <w:b/>
                <w:bCs/>
                <w:color w:val="92400E"/>
                <w:sz w:val="22"/>
                <w:szCs w:val="22"/>
              </w:rPr>
              <w:t xml:space="preserve">CONTENCIÓN</w:t>
            </w:r>
          </w:p>
          <w:p>
            <w:pPr>
              <w:pStyle w:val="ListParagraph"/>
              <w:numPr>
                <w:ilvl w:val="0"/>
                <w:numId w:val="3"/>
              </w:numPr>
              <w:spacing w:after="40" w:before="40"/>
            </w:pPr>
            <w:r>
              <w:rPr>
                <w:rFonts w:ascii="Arial" w:cs="Arial" w:eastAsia="Arial" w:hAnsi="Arial"/>
                <w:color w:val="374151"/>
                <w:sz w:val="21"/>
                <w:szCs w:val="21"/>
              </w:rPr>
              <w:t xml:space="preserve">Objetivo: detener el daño y evitar que el incidente se propague a otros sistemas o activos. La contención es la prioridad absoluta antes de la erradicación.</w:t>
            </w:r>
          </w:p>
          <w:p>
            <w:pPr>
              <w:pStyle w:val="ListParagraph"/>
              <w:numPr>
                <w:ilvl w:val="0"/>
                <w:numId w:val="3"/>
              </w:numPr>
              <w:spacing w:after="40" w:before="40"/>
            </w:pPr>
            <w:r>
              <w:rPr>
                <w:rFonts w:ascii="Arial" w:cs="Arial" w:eastAsia="Arial" w:hAnsi="Arial"/>
                <w:color w:val="374151"/>
                <w:sz w:val="21"/>
                <w:szCs w:val="21"/>
              </w:rPr>
              <w:t xml:space="preserve">Contención a corto plazo (inmediata): aislar sistemas afectados de la red, revocar credenciales comprometidas, bloquear IPs maliciosas en el firewall, suspender cuentas de usuario sospechosas.</w:t>
            </w:r>
          </w:p>
          <w:p>
            <w:pPr>
              <w:pStyle w:val="ListParagraph"/>
              <w:numPr>
                <w:ilvl w:val="0"/>
                <w:numId w:val="3"/>
              </w:numPr>
              <w:spacing w:after="40" w:before="40"/>
            </w:pPr>
            <w:r>
              <w:rPr>
                <w:rFonts w:ascii="Arial" w:cs="Arial" w:eastAsia="Arial" w:hAnsi="Arial"/>
                <w:color w:val="374151"/>
                <w:sz w:val="21"/>
                <w:szCs w:val="21"/>
              </w:rPr>
              <w:t xml:space="preserve">Contención a largo plazo: implementar medidas temporales que permitan continuar operando mientras se trabaja en la erradicación definitiva (ej. activar el BCP si aplica).</w:t>
            </w:r>
          </w:p>
          <w:p>
            <w:pPr>
              <w:pStyle w:val="ListParagraph"/>
              <w:numPr>
                <w:ilvl w:val="0"/>
                <w:numId w:val="3"/>
              </w:numPr>
              <w:spacing w:after="40" w:before="40"/>
            </w:pPr>
            <w:r>
              <w:rPr>
                <w:rFonts w:ascii="Arial" w:cs="Arial" w:eastAsia="Arial" w:hAnsi="Arial"/>
                <w:color w:val="374151"/>
                <w:sz w:val="21"/>
                <w:szCs w:val="21"/>
              </w:rPr>
              <w:t xml:space="preserve">Decisión de preservar vs. apagar sistemas afectados: en lo posible, preservar los sistemas para análisis forense antes de apagarlos. Si hay riesgo de propagación activa, el aislamiento prevalece sobre la preservación.</w:t>
            </w:r>
          </w:p>
          <w:p>
            <w:pPr>
              <w:pStyle w:val="ListParagraph"/>
              <w:numPr>
                <w:ilvl w:val="0"/>
                <w:numId w:val="3"/>
              </w:numPr>
              <w:spacing w:after="40" w:before="40"/>
            </w:pPr>
            <w:r>
              <w:rPr>
                <w:rFonts w:ascii="Arial" w:cs="Arial" w:eastAsia="Arial" w:hAnsi="Arial"/>
                <w:color w:val="374151"/>
                <w:sz w:val="21"/>
                <w:szCs w:val="21"/>
              </w:rPr>
              <w:t xml:space="preserve">Documentar TODAS las acciones de contención con fecha, hora y responsable en el Registro de Incidentes.</w:t>
            </w:r>
          </w:p>
          <w:p>
            <w:pPr>
              <w:pStyle w:val="ListParagraph"/>
              <w:numPr>
                <w:ilvl w:val="0"/>
                <w:numId w:val="3"/>
              </w:numPr>
              <w:spacing w:after="40" w:before="40"/>
            </w:pPr>
            <w:r>
              <w:rPr>
                <w:rFonts w:ascii="Arial" w:cs="Arial" w:eastAsia="Arial" w:hAnsi="Arial"/>
                <w:color w:val="374151"/>
                <w:sz w:val="21"/>
                <w:szCs w:val="21"/>
              </w:rPr>
              <w:t xml:space="preserve">Criterio de salida: el incidente está contenido (ya no se propaga) y los sistemas críticos no afectados están protegidos.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0"/>
              <w:left w:val="single" w:color="0F766E" w:sz="10"/>
              <w:bottom w:val="single" w:color="0F766E" w:sz="10"/>
              <w:right w:val="single" w:color="0F766E" w:sz="10"/>
            </w:tcBorders>
            <w:shd w:fill="CCFBF1" w:val="clear"/>
            <w:tcMar>
              <w:top w:type="dxa" w:w="120"/>
              <w:left w:type="dxa" w:w="160"/>
              <w:bottom w:type="dxa" w:w="120"/>
              <w:right w:type="dxa" w:w="160"/>
            </w:tcMar>
          </w:tcPr>
          <w:p>
            <w:pPr>
              <w:spacing w:after="80" w:before="60"/>
            </w:pPr>
            <w:r>
              <w:rPr>
                <w:rFonts w:ascii="Arial" w:cs="Arial" w:eastAsia="Arial" w:hAnsi="Arial"/>
                <w:b/>
                <w:bCs/>
                <w:color w:val="0F766E"/>
                <w:sz w:val="22"/>
                <w:szCs w:val="22"/>
              </w:rPr>
              <w:t xml:space="preserve">FASE 4 — </w:t>
            </w:r>
            <w:r>
              <w:rPr>
                <w:rFonts w:ascii="Arial" w:cs="Arial" w:eastAsia="Arial" w:hAnsi="Arial"/>
                <w:b/>
                <w:bCs/>
                <w:color w:val="0F766E"/>
                <w:sz w:val="22"/>
                <w:szCs w:val="22"/>
              </w:rPr>
              <w:t xml:space="preserve">ERRADICACIÓN</w:t>
            </w:r>
          </w:p>
          <w:p>
            <w:pPr>
              <w:pStyle w:val="ListParagraph"/>
              <w:numPr>
                <w:ilvl w:val="0"/>
                <w:numId w:val="3"/>
              </w:numPr>
              <w:spacing w:after="40" w:before="40"/>
            </w:pPr>
            <w:r>
              <w:rPr>
                <w:rFonts w:ascii="Arial" w:cs="Arial" w:eastAsia="Arial" w:hAnsi="Arial"/>
                <w:color w:val="374151"/>
                <w:sz w:val="21"/>
                <w:szCs w:val="21"/>
              </w:rPr>
              <w:t xml:space="preserve">Identificar y eliminar la causa raíz del incidente: eliminar malware, revocar accesos backdoor, parchear la vulnerabilidad explotada, corregir la configuración incorrecta.</w:t>
            </w:r>
          </w:p>
          <w:p>
            <w:pPr>
              <w:pStyle w:val="ListParagraph"/>
              <w:numPr>
                <w:ilvl w:val="0"/>
                <w:numId w:val="3"/>
              </w:numPr>
              <w:spacing w:after="40" w:before="40"/>
            </w:pPr>
            <w:r>
              <w:rPr>
                <w:rFonts w:ascii="Arial" w:cs="Arial" w:eastAsia="Arial" w:hAnsi="Arial"/>
                <w:color w:val="374151"/>
                <w:sz w:val="21"/>
                <w:szCs w:val="21"/>
              </w:rPr>
              <w:t xml:space="preserve">Verificar que no existen persistencias ocultas: cuentas de usuario creadas por el atacante, tareas programadas maliciosas, scripts de inicio modificados.</w:t>
            </w:r>
          </w:p>
          <w:p>
            <w:pPr>
              <w:pStyle w:val="ListParagraph"/>
              <w:numPr>
                <w:ilvl w:val="0"/>
                <w:numId w:val="3"/>
              </w:numPr>
              <w:spacing w:after="40" w:before="40"/>
            </w:pPr>
            <w:r>
              <w:rPr>
                <w:rFonts w:ascii="Arial" w:cs="Arial" w:eastAsia="Arial" w:hAnsi="Arial"/>
                <w:color w:val="374151"/>
                <w:sz w:val="21"/>
                <w:szCs w:val="21"/>
              </w:rPr>
              <w:t xml:space="preserve">Cambiar TODAS las credenciales de los sistemas afectados, incluyendo las que no fueron directamente comprometidas pero pudieran haber sido expuestas.</w:t>
            </w:r>
          </w:p>
          <w:p>
            <w:pPr>
              <w:pStyle w:val="ListParagraph"/>
              <w:numPr>
                <w:ilvl w:val="0"/>
                <w:numId w:val="3"/>
              </w:numPr>
              <w:spacing w:after="40" w:before="40"/>
            </w:pPr>
            <w:r>
              <w:rPr>
                <w:rFonts w:ascii="Arial" w:cs="Arial" w:eastAsia="Arial" w:hAnsi="Arial"/>
                <w:color w:val="374151"/>
                <w:sz w:val="21"/>
                <w:szCs w:val="21"/>
              </w:rPr>
              <w:t xml:space="preserve">Aplicar parches de seguridad pendientes relacionados con la vulnerabilidad explotada.</w:t>
            </w:r>
          </w:p>
          <w:p>
            <w:pPr>
              <w:pStyle w:val="ListParagraph"/>
              <w:numPr>
                <w:ilvl w:val="0"/>
                <w:numId w:val="3"/>
              </w:numPr>
              <w:spacing w:after="40" w:before="40"/>
            </w:pPr>
            <w:r>
              <w:rPr>
                <w:rFonts w:ascii="Arial" w:cs="Arial" w:eastAsia="Arial" w:hAnsi="Arial"/>
                <w:color w:val="374151"/>
                <w:sz w:val="21"/>
                <w:szCs w:val="21"/>
              </w:rPr>
              <w:t xml:space="preserve">Revisar y endurecer (hardening) la configuración de los sistemas afectados antes de su reconexión.</w:t>
            </w:r>
          </w:p>
          <w:p>
            <w:pPr>
              <w:pStyle w:val="ListParagraph"/>
              <w:numPr>
                <w:ilvl w:val="0"/>
                <w:numId w:val="3"/>
              </w:numPr>
              <w:spacing w:after="40" w:before="40"/>
            </w:pPr>
            <w:r>
              <w:rPr>
                <w:rFonts w:ascii="Arial" w:cs="Arial" w:eastAsia="Arial" w:hAnsi="Arial"/>
                <w:color w:val="374151"/>
                <w:sz w:val="21"/>
                <w:szCs w:val="21"/>
              </w:rPr>
              <w:t xml:space="preserve">El Analista Técnico confirma por escrito que la causa raíz ha sido eliminada antes de proceder a la recuperación.</w:t>
            </w:r>
          </w:p>
          <w:p>
            <w:pPr>
              <w:pStyle w:val="ListParagraph"/>
              <w:numPr>
                <w:ilvl w:val="0"/>
                <w:numId w:val="3"/>
              </w:numPr>
              <w:spacing w:after="40" w:before="40"/>
            </w:pPr>
            <w:r>
              <w:rPr>
                <w:rFonts w:ascii="Arial" w:cs="Arial" w:eastAsia="Arial" w:hAnsi="Arial"/>
                <w:color w:val="374151"/>
                <w:sz w:val="21"/>
                <w:szCs w:val="21"/>
              </w:rPr>
              <w:t xml:space="preserve">Criterio de salida: causa raíz eliminada, sin evidencia de persistencia del atacante, sistemas listos para recuperación.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0"/>
              <w:left w:val="single" w:color="166534" w:sz="10"/>
              <w:bottom w:val="single" w:color="166534" w:sz="10"/>
              <w:right w:val="single" w:color="166534" w:sz="10"/>
            </w:tcBorders>
            <w:shd w:fill="DCFCE7" w:val="clear"/>
            <w:tcMar>
              <w:top w:type="dxa" w:w="120"/>
              <w:left w:type="dxa" w:w="160"/>
              <w:bottom w:type="dxa" w:w="120"/>
              <w:right w:type="dxa" w:w="160"/>
            </w:tcMar>
          </w:tcPr>
          <w:p>
            <w:pPr>
              <w:spacing w:after="80" w:before="60"/>
            </w:pPr>
            <w:r>
              <w:rPr>
                <w:rFonts w:ascii="Arial" w:cs="Arial" w:eastAsia="Arial" w:hAnsi="Arial"/>
                <w:b/>
                <w:bCs/>
                <w:color w:val="166534"/>
                <w:sz w:val="22"/>
                <w:szCs w:val="22"/>
              </w:rPr>
              <w:t xml:space="preserve">FASE 5 — </w:t>
            </w:r>
            <w:r>
              <w:rPr>
                <w:rFonts w:ascii="Arial" w:cs="Arial" w:eastAsia="Arial" w:hAnsi="Arial"/>
                <w:b/>
                <w:bCs/>
                <w:color w:val="166534"/>
                <w:sz w:val="22"/>
                <w:szCs w:val="22"/>
              </w:rPr>
              <w:t xml:space="preserve">RECUPERACIÓN</w:t>
            </w:r>
          </w:p>
          <w:p>
            <w:pPr>
              <w:pStyle w:val="ListParagraph"/>
              <w:numPr>
                <w:ilvl w:val="0"/>
                <w:numId w:val="3"/>
              </w:numPr>
              <w:spacing w:after="40" w:before="40"/>
            </w:pPr>
            <w:r>
              <w:rPr>
                <w:rFonts w:ascii="Arial" w:cs="Arial" w:eastAsia="Arial" w:hAnsi="Arial"/>
                <w:color w:val="374151"/>
                <w:sz w:val="21"/>
                <w:szCs w:val="21"/>
              </w:rPr>
              <w:t xml:space="preserve">Restaurar los sistemas afectados a su estado operativo normal. Si se requiere restauración desde backup, seguir los procedimientos del DRP (Documento 7).</w:t>
            </w:r>
          </w:p>
          <w:p>
            <w:pPr>
              <w:pStyle w:val="ListParagraph"/>
              <w:numPr>
                <w:ilvl w:val="0"/>
                <w:numId w:val="3"/>
              </w:numPr>
              <w:spacing w:after="40" w:before="40"/>
            </w:pPr>
            <w:r>
              <w:rPr>
                <w:rFonts w:ascii="Arial" w:cs="Arial" w:eastAsia="Arial" w:hAnsi="Arial"/>
                <w:color w:val="374151"/>
                <w:sz w:val="21"/>
                <w:szCs w:val="21"/>
              </w:rPr>
              <w:t xml:space="preserve">Restaurar gradualmente los servicios, comenzando por los de mayor impacto en el negocio (prioridad: producción &gt; CRM &gt; repositorios &gt; correo &gt; ERP).</w:t>
            </w:r>
          </w:p>
          <w:p>
            <w:pPr>
              <w:pStyle w:val="ListParagraph"/>
              <w:numPr>
                <w:ilvl w:val="0"/>
                <w:numId w:val="3"/>
              </w:numPr>
              <w:spacing w:after="40" w:before="40"/>
            </w:pPr>
            <w:r>
              <w:rPr>
                <w:rFonts w:ascii="Arial" w:cs="Arial" w:eastAsia="Arial" w:hAnsi="Arial"/>
                <w:color w:val="374151"/>
                <w:sz w:val="21"/>
                <w:szCs w:val="21"/>
              </w:rPr>
              <w:t xml:space="preserve">Monitoreo intensivo post-recuperación: revisar logs de acceso y comportamiento del sistema con mayor frecuencia durante las primeras 48 horas.</w:t>
            </w:r>
          </w:p>
          <w:p>
            <w:pPr>
              <w:pStyle w:val="ListParagraph"/>
              <w:numPr>
                <w:ilvl w:val="0"/>
                <w:numId w:val="3"/>
              </w:numPr>
              <w:spacing w:after="40" w:before="40"/>
            </w:pPr>
            <w:r>
              <w:rPr>
                <w:rFonts w:ascii="Arial" w:cs="Arial" w:eastAsia="Arial" w:hAnsi="Arial"/>
                <w:color w:val="374151"/>
                <w:sz w:val="21"/>
                <w:szCs w:val="21"/>
              </w:rPr>
              <w:t xml:space="preserve">Verificar que los datos restaurados tienen integridad correcta y que no hay pérdida de información más allá del RPO definido.</w:t>
            </w:r>
          </w:p>
          <w:p>
            <w:pPr>
              <w:pStyle w:val="ListParagraph"/>
              <w:numPr>
                <w:ilvl w:val="0"/>
                <w:numId w:val="3"/>
              </w:numPr>
              <w:spacing w:after="40" w:before="40"/>
            </w:pPr>
            <w:r>
              <w:rPr>
                <w:rFonts w:ascii="Arial" w:cs="Arial" w:eastAsia="Arial" w:hAnsi="Arial"/>
                <w:color w:val="374151"/>
                <w:sz w:val="21"/>
                <w:szCs w:val="21"/>
              </w:rPr>
              <w:t xml:space="preserve">Confirmar con el Responsable de Comunicaciones que los clientes afectados han sido notificados y que el estado del servicio se ha comunicado correctamente.</w:t>
            </w:r>
          </w:p>
          <w:p>
            <w:pPr>
              <w:pStyle w:val="ListParagraph"/>
              <w:numPr>
                <w:ilvl w:val="0"/>
                <w:numId w:val="3"/>
              </w:numPr>
              <w:spacing w:after="40" w:before="40"/>
            </w:pPr>
            <w:r>
              <w:rPr>
                <w:rFonts w:ascii="Arial" w:cs="Arial" w:eastAsia="Arial" w:hAnsi="Arial"/>
                <w:color w:val="374151"/>
                <w:sz w:val="21"/>
                <w:szCs w:val="21"/>
              </w:rPr>
              <w:t xml:space="preserve">El Líder del CSIRT declara formalmente el fin de la fase de recuperación cuando todos los sistemas están operativos y monitoreados.</w:t>
            </w:r>
          </w:p>
          <w:p>
            <w:pPr>
              <w:pStyle w:val="ListParagraph"/>
              <w:numPr>
                <w:ilvl w:val="0"/>
                <w:numId w:val="3"/>
              </w:numPr>
              <w:spacing w:after="40" w:before="40"/>
            </w:pPr>
            <w:r>
              <w:rPr>
                <w:rFonts w:ascii="Arial" w:cs="Arial" w:eastAsia="Arial" w:hAnsi="Arial"/>
                <w:color w:val="374151"/>
                <w:sz w:val="21"/>
                <w:szCs w:val="21"/>
              </w:rPr>
              <w:t xml:space="preserve">Criterio de salida: todos los servicios afectados están operativos, los datos íntegros y el monitoreo reforzado activo.</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0"/>
              <w:left w:val="single" w:color="5B21B6" w:sz="10"/>
              <w:bottom w:val="single" w:color="5B21B6" w:sz="10"/>
              <w:right w:val="single" w:color="5B21B6" w:sz="10"/>
            </w:tcBorders>
            <w:shd w:fill="EDE9FE" w:val="clear"/>
            <w:tcMar>
              <w:top w:type="dxa" w:w="120"/>
              <w:left w:type="dxa" w:w="160"/>
              <w:bottom w:type="dxa" w:w="120"/>
              <w:right w:type="dxa" w:w="160"/>
            </w:tcMar>
          </w:tcPr>
          <w:p>
            <w:pPr>
              <w:spacing w:after="80" w:before="60"/>
            </w:pPr>
            <w:r>
              <w:rPr>
                <w:rFonts w:ascii="Arial" w:cs="Arial" w:eastAsia="Arial" w:hAnsi="Arial"/>
                <w:b/>
                <w:bCs/>
                <w:color w:val="5B21B6"/>
                <w:sz w:val="22"/>
                <w:szCs w:val="22"/>
              </w:rPr>
              <w:t xml:space="preserve">FASE 6 — </w:t>
            </w:r>
            <w:r>
              <w:rPr>
                <w:rFonts w:ascii="Arial" w:cs="Arial" w:eastAsia="Arial" w:hAnsi="Arial"/>
                <w:b/>
                <w:bCs/>
                <w:color w:val="5B21B6"/>
                <w:sz w:val="22"/>
                <w:szCs w:val="22"/>
              </w:rPr>
              <w:t xml:space="preserve">POST-MORTEM Y LECCIONES APRENDIDAS</w:t>
            </w:r>
          </w:p>
          <w:p>
            <w:pPr>
              <w:pStyle w:val="ListParagraph"/>
              <w:numPr>
                <w:ilvl w:val="0"/>
                <w:numId w:val="3"/>
              </w:numPr>
              <w:spacing w:after="40" w:before="40"/>
            </w:pPr>
            <w:r>
              <w:rPr>
                <w:rFonts w:ascii="Arial" w:cs="Arial" w:eastAsia="Arial" w:hAnsi="Arial"/>
                <w:color w:val="374151"/>
                <w:sz w:val="21"/>
                <w:szCs w:val="21"/>
              </w:rPr>
              <w:t xml:space="preserve">Dentro de los 5 días hábiles posteriores al cierre del incidente, el CISO convoca una reunión de post-mortem con el CSIRT y los gerentes de las áreas afectadas.</w:t>
            </w:r>
          </w:p>
          <w:p>
            <w:pPr>
              <w:pStyle w:val="ListParagraph"/>
              <w:numPr>
                <w:ilvl w:val="0"/>
                <w:numId w:val="3"/>
              </w:numPr>
              <w:spacing w:after="40" w:before="40"/>
            </w:pPr>
            <w:r>
              <w:rPr>
                <w:rFonts w:ascii="Arial" w:cs="Arial" w:eastAsia="Arial" w:hAnsi="Arial"/>
                <w:color w:val="374151"/>
                <w:sz w:val="21"/>
                <w:szCs w:val="21"/>
              </w:rPr>
              <w:t xml:space="preserve">El post-mortem analiza sin señalar culpables individuales: el objetivo es entender qué falló sistémicamente y cómo mejorar, no castigar personas.</w:t>
            </w:r>
          </w:p>
          <w:p>
            <w:pPr>
              <w:pStyle w:val="ListParagraph"/>
              <w:numPr>
                <w:ilvl w:val="0"/>
                <w:numId w:val="3"/>
              </w:numPr>
              <w:spacing w:after="40" w:before="40"/>
            </w:pPr>
            <w:r>
              <w:rPr>
                <w:rFonts w:ascii="Arial" w:cs="Arial" w:eastAsia="Arial" w:hAnsi="Arial"/>
                <w:color w:val="374151"/>
                <w:sz w:val="21"/>
                <w:szCs w:val="21"/>
              </w:rPr>
              <w:t xml:space="preserve">Se completa el Informe de Post-Mortem (Sección 9.3) con: línea de tiempo del incidente, causa raíz, impacto real, acciones tomadas y efectividad de los controles.</w:t>
            </w:r>
          </w:p>
          <w:p>
            <w:pPr>
              <w:pStyle w:val="ListParagraph"/>
              <w:numPr>
                <w:ilvl w:val="0"/>
                <w:numId w:val="3"/>
              </w:numPr>
              <w:spacing w:after="40" w:before="40"/>
            </w:pPr>
            <w:r>
              <w:rPr>
                <w:rFonts w:ascii="Arial" w:cs="Arial" w:eastAsia="Arial" w:hAnsi="Arial"/>
                <w:color w:val="374151"/>
                <w:sz w:val="21"/>
                <w:szCs w:val="21"/>
              </w:rPr>
              <w:t xml:space="preserve">Se identifican las brechas de control que permitieron el incidente y se proponen mejoras concretas al SGSI (nuevos controles, actualizaciones de política, capacitación adicional).</w:t>
            </w:r>
          </w:p>
          <w:p>
            <w:pPr>
              <w:pStyle w:val="ListParagraph"/>
              <w:numPr>
                <w:ilvl w:val="0"/>
                <w:numId w:val="3"/>
              </w:numPr>
              <w:spacing w:after="40" w:before="40"/>
            </w:pPr>
            <w:r>
              <w:rPr>
                <w:rFonts w:ascii="Arial" w:cs="Arial" w:eastAsia="Arial" w:hAnsi="Arial"/>
                <w:color w:val="374151"/>
                <w:sz w:val="21"/>
                <w:szCs w:val="21"/>
              </w:rPr>
              <w:t xml:space="preserve">Las mejoras propuestas se integran al Plan de Tratamiento de Riesgos (Documento 4) y al catálogo de controles (Documento 6).</w:t>
            </w:r>
          </w:p>
          <w:p>
            <w:pPr>
              <w:pStyle w:val="ListParagraph"/>
              <w:numPr>
                <w:ilvl w:val="0"/>
                <w:numId w:val="3"/>
              </w:numPr>
              <w:spacing w:after="40" w:before="40"/>
            </w:pPr>
            <w:r>
              <w:rPr>
                <w:rFonts w:ascii="Arial" w:cs="Arial" w:eastAsia="Arial" w:hAnsi="Arial"/>
                <w:color w:val="374151"/>
                <w:sz w:val="21"/>
                <w:szCs w:val="21"/>
              </w:rPr>
              <w:t xml:space="preserve">El incidente se cierra formalmente en el Registro de Incidentes con estado 'Cerrado' y las acciones de mejora documentadas.</w:t>
            </w:r>
          </w:p>
          <w:p>
            <w:pPr>
              <w:pStyle w:val="ListParagraph"/>
              <w:numPr>
                <w:ilvl w:val="0"/>
                <w:numId w:val="3"/>
              </w:numPr>
              <w:spacing w:after="40" w:before="40"/>
            </w:pPr>
            <w:r>
              <w:rPr>
                <w:rFonts w:ascii="Arial" w:cs="Arial" w:eastAsia="Arial" w:hAnsi="Arial"/>
                <w:color w:val="374151"/>
                <w:sz w:val="21"/>
                <w:szCs w:val="21"/>
              </w:rPr>
              <w:t xml:space="preserve">Criterio de salida: Informe de Post-Mortem completado y aprobado por el CISO. Acciones de mejora asignadas con responsable y plazo.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6. Tiempos de Respuesta Obligatorios</w:t>
      </w:r>
    </w:p>
    <w:p>
      <w:pPr>
        <w:spacing w:after="80" w:before="80"/>
      </w:pPr>
      <w:r>
        <w:rPr>
          <w:rFonts w:ascii="Arial" w:cs="Arial" w:eastAsia="Arial" w:hAnsi="Arial"/>
          <w:color w:val="374151"/>
          <w:sz w:val="22"/>
          <w:szCs w:val="22"/>
        </w:rPr>
        <w:t xml:space="preserve">Los siguientes tiempos son compromisos obligatorios del CSIRT, no estimaciones. Su incumplimiento sin justificación documentada constituye una falla del proceso de respuesta a incidentes que debe analizarse en el post-mortem.</w:t>
      </w:r>
    </w:p>
    <w:p>
      <w:pPr>
        <w:spacing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00"/>
        <w:gridCol w:w="1800"/>
        <w:gridCol w:w="1500"/>
        <w:gridCol w:w="2060"/>
      </w:tblGrid>
      <w:tr>
        <w:trPr>
          <w:tblHeader/>
        </w:trPr>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Severidad</w:t>
            </w:r>
          </w:p>
        </w:tc>
        <w:tc>
          <w:tcPr>
            <w:tcW w:type="dxa" w:w="1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máx. para clasificar</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máx. para contención</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máx. para resolución</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Notificación a Dirección</w:t>
            </w:r>
          </w:p>
        </w:tc>
        <w:tc>
          <w:tcPr>
            <w:tcW w:type="dxa" w:w="20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Notificación externa</w:t>
            </w:r>
          </w:p>
        </w:tc>
      </w:tr>
      <w:tr>
        <w:tc>
          <w:tcPr>
            <w:tcW w:type="dxa" w:w="15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P1 — Crítico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15 minutos desde reporte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1 hora desde clasificación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4 horas desde clasificación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Inmediata (&lt; 30 min)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Clientes: &lt; 1h | INAI si aplica: plazo legal</w:t>
            </w:r>
          </w:p>
        </w:tc>
      </w:tr>
      <w:tr>
        <w:tc>
          <w:tcPr>
            <w:tcW w:type="dxa" w:w="15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P2 — Alto</w:t>
            </w:r>
          </w:p>
        </w:tc>
        <w:tc>
          <w:tcPr>
            <w:tcW w:type="dxa" w:w="1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30 minutos desde reporte</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2 horas desde clasificación</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8 horas desde clasificación</w:t>
            </w:r>
          </w:p>
        </w:tc>
        <w:tc>
          <w:tcPr>
            <w:tcW w:type="dxa" w:w="1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&lt; 2 horas</w:t>
            </w:r>
          </w:p>
        </w:tc>
        <w:tc>
          <w:tcPr>
            <w:tcW w:type="dxa" w:w="2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Clientes afectados: &lt; 4h si hay impacto en servicio</w:t>
            </w:r>
          </w:p>
        </w:tc>
      </w:tr>
      <w:tr>
        <w:tc>
          <w:tcPr>
            <w:tcW w:type="dxa" w:w="15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P3 — Medio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2 horas desde reporte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4 horas desde clasificación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24 horas desde clasificación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Reporte del día</w:t>
            </w:r>
          </w:p>
        </w:tc>
        <w:tc>
          <w:tcPr>
            <w:tcW w:type="dxa" w:w="2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Solo si hay impacto en clientes o datos personales</w:t>
            </w:r>
          </w:p>
        </w:tc>
      </w:tr>
      <w:tr>
        <w:tc>
          <w:tcPr>
            <w:tcW w:type="dxa" w:w="15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19"/>
                <w:szCs w:val="19"/>
              </w:rPr>
              <w:t xml:space="preserve">P4 — Bajo</w:t>
            </w:r>
          </w:p>
        </w:tc>
        <w:tc>
          <w:tcPr>
            <w:tcW w:type="dxa" w:w="1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24 horas desde reporte</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No aplica (contención inmediata)</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5 días hábiles</w:t>
            </w:r>
          </w:p>
        </w:tc>
        <w:tc>
          <w:tcPr>
            <w:tcW w:type="dxa" w:w="1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Reporte mensual</w:t>
            </w:r>
          </w:p>
        </w:tc>
        <w:tc>
          <w:tcPr>
            <w:tcW w:type="dxa" w:w="2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No requerida generalmente</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7. Playbooks de Respuesta por Tipo de Incidente</w:t>
      </w:r>
    </w:p>
    <w:p>
      <w:pPr>
        <w:spacing w:after="80" w:before="80"/>
      </w:pPr>
      <w:r>
        <w:rPr>
          <w:rFonts w:ascii="Arial" w:cs="Arial" w:eastAsia="Arial" w:hAnsi="Arial"/>
          <w:color w:val="374151"/>
          <w:sz w:val="22"/>
          <w:szCs w:val="22"/>
        </w:rPr>
        <w:t xml:space="preserve">Los playbooks son guías de respuesta específicas para los tipos de incidente más probables en NovaTech Solutions, basadas en los riesgos identificados en el Documento 4. Complementan el proceso general de 6 fases con pasos técnicos concretos.</w:t>
      </w:r>
    </w:p>
    <w:p>
      <w:pPr>
        <w:spacing w:before="80"/>
      </w:pPr>
    </w:p>
    <w:p>
      <w:pPr>
        <w:pStyle w:val="Heading2"/>
        <w:spacing w:after="140" w:before="280"/>
      </w:pPr>
      <w:r>
        <w:rPr>
          <w:rFonts w:ascii="Arial" w:cs="Arial" w:eastAsia="Arial" w:hAnsi="Arial"/>
          <w:b/>
          <w:bCs/>
          <w:color w:val="2563EB"/>
          <w:sz w:val="28"/>
          <w:szCs w:val="28"/>
        </w:rPr>
        <w:t xml:space="preserve">7.1 Playbook — Acceso no autorizado a repositorio Git (INC-ACC)</w:t>
      </w:r>
    </w:p>
    <w:p>
      <w:pPr>
        <w:spacing w:after="80" w:before="80"/>
      </w:pPr>
      <w:r>
        <w:rPr>
          <w:rFonts w:ascii="Arial" w:cs="Arial" w:eastAsia="Arial" w:hAnsi="Arial"/>
          <w:color w:val="374151"/>
          <w:sz w:val="22"/>
          <w:szCs w:val="22"/>
        </w:rPr>
        <w:t xml:space="preserve">Basado en el Incidente I real de NovaTech Solutions.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200"/>
        <w:gridCol w:w="3060"/>
      </w:tblGrid>
      <w:tr>
        <w:trPr>
          <w:tblHeader/>
        </w:trPr>
        <w:tc>
          <w:tcPr>
            <w:tcW w:type="dxa" w:w="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Paso</w:t>
            </w:r>
          </w:p>
        </w:tc>
        <w:tc>
          <w:tcPr>
            <w:tcW w:type="dxa" w:w="3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Acción inmediata</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30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Evidencia a preservar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Revocar INMEDIATAMENTE el token o credencial de la sesión comprometida. Si se desconoce cuál, revocar todos los tokens activos del repositorio.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Analista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Captura del log de accesos al momento de detección</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Habilitar revisión forzada de código (code freeze) temporal: ningún merge a la rama principal hasta confirmar la integridad del código.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Desarrollo</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Lista de commits recientes y sus autores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Revisar el log de accesos del repositorio: identificar la IP origen, el usuario, los archivos descargados/modificados y el timestamp exacto.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Analista Técnico</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Log completo de accesos exportado y firmado digitalmente</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Verificar la integridad del código: comparar los commits recientes con versiones previas para detectar modificaciones no autorizadas.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Analista Técnico + Dev</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Diff de los commits de las últimas 48 horas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Escanear el repositorio en busca de credenciales o secretos expuestos (herramienta: GitGuardian / TruffleHog).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Reporte del escaneo de secretos</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 se detectan modificaciones no autorizadas en el código, revertir a la última versión verificada y notificar a los clientes potencialmente afectados.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Desarrollo + CISO</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Registro del rollback del código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Implementar MFA en todos los accesos al repositorio si no estaba activo (prioridad máxima post-incidente).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Confirmación de MFA activado en todos los usuarios</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8</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Capacitación inmediata a todo el equipo de desarrollo sobre manejo seguro de sesiones y cierre obligatorio en equipos compartidos.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Registro de asistencia a la capacitación</w:t>
            </w:r>
          </w:p>
        </w:tc>
      </w:tr>
    </w:tbl>
    <w:p>
      <w:pPr>
        <w:spacing w:before="200"/>
      </w:pPr>
    </w:p>
    <w:p>
      <w:pPr>
        <w:pStyle w:val="Heading2"/>
        <w:spacing w:after="140" w:before="280"/>
      </w:pPr>
      <w:r>
        <w:rPr>
          <w:rFonts w:ascii="Arial" w:cs="Arial" w:eastAsia="Arial" w:hAnsi="Arial"/>
          <w:b/>
          <w:bCs/>
          <w:color w:val="2563EB"/>
          <w:sz w:val="28"/>
          <w:szCs w:val="28"/>
        </w:rPr>
        <w:t xml:space="preserve">7.2 Playbook — Filtración de datos personales (INC-FUG)</w:t>
      </w:r>
    </w:p>
    <w:p>
      <w:pPr>
        <w:spacing w:after="80" w:before="80"/>
      </w:pPr>
      <w:r>
        <w:rPr>
          <w:rFonts w:ascii="Arial" w:cs="Arial" w:eastAsia="Arial" w:hAnsi="Arial"/>
          <w:color w:val="374151"/>
          <w:sz w:val="22"/>
          <w:szCs w:val="22"/>
        </w:rPr>
        <w:t xml:space="preserve">Basado en el Incidente II real de NovaTech Solutions. Activa obligaciones bajo el Art. 20 de la LFPDPPP.</w:t>
      </w:r>
    </w:p>
    <w:p>
      <w:pPr>
        <w:spacing w:before="60"/>
      </w:pP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200"/>
        <w:gridCol w:w="2540"/>
      </w:tblGrid>
      <w:tr>
        <w:trPr>
          <w:tblHeader/>
        </w:trPr>
        <w:tc>
          <w:tcPr>
            <w:tcW w:type="dxa" w:w="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Paso</w:t>
            </w:r>
          </w:p>
        </w:tc>
        <w:tc>
          <w:tcPr>
            <w:tcW w:type="dxa" w:w="3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Acción inmediata</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54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objetivo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Identificar exactamente qué información fue expuesta: tipo de datos (personales, financieros, técnicos), volumen, destinatarios no autorizados y si los datos son recuperables.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DPO</w:t>
            </w:r>
          </w:p>
        </w:tc>
        <w:tc>
          <w:tcPr>
            <w:tcW w:type="dxa" w:w="25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 a T+1h</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 la filtración fue por correo, contactar INMEDIATAMENTE al destinatario no autorizado para solicitar la eliminación confidencial de la información recibida (sin confirmar el incidente más allá de lo necesario).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Responsable Comunicaciones</w:t>
            </w:r>
          </w:p>
        </w:tc>
        <w:tc>
          <w:tcPr>
            <w:tcW w:type="dxa" w:w="25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T+0 a T+2h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DPO evalúa si la filtración constituye una 'vulnerabilidad de seguridad de datos personales' bajo la LFPDPPP (Art. 20) que requiera notificación al INAI y a los titulares afectados.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25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T+2h a T+4h</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 aplica notificación, el DPO prepara el reporte al INAI con: descripción del incidente, datos personales afectados, medidas tomadas y acciones de mejora. Presentar dentro del plazo legal.</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 + CISO</w:t>
            </w:r>
          </w:p>
        </w:tc>
        <w:tc>
          <w:tcPr>
            <w:tcW w:type="dxa" w:w="25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Según plazo legal INAI</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Notificar directamente a los titulares afectados con información clara sobre qué datos se vieron involucrados y qué acciones está tomando NovaTech para protegerlos.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 + Responsable Comunicaciones</w:t>
            </w:r>
          </w:p>
        </w:tc>
        <w:tc>
          <w:tcPr>
            <w:tcW w:type="dxa" w:w="25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Plazo legal o dentro de 72h</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Revisar y reforzar los controles de clasificación de información y DLP en el correo corporativo para prevenir recurrencia.</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25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los 5 días posteriores al incidente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Capacitación inmediata al área involucrada sobre manejo de información confidencial y verificación de destinatarios.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25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Dentro de los 3 días posteriores al incidente</w:t>
            </w:r>
          </w:p>
        </w:tc>
      </w:tr>
    </w:tbl>
    <w:p>
      <w:pPr>
        <w:spacing w:before="200"/>
      </w:pPr>
    </w:p>
    <w:p>
      <w:pPr>
        <w:pStyle w:val="Heading2"/>
        <w:spacing w:after="140" w:before="280"/>
      </w:pPr>
      <w:r>
        <w:rPr>
          <w:rFonts w:ascii="Arial" w:cs="Arial" w:eastAsia="Arial" w:hAnsi="Arial"/>
          <w:b/>
          <w:bCs/>
          <w:color w:val="2563EB"/>
          <w:sz w:val="28"/>
          <w:szCs w:val="28"/>
        </w:rPr>
        <w:t xml:space="preserve">7.3 Playbook — Interrupción de sistema crítico (INC-DIS)</w:t>
      </w:r>
    </w:p>
    <w:p>
      <w:pPr>
        <w:spacing w:after="80" w:before="80"/>
      </w:pPr>
      <w:r>
        <w:rPr>
          <w:rFonts w:ascii="Arial" w:cs="Arial" w:eastAsia="Arial" w:hAnsi="Arial"/>
          <w:color w:val="374151"/>
          <w:sz w:val="22"/>
          <w:szCs w:val="22"/>
        </w:rPr>
        <w:t xml:space="preserve">Basado en el Incidente III real de NovaTech Solutions (CRM inactivo 6 horas).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27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Paso</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Acción inmediata</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objetivo</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monitoreo automático detecta la caída. Si no hay monitoreo activo: el primer empleado que detecte la indisponibilidad notifica al CISO de inmediato.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 de monitoreo / Empleado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 a T+5 min</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revisa los logs del sistema: ¿fue un cambio de configuración reciente? ¿falla del proveedor? ¿ataque? La causa determina la respuesta.</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T+5 a T+20 min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3a. Si fue un cambio reciente (mala configuración)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Ejecutar el rollback inmediato al estado anterior usando el procedimiento documentado (CT-32). El rollback debe completarse en menos de 30 minutos.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T+20 a T+50 min</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3b. Si fue falla del proveedor</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Revisar el panel de estado del proveedor. Abrir ticket de soporte prioritario. Evaluar activación del failover a región alternativa si supera 30 minutos.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T+20 min en adelante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3c. Si fue un ataque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Escalar inmediatamente a P1. Activar el playbook correspondiente (ransomware, DDoS). Activar el BCP (Documento 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T+20 min</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Activar operación manual de contingencia para el área afectada (según los procedimientos del BCP, Sección 4.3 del Documento 7) para minimizar el impacto en los clientes.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del área afectada</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T+20 a T+30 min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Comunicar a clientes afectados: reconocer el problema, informar el tiempo estimado de recuperación y el punto de contacto de soporte durante la contingencia.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Responsable Comunicaciones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T+30 a T+60 min</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Tras la restauración: monitoreo intensivo por 2 horas. Confirmar integridad de datos. Comunicar la resolución a clientes. Documentar el incidente completo.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T+RTO+2h</w:t>
            </w:r>
          </w:p>
        </w:tc>
      </w:tr>
    </w:tbl>
    <w:p>
      <w:pPr>
        <w:spacing w:before="200"/>
      </w:pPr>
    </w:p>
    <w:p>
      <w:pPr>
        <w:pStyle w:val="Heading2"/>
        <w:spacing w:after="140" w:before="280"/>
      </w:pPr>
      <w:r>
        <w:rPr>
          <w:rFonts w:ascii="Arial" w:cs="Arial" w:eastAsia="Arial" w:hAnsi="Arial"/>
          <w:b/>
          <w:bCs/>
          <w:color w:val="2563EB"/>
          <w:sz w:val="28"/>
          <w:szCs w:val="28"/>
        </w:rPr>
        <w:t xml:space="preserve">7.4 Playbook — Ataque de Ransomware (INC-MAL)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200"/>
        <w:gridCol w:w="3060"/>
      </w:tblGrid>
      <w:tr>
        <w:trPr>
          <w:tblHeader/>
        </w:trPr>
        <w:tc>
          <w:tcPr>
            <w:tcW w:type="dxa" w:w="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Paso</w:t>
            </w:r>
          </w:p>
        </w:tc>
        <w:tc>
          <w:tcPr>
            <w:tcW w:type="dxa" w:w="3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Acción inmediata</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30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objetivo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Señales de alerta: archivos cifrados con extensión desconocida, nota de rescate en pantalla, indisponibilidad masiva de sistemas. Notificar al CISO INMEDIATAMENTE.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Empleado / Sistema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AISLAR inmediatamente todos los sistemas afectados de la red corporativa. Apagar la red Wi-Fi si es necesario. El aislamiento es la prioridad absoluta para evitar propagación.</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T+0 a T+30 min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NovaTech Solutions NO pagará rescates. Documentar esta decisión formalmente. Informar a la Dirección y activar el BCP completo.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General + CISO</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T+30 min</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Evaluar el alcance: qué sistemas están cifrados, qué datos fueron afectados, si hay exfiltración previa al cifrado (doble extorsión).</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Analista Técnico</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T+1h a T+3h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Identificar el vector de entrada: correo de phishing, credencial comprometida, vulnerabilidad explotada. Cerrar el vector ANTES de iniciar la recuperación.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Analista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T+2h a T+4h</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Iniciar recuperación desde backups en infraestructura LIMPIA (no en los sistemas comprometidos). Verificar que los backups no estén cifrados.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T+4h en adelante (RTO: 4-8h)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Cambiar TODAS las contraseñas y credenciales de la organización una vez que la infraestructura limpia está operativa.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Durante la recuperación</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8</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Notificar al INAI si hay datos personales comprometidos. Notificar a clientes afectados. Considerar denuncia ante autoridades (SSPC/CNCS).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 + CISO</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las primeras 24h</w:t>
            </w:r>
          </w:p>
        </w:tc>
      </w:tr>
    </w:tbl>
    <w:p>
      <w:pPr>
        <w:spacing w:before="200"/>
      </w:pPr>
    </w:p>
    <w:p>
      <w:pPr>
        <w:pStyle w:val="Heading2"/>
        <w:spacing w:after="140" w:before="280"/>
      </w:pPr>
      <w:r>
        <w:rPr>
          <w:rFonts w:ascii="Arial" w:cs="Arial" w:eastAsia="Arial" w:hAnsi="Arial"/>
          <w:b/>
          <w:bCs/>
          <w:color w:val="2563EB"/>
          <w:sz w:val="28"/>
          <w:szCs w:val="28"/>
        </w:rPr>
        <w:t xml:space="preserve">7.5 Playbook — Compromiso de credenciales (INC-CRE)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200"/>
        <w:gridCol w:w="3060"/>
      </w:tblGrid>
      <w:tr>
        <w:trPr>
          <w:tblHeader/>
        </w:trPr>
        <w:tc>
          <w:tcPr>
            <w:tcW w:type="dxa" w:w="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Paso</w:t>
            </w:r>
          </w:p>
        </w:tc>
        <w:tc>
          <w:tcPr>
            <w:tcW w:type="dxa" w:w="3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Acción inmediata</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30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objetivo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Señales: alerta de acceso desde IP desconocida, acceso en horario inusual, comportamiento anómalo en logs, reporte de empleado de que sus credenciales pudieran estar comprometidas.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Empleado</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Revocar INMEDIATAMENTE las credenciales sospechosas. Si se desconoce el alcance, revocar todos los tokens de sesión activos del sistema afectado como medida de precaución.</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T+0 a T+30 min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Revisar los logs para determinar qué acciones realizó el atacante con las credenciales comprometidas: qué accedió, qué descargó, qué modificó.</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Analista Técnico</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T+30 min a T+2h</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Cambiar TODAS las contraseñas del usuario comprometido en TODOS los sistemas (no solo en el que se detectó el compromiso, ya que puede haber reutilización).</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Usuario afectado</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T+30 min a T+1h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Habilitar MFA de forma emergencia en el usuario y en cualquier usuario sin MFA activo en los sistemas afectados.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TI</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T+1h</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Evaluar si el atacante creó cuentas adicionales o backdoors. Auditar todos los usuarios creados en los últimos 30 días en los sistemas afectados.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Analista Técnico</w:t>
            </w:r>
          </w:p>
        </w:tc>
        <w:tc>
          <w:tcPr>
            <w:tcW w:type="dxa" w:w="3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T+2h a T+4h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 el compromiso fue por phishing, ejecutar capacitación de emergencia para el área afectada y lanzar un simulacro de phishing en las siguientes 2 semanas.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3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Dentro de los 5 días posteriores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8. Comunicaciones Durante el Incidente</w:t>
      </w:r>
    </w:p>
    <w:p>
      <w:pPr>
        <w:pStyle w:val="Heading2"/>
        <w:spacing w:after="140" w:before="280"/>
      </w:pPr>
      <w:r>
        <w:rPr>
          <w:rFonts w:ascii="Arial" w:cs="Arial" w:eastAsia="Arial" w:hAnsi="Arial"/>
          <w:b/>
          <w:bCs/>
          <w:color w:val="2563EB"/>
          <w:sz w:val="28"/>
          <w:szCs w:val="28"/>
        </w:rPr>
        <w:t xml:space="preserve">8.1 Principios de comunicación en crisis</w:t>
      </w:r>
    </w:p>
    <w:p>
      <w:pPr>
        <w:pStyle w:val="ListParagraph"/>
        <w:numPr>
          <w:ilvl w:val="0"/>
          <w:numId w:val="2"/>
        </w:numPr>
        <w:spacing w:after="60" w:before="60"/>
      </w:pPr>
      <w:r>
        <w:rPr>
          <w:rFonts w:ascii="Arial" w:cs="Arial" w:eastAsia="Arial" w:hAnsi="Arial"/>
          <w:color w:val="374151"/>
          <w:sz w:val="22"/>
          <w:szCs w:val="22"/>
        </w:rPr>
        <w:t xml:space="preserve">Comunicar con rapidez: el silencio en una crisis se interpreta como incompetencia o negligencia. Una comunicación imperfecta a tiempo es mejor que una perfecta tardía.</w:t>
      </w:r>
    </w:p>
    <w:p>
      <w:pPr>
        <w:pStyle w:val="ListParagraph"/>
        <w:numPr>
          <w:ilvl w:val="0"/>
          <w:numId w:val="2"/>
        </w:numPr>
        <w:spacing w:after="60" w:before="60"/>
      </w:pPr>
      <w:r>
        <w:rPr>
          <w:rFonts w:ascii="Arial" w:cs="Arial" w:eastAsia="Arial" w:hAnsi="Arial"/>
          <w:color w:val="374151"/>
          <w:sz w:val="22"/>
          <w:szCs w:val="22"/>
        </w:rPr>
        <w:t xml:space="preserve">Comunicar con honestidad: nunca ocultar o minimizar el impacto real del incidente. La confianza perdida por engaño es irrecuperable.</w:t>
      </w:r>
    </w:p>
    <w:p>
      <w:pPr>
        <w:pStyle w:val="ListParagraph"/>
        <w:numPr>
          <w:ilvl w:val="0"/>
          <w:numId w:val="2"/>
        </w:numPr>
        <w:spacing w:after="60" w:before="60"/>
      </w:pPr>
      <w:r>
        <w:rPr>
          <w:rFonts w:ascii="Arial" w:cs="Arial" w:eastAsia="Arial" w:hAnsi="Arial"/>
          <w:color w:val="374151"/>
          <w:sz w:val="22"/>
          <w:szCs w:val="22"/>
        </w:rPr>
        <w:t xml:space="preserve">Comunicar con un solo vocero: solo el Responsable de Comunicaciones (designado por el Director de Crisis) habla externamente durante el incidente.</w:t>
      </w:r>
    </w:p>
    <w:p>
      <w:pPr>
        <w:pStyle w:val="ListParagraph"/>
        <w:numPr>
          <w:ilvl w:val="0"/>
          <w:numId w:val="2"/>
        </w:numPr>
        <w:spacing w:after="60" w:before="60"/>
      </w:pPr>
      <w:r>
        <w:rPr>
          <w:rFonts w:ascii="Arial" w:cs="Arial" w:eastAsia="Arial" w:hAnsi="Arial"/>
          <w:color w:val="374151"/>
          <w:sz w:val="22"/>
          <w:szCs w:val="22"/>
        </w:rPr>
        <w:t xml:space="preserve">No especular: si no se sabe algo con certeza, se dice 'aún estamos investigando' en lugar de dar información incorrecta.</w:t>
      </w:r>
    </w:p>
    <w:p>
      <w:pPr>
        <w:pStyle w:val="ListParagraph"/>
        <w:numPr>
          <w:ilvl w:val="0"/>
          <w:numId w:val="2"/>
        </w:numPr>
        <w:spacing w:after="60" w:before="60"/>
      </w:pPr>
      <w:r>
        <w:rPr>
          <w:rFonts w:ascii="Arial" w:cs="Arial" w:eastAsia="Arial" w:hAnsi="Arial"/>
          <w:color w:val="374151"/>
          <w:sz w:val="22"/>
          <w:szCs w:val="22"/>
        </w:rPr>
        <w:t xml:space="preserve">Documentar toda comunicación: cada mensaje enviado durante el incidente debe archivarse como evidencia.</w:t>
      </w:r>
    </w:p>
    <w:p>
      <w:pPr>
        <w:spacing w:before="120"/>
      </w:pPr>
    </w:p>
    <w:p>
      <w:pPr>
        <w:pStyle w:val="Heading2"/>
        <w:spacing w:after="140" w:before="280"/>
      </w:pPr>
      <w:r>
        <w:rPr>
          <w:rFonts w:ascii="Arial" w:cs="Arial" w:eastAsia="Arial" w:hAnsi="Arial"/>
          <w:b/>
          <w:bCs/>
          <w:color w:val="2563EB"/>
          <w:sz w:val="28"/>
          <w:szCs w:val="28"/>
        </w:rPr>
        <w:t xml:space="preserve">8.2 Plantillas de comunicación</w:t>
      </w:r>
    </w:p>
    <w:p>
      <w:pPr>
        <w:pStyle w:val="Heading3"/>
        <w:spacing w:after="100" w:before="200"/>
      </w:pPr>
      <w:r>
        <w:rPr>
          <w:rFonts w:ascii="Arial" w:cs="Arial" w:eastAsia="Arial" w:hAnsi="Arial"/>
          <w:b/>
          <w:bCs/>
          <w:color w:val="1B3A6B"/>
          <w:sz w:val="24"/>
          <w:szCs w:val="24"/>
        </w:rPr>
        <w:t xml:space="preserve">Plantilla 1 — Notificación interna inicial (a empleados)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92400E" w:sz="8"/>
              <w:right w:val="single" w:color="92400E" w:sz="8"/>
            </w:tcBorders>
            <w:shd w:fill="FEF3C7" w:val="clear"/>
            <w:tcMar>
              <w:top w:type="dxa" w:w="120"/>
              <w:left w:type="dxa" w:w="160"/>
              <w:bottom w:type="dxa" w:w="120"/>
              <w:right w:type="dxa" w:w="160"/>
            </w:tcMar>
          </w:tcPr>
          <w:p>
            <w:pPr>
              <w:spacing w:after="80" w:before="60"/>
            </w:pPr>
            <w:r>
              <w:rPr>
                <w:rFonts w:ascii="Arial" w:cs="Arial" w:eastAsia="Arial" w:hAnsi="Arial"/>
                <w:b/>
                <w:bCs/>
                <w:color w:val="92400E"/>
                <w:sz w:val="22"/>
                <w:szCs w:val="22"/>
              </w:rPr>
              <w:t xml:space="preserve">Asunto: [ALERTA DE SEGURIDAD] Incidente en curso — INC-[YYYY-NN]</w:t>
            </w:r>
          </w:p>
          <w:p>
            <w:pPr>
              <w:pStyle w:val="ListParagraph"/>
              <w:numPr>
                <w:ilvl w:val="0"/>
                <w:numId w:val="2"/>
              </w:numPr>
              <w:spacing w:after="40" w:before="40"/>
            </w:pPr>
            <w:r>
              <w:rPr>
                <w:rFonts w:ascii="Arial" w:cs="Arial" w:eastAsia="Arial" w:hAnsi="Arial"/>
                <w:color w:val="374151"/>
                <w:sz w:val="21"/>
                <w:szCs w:val="21"/>
              </w:rPr>
              <w:t xml:space="preserve">Equipo NovaTech:</w:t>
            </w:r>
          </w:p>
          <w:p>
            <w:pPr>
              <w:pStyle w:val="ListParagraph"/>
              <w:numPr>
                <w:ilvl w:val="0"/>
                <w:numId w:val="2"/>
              </w:numPr>
              <w:spacing w:after="40" w:before="40"/>
            </w:pPr>
            <w:r>
              <w:rPr>
                <w:rFonts w:ascii="Arial" w:cs="Arial" w:eastAsia="Arial" w:hAnsi="Arial"/>
                <w:color w:val="374151"/>
                <w:sz w:val="21"/>
                <w:szCs w:val="21"/>
              </w:rPr>
              <w:t xml:space="preserve">Estamos atendiendo un incidente de seguridad que afecta [sistema/área afectada]. El equipo CSIRT está trabajando activamente en la resolución.</w:t>
            </w:r>
          </w:p>
          <w:p>
            <w:pPr>
              <w:pStyle w:val="ListParagraph"/>
              <w:numPr>
                <w:ilvl w:val="0"/>
                <w:numId w:val="2"/>
              </w:numPr>
              <w:spacing w:after="40" w:before="40"/>
            </w:pPr>
            <w:r>
              <w:rPr>
                <w:rFonts w:ascii="Arial" w:cs="Arial" w:eastAsia="Arial" w:hAnsi="Arial"/>
                <w:color w:val="374151"/>
                <w:sz w:val="21"/>
                <w:szCs w:val="21"/>
              </w:rPr>
              <w:t xml:space="preserve">Por favor: (1) No intenten acceder al sistema afectado hasta nuevo aviso. (2) Si tienen información relevante sobre el incidente, repórtenla al CISO de inmediato. (3) No compartan información sobre este incidente fuera de la organización.</w:t>
            </w:r>
          </w:p>
          <w:p>
            <w:pPr>
              <w:pStyle w:val="ListParagraph"/>
              <w:numPr>
                <w:ilvl w:val="0"/>
                <w:numId w:val="2"/>
              </w:numPr>
              <w:spacing w:after="40" w:before="40"/>
            </w:pPr>
            <w:r>
              <w:rPr>
                <w:rFonts w:ascii="Arial" w:cs="Arial" w:eastAsia="Arial" w:hAnsi="Arial"/>
                <w:color w:val="374151"/>
                <w:sz w:val="21"/>
                <w:szCs w:val="21"/>
              </w:rPr>
              <w:t xml:space="preserve">Les informaremos sobre el avance en [tiempo estimado]. Contacto directo: [CISO — correo/teléfono].</w:t>
            </w:r>
          </w:p>
          <w:p>
            <w:pPr>
              <w:pStyle w:val="ListParagraph"/>
              <w:numPr>
                <w:ilvl w:val="0"/>
                <w:numId w:val="2"/>
              </w:numPr>
              <w:spacing w:after="40" w:before="40"/>
            </w:pPr>
            <w:r>
              <w:rPr>
                <w:rFonts w:ascii="Arial" w:cs="Arial" w:eastAsia="Arial" w:hAnsi="Arial"/>
                <w:color w:val="374151"/>
                <w:sz w:val="21"/>
                <w:szCs w:val="21"/>
              </w:rPr>
              <w:t xml:space="preserve">Gracias por su comprensión y apoyo.</w:t>
            </w:r>
          </w:p>
        </w:tc>
      </w:tr>
    </w:tbl>
    <w:p>
      <w:pPr>
        <w:spacing w:before="120"/>
      </w:pPr>
    </w:p>
    <w:p>
      <w:pPr>
        <w:pStyle w:val="Heading3"/>
        <w:spacing w:after="100" w:before="200"/>
      </w:pPr>
      <w:r>
        <w:rPr>
          <w:rFonts w:ascii="Arial" w:cs="Arial" w:eastAsia="Arial" w:hAnsi="Arial"/>
          <w:b/>
          <w:bCs/>
          <w:color w:val="1B3A6B"/>
          <w:sz w:val="24"/>
          <w:szCs w:val="24"/>
        </w:rPr>
        <w:t xml:space="preserve">Plantilla 2 — Notificación a clientes afectados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Asunto: Comunicado importante sobre [nombre del servicio]</w:t>
            </w:r>
          </w:p>
          <w:p>
            <w:pPr>
              <w:pStyle w:val="ListParagraph"/>
              <w:numPr>
                <w:ilvl w:val="0"/>
                <w:numId w:val="2"/>
              </w:numPr>
              <w:spacing w:after="40" w:before="40"/>
            </w:pPr>
            <w:r>
              <w:rPr>
                <w:rFonts w:ascii="Arial" w:cs="Arial" w:eastAsia="Arial" w:hAnsi="Arial"/>
                <w:color w:val="374151"/>
                <w:sz w:val="21"/>
                <w:szCs w:val="21"/>
              </w:rPr>
              <w:t xml:space="preserve">Estimado [nombre del cliente]:</w:t>
            </w:r>
          </w:p>
          <w:p>
            <w:pPr>
              <w:pStyle w:val="ListParagraph"/>
              <w:numPr>
                <w:ilvl w:val="0"/>
                <w:numId w:val="2"/>
              </w:numPr>
              <w:spacing w:after="40" w:before="40"/>
            </w:pPr>
            <w:r>
              <w:rPr>
                <w:rFonts w:ascii="Arial" w:cs="Arial" w:eastAsia="Arial" w:hAnsi="Arial"/>
                <w:color w:val="374151"/>
                <w:sz w:val="21"/>
                <w:szCs w:val="21"/>
              </w:rPr>
              <w:t xml:space="preserve">Le informamos que actualmente estamos experimentando [descripción breve y no técnica del problema, ej. 'una interrupción en nuestro sistema de atención al cliente']. Nuestro equipo técnico está trabajando para resolverlo.</w:t>
            </w:r>
          </w:p>
          <w:p>
            <w:pPr>
              <w:pStyle w:val="ListParagraph"/>
              <w:numPr>
                <w:ilvl w:val="0"/>
                <w:numId w:val="2"/>
              </w:numPr>
              <w:spacing w:after="40" w:before="40"/>
            </w:pPr>
            <w:r>
              <w:rPr>
                <w:rFonts w:ascii="Arial" w:cs="Arial" w:eastAsia="Arial" w:hAnsi="Arial"/>
                <w:color w:val="374151"/>
                <w:sz w:val="21"/>
                <w:szCs w:val="21"/>
              </w:rPr>
              <w:t xml:space="preserve">Impacto estimado en su servicio: [descripción concreta].</w:t>
            </w:r>
          </w:p>
          <w:p>
            <w:pPr>
              <w:pStyle w:val="ListParagraph"/>
              <w:numPr>
                <w:ilvl w:val="0"/>
                <w:numId w:val="2"/>
              </w:numPr>
              <w:spacing w:after="40" w:before="40"/>
            </w:pPr>
            <w:r>
              <w:rPr>
                <w:rFonts w:ascii="Arial" w:cs="Arial" w:eastAsia="Arial" w:hAnsi="Arial"/>
                <w:color w:val="374151"/>
                <w:sz w:val="21"/>
                <w:szCs w:val="21"/>
              </w:rPr>
              <w:t xml:space="preserve">Tiempo estimado de resolución: [tiempo estimado o 'en cuanto tengamos información más precisa, le notificaremos'].</w:t>
            </w:r>
          </w:p>
          <w:p>
            <w:pPr>
              <w:pStyle w:val="ListParagraph"/>
              <w:numPr>
                <w:ilvl w:val="0"/>
                <w:numId w:val="2"/>
              </w:numPr>
              <w:spacing w:after="40" w:before="40"/>
            </w:pPr>
            <w:r>
              <w:rPr>
                <w:rFonts w:ascii="Arial" w:cs="Arial" w:eastAsia="Arial" w:hAnsi="Arial"/>
                <w:color w:val="374151"/>
                <w:sz w:val="21"/>
                <w:szCs w:val="21"/>
              </w:rPr>
              <w:t xml:space="preserve">Si tiene solicitudes urgentes durante este período, puede contactarnos en: [canal alternativo de contacto].</w:t>
            </w:r>
          </w:p>
          <w:p>
            <w:pPr>
              <w:pStyle w:val="ListParagraph"/>
              <w:numPr>
                <w:ilvl w:val="0"/>
                <w:numId w:val="2"/>
              </w:numPr>
              <w:spacing w:after="40" w:before="40"/>
            </w:pPr>
            <w:r>
              <w:rPr>
                <w:rFonts w:ascii="Arial" w:cs="Arial" w:eastAsia="Arial" w:hAnsi="Arial"/>
                <w:color w:val="374151"/>
                <w:sz w:val="21"/>
                <w:szCs w:val="21"/>
              </w:rPr>
              <w:t xml:space="preserve">Pedimos disculpas por los inconvenientes causados y les mantendremos informados de cualquier actualización relevante.</w:t>
            </w:r>
          </w:p>
          <w:p>
            <w:pPr>
              <w:pStyle w:val="ListParagraph"/>
              <w:numPr>
                <w:ilvl w:val="0"/>
                <w:numId w:val="2"/>
              </w:numPr>
              <w:spacing w:after="40" w:before="40"/>
            </w:pPr>
            <w:r>
              <w:rPr>
                <w:rFonts w:ascii="Arial" w:cs="Arial" w:eastAsia="Arial" w:hAnsi="Arial"/>
                <w:color w:val="374151"/>
                <w:sz w:val="21"/>
                <w:szCs w:val="21"/>
              </w:rPr>
              <w:t xml:space="preserve">Atentamente, [Nombre] — NovaTech Solutions</w:t>
            </w:r>
          </w:p>
        </w:tc>
      </w:tr>
    </w:tbl>
    <w:p>
      <w:pPr>
        <w:spacing w:before="120"/>
      </w:pPr>
    </w:p>
    <w:p>
      <w:pPr>
        <w:pStyle w:val="Heading3"/>
        <w:spacing w:after="100" w:before="200"/>
      </w:pPr>
      <w:r>
        <w:rPr>
          <w:rFonts w:ascii="Arial" w:cs="Arial" w:eastAsia="Arial" w:hAnsi="Arial"/>
          <w:b/>
          <w:bCs/>
          <w:color w:val="1B3A6B"/>
          <w:sz w:val="24"/>
          <w:szCs w:val="24"/>
        </w:rPr>
        <w:t xml:space="preserve">Plantilla 3 — Comunicado de resolución a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8"/>
              <w:left w:val="single" w:color="166534" w:sz="8"/>
              <w:bottom w:val="single" w:color="166534" w:sz="8"/>
              <w:right w:val="single" w:color="166534" w:sz="8"/>
            </w:tcBorders>
            <w:shd w:fill="DCFCE7" w:val="clear"/>
            <w:tcMar>
              <w:top w:type="dxa" w:w="120"/>
              <w:left w:type="dxa" w:w="160"/>
              <w:bottom w:type="dxa" w:w="120"/>
              <w:right w:type="dxa" w:w="160"/>
            </w:tcMar>
          </w:tcPr>
          <w:p>
            <w:pPr>
              <w:spacing w:after="80" w:before="60"/>
            </w:pPr>
            <w:r>
              <w:rPr>
                <w:rFonts w:ascii="Arial" w:cs="Arial" w:eastAsia="Arial" w:hAnsi="Arial"/>
                <w:b/>
                <w:bCs/>
                <w:color w:val="166534"/>
                <w:sz w:val="22"/>
                <w:szCs w:val="22"/>
              </w:rPr>
              <w:t xml:space="preserve">Asunto: Resolución del incidente — [nombre del servicio] restaurado</w:t>
            </w:r>
          </w:p>
          <w:p>
            <w:pPr>
              <w:pStyle w:val="ListParagraph"/>
              <w:numPr>
                <w:ilvl w:val="0"/>
                <w:numId w:val="2"/>
              </w:numPr>
              <w:spacing w:after="40" w:before="40"/>
            </w:pPr>
            <w:r>
              <w:rPr>
                <w:rFonts w:ascii="Arial" w:cs="Arial" w:eastAsia="Arial" w:hAnsi="Arial"/>
                <w:color w:val="374151"/>
                <w:sz w:val="21"/>
                <w:szCs w:val="21"/>
              </w:rPr>
              <w:t xml:space="preserve">Estimado [nombre del cliente]:</w:t>
            </w:r>
          </w:p>
          <w:p>
            <w:pPr>
              <w:pStyle w:val="ListParagraph"/>
              <w:numPr>
                <w:ilvl w:val="0"/>
                <w:numId w:val="2"/>
              </w:numPr>
              <w:spacing w:after="40" w:before="40"/>
            </w:pPr>
            <w:r>
              <w:rPr>
                <w:rFonts w:ascii="Arial" w:cs="Arial" w:eastAsia="Arial" w:hAnsi="Arial"/>
                <w:color w:val="374151"/>
                <w:sz w:val="21"/>
                <w:szCs w:val="21"/>
              </w:rPr>
              <w:t xml:space="preserve">Nos complace informarle que el incidente que afectó [sistema/servicio] ha sido resuelto. El servicio está completamente operativo desde [hora y fecha].</w:t>
            </w:r>
          </w:p>
          <w:p>
            <w:pPr>
              <w:pStyle w:val="ListParagraph"/>
              <w:numPr>
                <w:ilvl w:val="0"/>
                <w:numId w:val="2"/>
              </w:numPr>
              <w:spacing w:after="40" w:before="40"/>
            </w:pPr>
            <w:r>
              <w:rPr>
                <w:rFonts w:ascii="Arial" w:cs="Arial" w:eastAsia="Arial" w:hAnsi="Arial"/>
                <w:color w:val="374151"/>
                <w:sz w:val="21"/>
                <w:szCs w:val="21"/>
              </w:rPr>
              <w:t xml:space="preserve">Resumen del incidente: [descripción breve de qué ocurrió, sin revelar detalles técnicos sensibles].</w:t>
            </w:r>
          </w:p>
          <w:p>
            <w:pPr>
              <w:pStyle w:val="ListParagraph"/>
              <w:numPr>
                <w:ilvl w:val="0"/>
                <w:numId w:val="2"/>
              </w:numPr>
              <w:spacing w:after="40" w:before="40"/>
            </w:pPr>
            <w:r>
              <w:rPr>
                <w:rFonts w:ascii="Arial" w:cs="Arial" w:eastAsia="Arial" w:hAnsi="Arial"/>
                <w:color w:val="374151"/>
                <w:sz w:val="21"/>
                <w:szCs w:val="21"/>
              </w:rPr>
              <w:t xml:space="preserve">Medidas implementadas para prevenir recurrencia: [descripción general de las acciones tomadas].</w:t>
            </w:r>
          </w:p>
          <w:p>
            <w:pPr>
              <w:pStyle w:val="ListParagraph"/>
              <w:numPr>
                <w:ilvl w:val="0"/>
                <w:numId w:val="2"/>
              </w:numPr>
              <w:spacing w:after="40" w:before="40"/>
            </w:pPr>
            <w:r>
              <w:rPr>
                <w:rFonts w:ascii="Arial" w:cs="Arial" w:eastAsia="Arial" w:hAnsi="Arial"/>
                <w:color w:val="374151"/>
                <w:sz w:val="21"/>
                <w:szCs w:val="21"/>
              </w:rPr>
              <w:t xml:space="preserve">[Si hubo afectación a datos personales]: En relación con sus datos personales: [descripción de qué datos se vieron afectados y las medidas de protección implementadas].</w:t>
            </w:r>
          </w:p>
          <w:p>
            <w:pPr>
              <w:pStyle w:val="ListParagraph"/>
              <w:numPr>
                <w:ilvl w:val="0"/>
                <w:numId w:val="2"/>
              </w:numPr>
              <w:spacing w:after="40" w:before="40"/>
            </w:pPr>
            <w:r>
              <w:rPr>
                <w:rFonts w:ascii="Arial" w:cs="Arial" w:eastAsia="Arial" w:hAnsi="Arial"/>
                <w:color w:val="374151"/>
                <w:sz w:val="21"/>
                <w:szCs w:val="21"/>
              </w:rPr>
              <w:t xml:space="preserve">Si tiene alguna pregunta o preocupación, no dude en contactarnos. Agradecemos su confianza y paciencia.</w:t>
            </w:r>
          </w:p>
          <w:p>
            <w:pPr>
              <w:pStyle w:val="ListParagraph"/>
              <w:numPr>
                <w:ilvl w:val="0"/>
                <w:numId w:val="2"/>
              </w:numPr>
              <w:spacing w:after="40" w:before="40"/>
            </w:pPr>
            <w:r>
              <w:rPr>
                <w:rFonts w:ascii="Arial" w:cs="Arial" w:eastAsia="Arial" w:hAnsi="Arial"/>
                <w:color w:val="374151"/>
                <w:sz w:val="21"/>
                <w:szCs w:val="21"/>
              </w:rPr>
              <w:t xml:space="preserve">Atentamente, [Nombre] — NovaTech Solutions</w:t>
            </w:r>
          </w:p>
        </w:tc>
      </w:tr>
    </w:tbl>
    <w:p>
      <w:pPr>
        <w:spacing w:before="200"/>
      </w:pPr>
    </w:p>
    <w:p>
      <w:pPr>
        <w:pStyle w:val="Heading2"/>
        <w:spacing w:after="140" w:before="280"/>
      </w:pPr>
      <w:r>
        <w:rPr>
          <w:rFonts w:ascii="Arial" w:cs="Arial" w:eastAsia="Arial" w:hAnsi="Arial"/>
          <w:b/>
          <w:bCs/>
          <w:color w:val="2563EB"/>
          <w:sz w:val="28"/>
          <w:szCs w:val="28"/>
        </w:rPr>
        <w:t xml:space="preserve">8.3 Notificación al INAI (LFPDPPP Art. 20)</w:t>
      </w:r>
    </w:p>
    <w:p>
      <w:pPr>
        <w:spacing w:after="80" w:before="80"/>
      </w:pPr>
      <w:r>
        <w:rPr>
          <w:rFonts w:ascii="Arial" w:cs="Arial" w:eastAsia="Arial" w:hAnsi="Arial"/>
          <w:color w:val="374151"/>
          <w:sz w:val="22"/>
          <w:szCs w:val="22"/>
        </w:rPr>
        <w:t xml:space="preserve">Cuando el incidente involucre una vulnerabilidad de seguridad de datos personales, el DPO debe evaluar y ejecutar la notificación al INAI conforme a los lineamientos vigentes: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Elemento de la notificación</w:t>
            </w:r>
          </w:p>
        </w:tc>
        <w:tc>
          <w:tcPr>
            <w:tcW w:type="dxa" w:w="6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Contenido requerido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 quién notificar?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 titular de los datos afectados si el riesgo es significativo para sus derechos. Al INAI mediante los canales oficiales según lineamientos vigentes.</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¿Cuándo notificar?</w:t>
            </w:r>
          </w:p>
        </w:tc>
        <w:tc>
          <w:tcPr>
            <w:tcW w:type="dxa" w:w="6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Tan pronto como sea factible una vez confirmada la vulnerabilidad. El INAI puede establecer plazos específicos en sus lineamientos; el DPO debe verificarlos.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Descripción del incidente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Naturaleza de la vulnerabilidad de seguridad, tipo de datos personales afectados, número aproximado de titulares involucrados.</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Medidas tomadas</w:t>
            </w:r>
          </w:p>
        </w:tc>
        <w:tc>
          <w:tcPr>
            <w:tcW w:type="dxa" w:w="6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Acciones inmediatas de contención. Medidas correctivas implementadas. Mejoras al SGSI derivadas del incidente.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Punto de contacto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Nombre y datos de contacto del DPO o responsable del tratamiento para seguimiento por parte del INAI o los titulares.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9. Formularios y Registros del CSIRT</w:t>
      </w:r>
    </w:p>
    <w:p>
      <w:pPr>
        <w:pStyle w:val="Heading2"/>
        <w:spacing w:after="140" w:before="280"/>
      </w:pPr>
      <w:r>
        <w:rPr>
          <w:rFonts w:ascii="Arial" w:cs="Arial" w:eastAsia="Arial" w:hAnsi="Arial"/>
          <w:b/>
          <w:bCs/>
          <w:color w:val="2563EB"/>
          <w:sz w:val="28"/>
          <w:szCs w:val="28"/>
        </w:rPr>
        <w:t xml:space="preserve">9.1 Formulario de reporte inicial de 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Campo</w:t>
            </w:r>
          </w:p>
        </w:tc>
        <w:tc>
          <w:tcPr>
            <w:tcW w:type="dxa" w:w="6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 / Instrucción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Código de incidente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INC-[AÑO]-[NÚMERO SECUENCIAL] — asignado por el CISO al recibir el reporte.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Fecha y hora del reporte</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Fecha y hora exacta en que se recibió el primer reporte del incidente.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Fecha y hora estimada del incidente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Cuándo se estima que ocurrió el evento (puede diferir del momento de detección).</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Reportado por</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Nombre, área y método de contacto de quien reporta el incidente.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Descripción inicial del evento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Descripción breve de qué fue observado, en qué sistema, por quién y cómo.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Sistemas potencialmente afectados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Lista de sistemas, aplicaciones o datos que podrían estar involucrados.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Acciones inmediatas tomadas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Acciones que ya fueron ejecutadas antes de contactar al CISO.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Tipo de incidente (inicial)</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Seleccionar: INC-ACC / INC-FUG / INC-MAL / INC-DIS / INC-CRE / INC-PHI / INC-USO / INC-VUL / INC-DIS2 / INC-FIS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Severidad inicial estimada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Seleccionar: P1 / P2 / P3 / P4 (el CISO puede ajustar tras el análisis)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Firma del CISO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Nombre, firma y fecha/hora de recepción y aceptación del reporte.</w:t>
            </w:r>
          </w:p>
        </w:tc>
      </w:tr>
    </w:tbl>
    <w:p>
      <w:pPr>
        <w:spacing w:before="200"/>
      </w:pPr>
    </w:p>
    <w:p>
      <w:pPr>
        <w:pStyle w:val="Heading2"/>
        <w:spacing w:after="140" w:before="280"/>
      </w:pPr>
      <w:r>
        <w:rPr>
          <w:rFonts w:ascii="Arial" w:cs="Arial" w:eastAsia="Arial" w:hAnsi="Arial"/>
          <w:b/>
          <w:bCs/>
          <w:color w:val="2563EB"/>
          <w:sz w:val="28"/>
          <w:szCs w:val="28"/>
        </w:rPr>
        <w:t xml:space="preserve">9.2 Registro de actividades del incidente (bitácora)</w:t>
      </w:r>
    </w:p>
    <w:p>
      <w:pPr>
        <w:spacing w:after="80" w:before="80"/>
      </w:pPr>
      <w:r>
        <w:rPr>
          <w:rFonts w:ascii="Arial" w:cs="Arial" w:eastAsia="Arial" w:hAnsi="Arial"/>
          <w:color w:val="374151"/>
          <w:sz w:val="22"/>
          <w:szCs w:val="22"/>
        </w:rPr>
        <w:t xml:space="preserve">Durante todo el ciclo de vida del incidente, el Líder del CSIRT mantiene una bitácora cronológica de todas las acciones realizadas. Este registro es la evidencia principal del incidente.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1600"/>
        <w:gridCol w:w="1960"/>
      </w:tblGrid>
      <w:tr>
        <w:trPr>
          <w:tblHeader/>
        </w:trPr>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Fecha/Hora</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Fase</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Acción realizada</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1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Resultado / Observación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[DD/MM/AAAA HH:MM]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Detección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[Descripción de la acción tomada]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[Nombre del ejecutante]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[Resultado obtenido / siguiente paso]</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[DD/MM/AAAA HH:MM]</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Análisis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[DD/MM/AAAA HH:MM]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Contención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[DD/MM/AAAA HH:MM]</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Erradicación</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[DD/MM/AAAA HH:MM]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Recuperación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[DD/MM/AAAA HH:MM]</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Post-mortem</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r>
    </w:tbl>
    <w:p>
      <w:pPr>
        <w:spacing w:before="200"/>
      </w:pPr>
    </w:p>
    <w:p>
      <w:pPr>
        <w:pStyle w:val="Heading2"/>
        <w:spacing w:after="140" w:before="280"/>
      </w:pPr>
      <w:r>
        <w:rPr>
          <w:rFonts w:ascii="Arial" w:cs="Arial" w:eastAsia="Arial" w:hAnsi="Arial"/>
          <w:b/>
          <w:bCs/>
          <w:color w:val="2563EB"/>
          <w:sz w:val="28"/>
          <w:szCs w:val="28"/>
        </w:rPr>
        <w:t xml:space="preserve">9.3 Informe de Post-Mortem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Sección</w:t>
            </w:r>
          </w:p>
        </w:tc>
        <w:tc>
          <w:tcPr>
            <w:tcW w:type="dxa" w:w="6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Contenido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Datos del incidente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Código, tipo, severidad, fecha de inicio, fecha de cierre, sistemas afectados, responsable de la respuesta.</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Línea de tiempo</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Cronología detallada: T+0 detección, T+X clasificación, T+X contención, T+X erradicación, T+X recuperación, T+X cierre. Comparar con los tiempos objetivo.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 Causa raíz</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Descripción técnica de la causa raíz del incidente. Usar la técnica de '5 Porqués' para ir más allá del síntoma superficial.</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Impacto real</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Impacto en: disponibilidad (tiempo de interrupción), integridad (datos afectados), confidencialidad (datos expuestos), clientes (número y alcance), financiero (costo estimado).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 Efectividad de la respuesta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¿Los controles existentes funcionaron? ¿Los procedimientos del playbook fueron suficientes? ¿Se cumplieron los tiempos de respuesta?</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 Lecciones aprendidas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¿Qué funcionó bien? ¿Qué falló? ¿Qué habría reducido el impacto si hubiera estado implementado?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 Acciones de mejora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Lista de controles, políticas o procedimientos que deben actualizarse. Responsable, plazo y referencia al documento del SGSI que se actualiza.</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8. Aprobación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Firma del CISO y del Director General confirmando la revisión y aceptación del informe.</w:t>
            </w:r>
          </w:p>
        </w:tc>
      </w:tr>
    </w:tbl>
    <w:p>
      <w:pPr>
        <w:spacing w:before="200"/>
      </w:pPr>
    </w:p>
    <w:p>
      <w:pPr>
        <w:pStyle w:val="Heading2"/>
        <w:spacing w:after="140" w:before="280"/>
      </w:pPr>
      <w:r>
        <w:rPr>
          <w:rFonts w:ascii="Arial" w:cs="Arial" w:eastAsia="Arial" w:hAnsi="Arial"/>
          <w:b/>
          <w:bCs/>
          <w:color w:val="2563EB"/>
          <w:sz w:val="28"/>
          <w:szCs w:val="28"/>
        </w:rPr>
        <w:t xml:space="preserve">9.4 Registro consolidado de incidentes</w:t>
      </w:r>
    </w:p>
    <w:p>
      <w:pPr>
        <w:spacing w:after="80" w:before="80"/>
      </w:pPr>
      <w:r>
        <w:rPr>
          <w:rFonts w:ascii="Arial" w:cs="Arial" w:eastAsia="Arial" w:hAnsi="Arial"/>
          <w:color w:val="374151"/>
          <w:sz w:val="22"/>
          <w:szCs w:val="22"/>
        </w:rPr>
        <w:t xml:space="preserve">El CISO mantiene un registro consolidado de todos los incidentes de seguridad de NovaTech Solutions. Este registro es el insumo principal para las métricas del SGSI (Documento 10) y para la revisión por la Dirección.</w:t>
      </w:r>
    </w:p>
    <w:p>
      <w:pPr>
        <w:spacing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100"/>
        <w:gridCol w:w="1400"/>
        <w:gridCol w:w="3200"/>
        <w:gridCol w:w="1100"/>
        <w:gridCol w:w="1160"/>
      </w:tblGrid>
      <w:tr>
        <w:trPr>
          <w:tblHeader/>
        </w:trPr>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Código</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Severidad</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Resumen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1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Post-mortem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INC-2025-01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(Estimada)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INC-ACC</w:t>
            </w:r>
          </w:p>
        </w:tc>
        <w:tc>
          <w:tcPr>
            <w:tcW w:type="dxa" w:w="14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P2 — Alto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Acceso no autorizado al repositorio Git desde sesión no cerrada (Incidente I histórico — reconstruido)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Cerrado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Pendiente formalizar</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INC-2025-02</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(Estimada)</w:t>
            </w:r>
          </w:p>
        </w:tc>
        <w:tc>
          <w:tcPr>
            <w:tcW w:type="dxa" w:w="11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INC-FUG</w:t>
            </w:r>
          </w:p>
        </w:tc>
        <w:tc>
          <w:tcPr>
            <w:tcW w:type="dxa" w:w="1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P3 — Medio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Filtración de datos de cliente por reenvío de correo incorrecto (Incidente II histórico — reconstruido)</w:t>
            </w:r>
          </w:p>
        </w:tc>
        <w:tc>
          <w:tcPr>
            <w:tcW w:type="dxa" w:w="11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Cerrado</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Pendiente formalizar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INC-2025-03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(Estimada)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INC-DIS</w:t>
            </w:r>
          </w:p>
        </w:tc>
        <w:tc>
          <w:tcPr>
            <w:tcW w:type="dxa" w:w="14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P2 — Alto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CRM inactivo ~6 horas por mala configuración en actualización de servidor (Incidente III histórico — reconstruido)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Cerrado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Pendiente formalizar</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10. Métricas de Desempeño del CSIRT</w:t>
      </w:r>
    </w:p>
    <w:p>
      <w:pPr>
        <w:spacing w:after="80" w:before="80"/>
      </w:pPr>
      <w:r>
        <w:rPr>
          <w:rFonts w:ascii="Arial" w:cs="Arial" w:eastAsia="Arial" w:hAnsi="Arial"/>
          <w:color w:val="374151"/>
          <w:sz w:val="22"/>
          <w:szCs w:val="22"/>
        </w:rPr>
        <w:t xml:space="preserve">Las siguientes métricas se utilizan para evaluar la eficacia del proceso de respuesta a incidentes. Se reportan mensualmente al CISO y trimestralmente a la Dirección General (ver Documento 10 — Métricas y Auditoría).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rPr>
          <w:tblHeader/>
        </w:trPr>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Métrica</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Objetivo NovaTech</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 de medición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MTTD — Tiempo medio de detección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Tiempo promedio entre la ocurrencia del incidente y su detección.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&lt; 2 horas para P1/P2. &lt; 8 horas para P3.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 incidente / Mensual (promedio)</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MTTR — Tiempo medio de resolución</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Tiempo promedio entre la detección y la resolución del incidente.</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&lt; 4 horas para P1. &lt; 8 horas para P2.</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 incidente / Mensual (promedio)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Tasa de cumplimiento de tiempos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Porcentaje de incidentes resueltos dentro de los tiempos objetivo por severidad.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 90% de cumplimiento en P1 y P2.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Incidentes por mes (por tipo)</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Número total de incidentes por tipo de incidente en el período.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Tendencia descendente (mejora continua).</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Mensual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Tasa de recurrencia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Porcentaje de incidentes causados por la misma causa raíz que uno previo.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&lt; 5% — indica que las acciones correctivas son efectivas.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Cobertura de post-mortem</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Porcentaje de incidentes P1, P2 y P3 que tienen post-mortem documentado.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100% de P1 y P2. ≥ 80% de P3.</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Mensual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Tiempo medio de notificación a clientes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Tiempo entre la detección y la primera comunicación a clientes afectados.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&lt; 1 hora para P1. &lt; 4 horas para P2.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 incidente</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11.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6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Versión</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Autor</w:t>
            </w:r>
          </w:p>
        </w:tc>
        <w:tc>
          <w:tcPr>
            <w:tcW w:type="dxa" w:w="36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2026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Comité de Seguridad de la Información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Versión inicial del proceso de respuesta a incidentes, CSIRT y playbooks de NovaTech Solutions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Nota sobre los incidentes históricos</w:t>
            </w:r>
          </w:p>
          <w:p>
            <w:pPr>
              <w:pStyle w:val="ListParagraph"/>
              <w:numPr>
                <w:ilvl w:val="0"/>
                <w:numId w:val="2"/>
              </w:numPr>
              <w:spacing w:after="40" w:before="40"/>
            </w:pPr>
            <w:r>
              <w:rPr>
                <w:rFonts w:ascii="Arial" w:cs="Arial" w:eastAsia="Arial" w:hAnsi="Arial"/>
                <w:color w:val="374151"/>
                <w:sz w:val="21"/>
                <w:szCs w:val="21"/>
              </w:rPr>
              <w:t xml:space="preserve">Los tres incidentes previos de NovaTech Solutions (INC-2025-01, INC-2025-02, INC-2025-03) se han registrado retroactivamente en el Registro Consolidado de Incidentes como punto de partida del historial formal del CSIRT.</w:t>
            </w:r>
          </w:p>
          <w:p>
            <w:pPr>
              <w:pStyle w:val="ListParagraph"/>
              <w:numPr>
                <w:ilvl w:val="0"/>
                <w:numId w:val="2"/>
              </w:numPr>
              <w:spacing w:after="40" w:before="40"/>
            </w:pPr>
            <w:r>
              <w:rPr>
                <w:rFonts w:ascii="Arial" w:cs="Arial" w:eastAsia="Arial" w:hAnsi="Arial"/>
                <w:color w:val="374151"/>
                <w:sz w:val="21"/>
                <w:szCs w:val="21"/>
              </w:rPr>
              <w:t xml:space="preserve">El post-mortem formal de estos tres incidentes debe completarse dentro de los primeros 30 días de implementación del SGSI para extraer las lecciones aprendidas y validar que los controles implementados los habrían prevenido.</w:t>
            </w:r>
          </w:p>
          <w:p>
            <w:pPr>
              <w:pStyle w:val="ListParagraph"/>
              <w:numPr>
                <w:ilvl w:val="0"/>
                <w:numId w:val="2"/>
              </w:numPr>
              <w:spacing w:after="40" w:before="40"/>
            </w:pPr>
            <w:r>
              <w:rPr>
                <w:rFonts w:ascii="Arial" w:cs="Arial" w:eastAsia="Arial" w:hAnsi="Arial"/>
                <w:color w:val="374151"/>
                <w:sz w:val="21"/>
                <w:szCs w:val="21"/>
              </w:rPr>
              <w:t xml:space="preserve">Estos tres incidentes son la razón de ser de este documento y de todo el SGSI: cada control propuesto puede rastrearse directamente a una lección aprendida de ellos.</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spacing w:before="80"/>
      <w:jc w:val="center"/>
    </w:pPr>
    <w:r>
      <w:rPr>
        <w:rFonts w:ascii="Arial" w:cs="Arial" w:eastAsia="Arial" w:hAnsi="Arial"/>
        <w:color w:val="374151"/>
        <w:sz w:val="16"/>
        <w:szCs w:val="16"/>
      </w:rPr>
      <w:t xml:space="preserve">Confidencial  |  NovaTech Solutions  |  Página </w:t>
    </w:r>
    <w:r>
      <w:rPr>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3"/>
      </w:pBdr>
      <w:spacing w:after="80" w:before="0"/>
    </w:pPr>
    <w:r>
      <w:rPr>
        <w:rFonts w:ascii="Arial" w:cs="Arial" w:eastAsia="Arial" w:hAnsi="Arial"/>
        <w:b/>
        <w:bCs/>
        <w:color w:val="1B3A6B"/>
        <w:sz w:val="18"/>
        <w:szCs w:val="18"/>
      </w:rPr>
      <w:t xml:space="preserve">SGSI — NovaTech Solutions</w:t>
    </w:r>
    <w:r>
      <w:rPr>
        <w:rFonts w:ascii="Arial" w:cs="Arial" w:eastAsia="Arial" w:hAnsi="Arial"/>
        <w:color w:val="374151"/>
        <w:sz w:val="18"/>
        <w:szCs w:val="18"/>
      </w:rPr>
      <w:t xml:space="preserve">     |     Respuesta a Incidentes — CSIRT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2026-04-04T18:32:13.710Z</dcterms:created>
  <dcterms:modified xsi:type="dcterms:W3CDTF">2026-04-04T18:32:13.711Z</dcterms:modified>
</cp:coreProperties>
</file>

<file path=docProps/custom.xml><?xml version="1.0" encoding="utf-8"?>
<Properties xmlns="http://schemas.openxmlformats.org/officeDocument/2006/custom-properties" xmlns:vt="http://schemas.openxmlformats.org/officeDocument/2006/docPropsVTypes"/>
</file>