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60"/>
        </w:pBdr>
      </w:pPr>
    </w:p>
    <w:p>
      <w:pPr>
        <w:spacing w:before="1440"/>
      </w:pPr>
    </w:p>
    <w:p>
      <w:pPr>
        <w:spacing w:after="200" w:before="0"/>
        <w:jc w:val="center"/>
      </w:pPr>
      <w:r>
        <w:rPr>
          <w:rFonts w:ascii="Arial" w:cs="Arial" w:eastAsia="Arial" w:hAnsi="Arial"/>
          <w:b/>
          <w:bCs/>
          <w:caps/>
          <w:color w:val="1B3A6B"/>
          <w:sz w:val="36"/>
          <w:szCs w:val="36"/>
        </w:rPr>
        <w:t xml:space="preserve">SISTEMA DE GESTIÓN DE SEGURIDAD DE LA INFORMACIÓN</w:t>
      </w:r>
    </w:p>
    <w:p>
      <w:pPr>
        <w:spacing w:after="120" w:before="0"/>
        <w:jc w:val="center"/>
      </w:pPr>
      <w:r>
        <w:rPr>
          <w:rFonts w:ascii="Arial" w:cs="Arial" w:eastAsia="Arial" w:hAnsi="Arial"/>
          <w:b/>
          <w:bCs/>
          <w:color w:val="2563EB"/>
          <w:sz w:val="48"/>
          <w:szCs w:val="48"/>
        </w:rPr>
        <w:t xml:space="preserve">CAPACITACIÓN Y CONCIENTIZACIÓN</w:t>
      </w:r>
    </w:p>
    <w:p>
      <w:pPr>
        <w:spacing w:after="160" w:before="0"/>
        <w:jc w:val="center"/>
      </w:pPr>
      <w:r>
        <w:rPr>
          <w:rFonts w:ascii="Arial" w:cs="Arial" w:eastAsia="Arial" w:hAnsi="Arial"/>
          <w:b/>
          <w:bCs/>
          <w:color w:val="1B3A6B"/>
          <w:sz w:val="26"/>
          <w:szCs w:val="26"/>
        </w:rPr>
        <w:t xml:space="preserve">Programa Anual de Seguridad de la Información</w:t>
      </w:r>
    </w:p>
    <w:p>
      <w:pPr>
        <w:spacing w:after="480" w:before="0"/>
        <w:jc w:val="center"/>
      </w:pPr>
      <w:r>
        <w:rPr>
          <w:rFonts w:ascii="Arial" w:cs="Arial" w:eastAsia="Arial" w:hAnsi="Arial"/>
          <w:i/>
          <w:iCs/>
          <w:color w:val="374151"/>
          <w:sz w:val="22"/>
          <w:szCs w:val="22"/>
        </w:rPr>
        <w:t xml:space="preserve">Documento 9 del Repositorio SGSI_NovaTech/</w:t>
      </w:r>
    </w:p>
    <w:p>
      <w:pPr>
        <w:spacing w:after="120" w:before="0"/>
        <w:jc w:val="center"/>
      </w:pPr>
      <w:r>
        <w:rPr>
          <w:rFonts w:ascii="Arial" w:cs="Arial" w:eastAsia="Arial" w:hAnsi="Arial"/>
          <w:b/>
          <w:bCs/>
          <w:color w:val="374151"/>
          <w:sz w:val="36"/>
          <w:szCs w:val="36"/>
        </w:rPr>
        <w:t xml:space="preserve">NovaTech Solutions</w:t>
      </w:r>
    </w:p>
    <w:p>
      <w:pPr>
        <w:spacing w:after="720" w:before="0"/>
        <w:jc w:val="center"/>
      </w:pPr>
      <w:r>
        <w:rPr>
          <w:rFonts w:ascii="Arial" w:cs="Arial" w:eastAsia="Arial" w:hAnsi="Arial"/>
          <w:color w:val="374151"/>
          <w:sz w:val="24"/>
          <w:szCs w:val="24"/>
        </w:rPr>
        <w:t xml:space="preserve">Monterrey, Nuevo León, México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Inicial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Clasificación</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Interno — Uso organizacional</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Borrador para revisión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Elaborado por</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CISO / Comité de Seguridad de la Información</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374151"/>
                <w:sz w:val="20"/>
                <w:szCs w:val="20"/>
              </w:rPr>
              <w:t xml:space="preserve">2026</w:t>
            </w:r>
          </w:p>
        </w:tc>
      </w:tr>
      <w:tr>
        <w:tc>
          <w:tcPr>
            <w:tcW w:type="dxa" w:w="2400"/>
            <w:tcBorders>
              <w:top w:val="single" w:color="999999" w:sz="5"/>
              <w:left w:val="single" w:color="999999" w:sz="5"/>
              <w:bottom w:val="single" w:color="999999" w:sz="5"/>
              <w:right w:val="single" w:color="999999" w:sz="5"/>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Referencia normativa</w:t>
            </w:r>
          </w:p>
        </w:tc>
        <w:tc>
          <w:tcPr>
            <w:tcW w:type="dxa" w:w="36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rFonts w:ascii="Arial" w:cs="Arial" w:eastAsia="Arial" w:hAnsi="Arial"/>
                <w:color w:val="374151"/>
                <w:sz w:val="20"/>
                <w:szCs w:val="20"/>
              </w:rPr>
              <w:t xml:space="preserve">ISO/IEC 27001:2022 — Cláusula 7.2, 7.3 | Anexo A — A.6.3</w:t>
            </w:r>
          </w:p>
        </w:tc>
      </w:tr>
    </w:tbl>
    <w:p>
      <w:pPr>
        <w:spacing w:before="1440"/>
      </w:pPr>
    </w:p>
    <w:p>
      <w:pPr>
        <w:pBdr>
          <w:top w:val="single" w:color="2563EB" w:sz="8" w:space="4"/>
        </w:pBdr>
        <w:spacing w:before="120"/>
        <w:jc w:val="center"/>
      </w:pPr>
      <w:r>
        <w:rPr>
          <w:rFonts w:ascii="Arial" w:cs="Arial" w:eastAsia="Arial" w:hAnsi="Arial"/>
          <w:i/>
          <w:iCs/>
          <w:color w:val="374151"/>
          <w:sz w:val="18"/>
          <w:szCs w:val="18"/>
        </w:rPr>
        <w:t xml:space="preserve">Misión: Blindaje Organizacional  |  Comité de Seguridad de la Información</w:t>
      </w: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 Propósito del Documento</w:t>
      </w:r>
    </w:p>
    <w:p>
      <w:pPr>
        <w:spacing w:after="80" w:before="80"/>
      </w:pPr>
      <w:r>
        <w:rPr>
          <w:rFonts w:ascii="Arial" w:cs="Arial" w:eastAsia="Arial" w:hAnsi="Arial"/>
          <w:color w:val="374151"/>
          <w:sz w:val="22"/>
          <w:szCs w:val="22"/>
        </w:rPr>
        <w:t xml:space="preserve">El presente documento establece el Programa Anual de Capacitación, Concientización y Entrenamiento en Seguridad de la Información de NovaTech Solutions. Su objetivo es desarrollar y mantener una cultura organizacional de seguridad que complemente los controles técnicos y administrativos del SGSI, reconociendo que el factor humano es tanto el mayor riesgo como la más poderosa línea de defensa de la organización.</w:t>
      </w:r>
    </w:p>
    <w:p>
      <w:pPr>
        <w:spacing w:after="80" w:before="80"/>
      </w:pPr>
      <w:r>
        <w:rPr>
          <w:rFonts w:ascii="Arial" w:cs="Arial" w:eastAsia="Arial" w:hAnsi="Arial"/>
          <w:color w:val="374151"/>
          <w:sz w:val="22"/>
          <w:szCs w:val="22"/>
        </w:rPr>
        <w:t xml:space="preserve">Los tres incidentes previos de NovaTech Solutions tuvieron al factor humano como elemento central: una sesión no cerrada, un correo reenviado por error y una actualización mal ejecutada. Ninguno habría ocurrido — o su impacto habría sido menor — si los empleados involucrados hubieran contado con la capacitación y los procedimientos adecuados. Este programa existe para garantizar que eso no vuelva a ocurrir.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Fundamento normativo</w:t>
            </w:r>
          </w:p>
          <w:p>
            <w:pPr>
              <w:pStyle w:val="ListParagraph"/>
              <w:numPr>
                <w:ilvl w:val="0"/>
                <w:numId w:val="2"/>
              </w:numPr>
              <w:spacing w:after="40" w:before="40"/>
            </w:pPr>
            <w:r>
              <w:rPr>
                <w:rFonts w:ascii="Arial" w:cs="Arial" w:eastAsia="Arial" w:hAnsi="Arial"/>
                <w:color w:val="374151"/>
                <w:sz w:val="21"/>
                <w:szCs w:val="21"/>
              </w:rPr>
              <w:t xml:space="preserve">ISO/IEC 27001:2022 — Cláusula 7.2: La organización debe determinar la competencia necesaria de las personas que realizan trabajo bajo su control que afecta al desempeño de la seguridad de la información.</w:t>
            </w:r>
          </w:p>
          <w:p>
            <w:pPr>
              <w:pStyle w:val="ListParagraph"/>
              <w:numPr>
                <w:ilvl w:val="0"/>
                <w:numId w:val="2"/>
              </w:numPr>
              <w:spacing w:after="40" w:before="40"/>
            </w:pPr>
            <w:r>
              <w:rPr>
                <w:rFonts w:ascii="Arial" w:cs="Arial" w:eastAsia="Arial" w:hAnsi="Arial"/>
                <w:color w:val="374151"/>
                <w:sz w:val="21"/>
                <w:szCs w:val="21"/>
              </w:rPr>
              <w:t xml:space="preserve">ISO/IEC 27001:2022 — Cláusula 7.3: Las personas que trabajan bajo el control de la organización deben tomar conciencia de la política de seguridad y su contribución a la eficacia del SGSI.</w:t>
            </w:r>
          </w:p>
          <w:p>
            <w:pPr>
              <w:pStyle w:val="ListParagraph"/>
              <w:numPr>
                <w:ilvl w:val="0"/>
                <w:numId w:val="2"/>
              </w:numPr>
              <w:spacing w:after="40" w:before="40"/>
            </w:pPr>
            <w:r>
              <w:rPr>
                <w:rFonts w:ascii="Arial" w:cs="Arial" w:eastAsia="Arial" w:hAnsi="Arial"/>
                <w:color w:val="374151"/>
                <w:sz w:val="21"/>
                <w:szCs w:val="21"/>
              </w:rPr>
              <w:t xml:space="preserve">ISO/IEC 27001:2022 — Anexo A, Control A.6.3: La concienciación, educación y capacitación en seguridad de la información son controles obligatorios.</w:t>
            </w:r>
          </w:p>
          <w:p>
            <w:pPr>
              <w:pStyle w:val="ListParagraph"/>
              <w:numPr>
                <w:ilvl w:val="0"/>
                <w:numId w:val="2"/>
              </w:numPr>
              <w:spacing w:after="40" w:before="40"/>
            </w:pPr>
            <w:r>
              <w:rPr>
                <w:rFonts w:ascii="Arial" w:cs="Arial" w:eastAsia="Arial" w:hAnsi="Arial"/>
                <w:color w:val="374151"/>
                <w:sz w:val="21"/>
                <w:szCs w:val="21"/>
              </w:rPr>
              <w:t xml:space="preserve">LFPDPPP Art. 19: El responsable del tratamiento de datos personales deberá implementar las medidas de seguridad administrativas, físicas y técnicas necesarias — la capacitación del personal es una medida administrativa esencial.</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2. Diagnóstico de Necesidades de Capacitación</w:t>
      </w:r>
    </w:p>
    <w:p>
      <w:pPr>
        <w:pStyle w:val="Heading2"/>
        <w:spacing w:after="140" w:before="280"/>
      </w:pPr>
      <w:r>
        <w:rPr>
          <w:rFonts w:ascii="Arial" w:cs="Arial" w:eastAsia="Arial" w:hAnsi="Arial"/>
          <w:b/>
          <w:bCs/>
          <w:color w:val="2563EB"/>
          <w:sz w:val="28"/>
          <w:szCs w:val="28"/>
        </w:rPr>
        <w:t xml:space="preserve">2.1 Lecciones de los incidentes previos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Incidente</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Factor humano involucrado</w:t>
            </w:r>
          </w:p>
        </w:tc>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Brecha de capacitación identificada</w:t>
            </w:r>
          </w:p>
        </w:tc>
        <w:tc>
          <w:tcPr>
            <w:tcW w:type="dxa" w:w="21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Módulo que la atiende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 I — Acceso no autorizado al repositorio</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Desarrollador no cerró sesión en equipo de cliente. No se percató del riesgo de sesiones abiertas en equipos compartidos.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Desconocimiento de la política de pantallas/sesiones limpias. Sin hábito de cierre de sesión obligatorio.</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MOD-01 (Fundamentos) y MOD-02 (Buenas prácticas)</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Incidente II — Filtración de datos de cliente</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Empleado de soporte reenvió correo con datos confidenciales a destinatario equivocado sin verificar.</w:t>
            </w:r>
          </w:p>
        </w:tc>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Sin clasificación de información. Sin hábito de verificación de destinatarios. Sin conocimiento de LFPDPPP.</w:t>
            </w:r>
          </w:p>
        </w:tc>
        <w:tc>
          <w:tcPr>
            <w:tcW w:type="dxa" w:w="21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MOD-01, MOD-03 (Datos personales) y MOD-02 (Correo seguro)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 III — Interrupción del CRM</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realizó una actualización en producción sin proceso de cambio ni plan de rollback.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procedimientos documentados de gestión de cambios. Sin entrenamiento en procesos del SGSI.</w:t>
            </w:r>
          </w:p>
        </w:tc>
        <w:tc>
          <w:tcPr>
            <w:tcW w:type="dxa" w:w="2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MOD-04 (Técnico avanzado) y MOD-01 (Proceso de reporte)</w:t>
            </w:r>
          </w:p>
        </w:tc>
      </w:tr>
    </w:tbl>
    <w:p>
      <w:pPr>
        <w:spacing w:before="200"/>
      </w:pPr>
    </w:p>
    <w:p>
      <w:pPr>
        <w:pStyle w:val="Heading2"/>
        <w:spacing w:after="140" w:before="280"/>
      </w:pPr>
      <w:r>
        <w:rPr>
          <w:rFonts w:ascii="Arial" w:cs="Arial" w:eastAsia="Arial" w:hAnsi="Arial"/>
          <w:b/>
          <w:bCs/>
          <w:color w:val="2563EB"/>
          <w:sz w:val="28"/>
          <w:szCs w:val="28"/>
        </w:rPr>
        <w:t xml:space="preserve">2.2 Perfil de riesgo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960"/>
      </w:tblGrid>
      <w:tr>
        <w:trPr>
          <w:tblHeader/>
        </w:trPr>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Área</w:t>
            </w:r>
          </w:p>
        </w:tc>
        <w:tc>
          <w:tcPr>
            <w:tcW w:type="dxa" w:w="2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Riesgos humanos prioritarios</w:t>
            </w:r>
          </w:p>
        </w:tc>
        <w:tc>
          <w:tcPr>
            <w:tcW w:type="dxa" w:w="18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 de capacitación requerido</w:t>
            </w:r>
          </w:p>
        </w:tc>
        <w:tc>
          <w:tcPr>
            <w:tcW w:type="dxa" w:w="2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Módulos obligatorios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Desarrollo de Software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Hardcoding de credenciales, sesiones no cerradas, despliegues sin validación, exfiltración de código fuente.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 — exposición directa a activos Críticos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MOD-01, MOD-02, MOD-04</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Atención a Clientes</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Filtración de datos personales por correo, ingeniería social, manejo inadecuado de información de clientes.</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Alto — manejo diario de datos personales sujetos a LFPDPPP</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MOD-01, MOD-02, MOD-03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Administración y RRHH</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Manejo de datos financieros y personales de empleados, contratos, información fiscal sensible.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Alto — datos personales sensibles y obligaciones legales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MOD-01, MOD-02, MOD-03</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DevOps / Infraestructura</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Gestión de credenciales de producción, configuraciones de sistemas, accesos privilegiados a la nube.</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Crítico — acceso a toda la infraestructura</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MOD-01, MOD-02, MOD-04, MOD-05</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Dirección General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Decisiones estratégicas de seguridad, comprensión del marco de riesgos, responsabilidades legales.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Medio — visión ejecutiva del SGSI</w:t>
            </w:r>
          </w:p>
        </w:tc>
        <w:tc>
          <w:tcPr>
            <w:tcW w:type="dxa" w:w="2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MOD-01, MOD-06</w:t>
            </w:r>
          </w:p>
        </w:tc>
      </w:tr>
      <w:tr>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y equipo de seguridad</w:t>
            </w:r>
          </w:p>
        </w:tc>
        <w:tc>
          <w:tcPr>
            <w:tcW w:type="dxa" w:w="2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Gestión del SGSI, análisis de riesgos, respuesta a incidentes, cumplimiento normativo.</w:t>
            </w:r>
          </w:p>
        </w:tc>
        <w:tc>
          <w:tcPr>
            <w:tcW w:type="dxa" w:w="18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Especializado — dominio técnico y normativo</w:t>
            </w:r>
          </w:p>
        </w:tc>
        <w:tc>
          <w:tcPr>
            <w:tcW w:type="dxa" w:w="2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MOD-01 al MOD-06 + entrenamiento externo</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3. Estructura del Programa de Capacitación</w:t>
      </w:r>
    </w:p>
    <w:p>
      <w:pPr>
        <w:pStyle w:val="Heading2"/>
        <w:spacing w:after="140" w:before="280"/>
      </w:pPr>
      <w:r>
        <w:rPr>
          <w:rFonts w:ascii="Arial" w:cs="Arial" w:eastAsia="Arial" w:hAnsi="Arial"/>
          <w:b/>
          <w:bCs/>
          <w:color w:val="2563EB"/>
          <w:sz w:val="28"/>
          <w:szCs w:val="28"/>
        </w:rPr>
        <w:t xml:space="preserve">3.1 Principios del programa</w:t>
      </w:r>
    </w:p>
    <w:p>
      <w:pPr>
        <w:pStyle w:val="ListParagraph"/>
        <w:numPr>
          <w:ilvl w:val="0"/>
          <w:numId w:val="2"/>
        </w:numPr>
        <w:spacing w:after="60" w:before="60"/>
      </w:pPr>
      <w:r>
        <w:rPr>
          <w:rFonts w:ascii="Arial" w:cs="Arial" w:eastAsia="Arial" w:hAnsi="Arial"/>
          <w:color w:val="374151"/>
          <w:sz w:val="22"/>
          <w:szCs w:val="22"/>
        </w:rPr>
        <w:t xml:space="preserve">Relevancia: los contenidos se contextualizan con ejemplos reales de NovaTech Solutions (los 3 incidentes previos son el eje narrativo del programa).</w:t>
      </w:r>
    </w:p>
    <w:p>
      <w:pPr>
        <w:pStyle w:val="ListParagraph"/>
        <w:numPr>
          <w:ilvl w:val="0"/>
          <w:numId w:val="2"/>
        </w:numPr>
        <w:spacing w:after="60" w:before="60"/>
      </w:pPr>
      <w:r>
        <w:rPr>
          <w:rFonts w:ascii="Arial" w:cs="Arial" w:eastAsia="Arial" w:hAnsi="Arial"/>
          <w:color w:val="374151"/>
          <w:sz w:val="22"/>
          <w:szCs w:val="22"/>
        </w:rPr>
        <w:t xml:space="preserve">Progresividad: el programa avanza de conceptos generales a habilidades técnicas específicas por rol.</w:t>
      </w:r>
    </w:p>
    <w:p>
      <w:pPr>
        <w:pStyle w:val="ListParagraph"/>
        <w:numPr>
          <w:ilvl w:val="0"/>
          <w:numId w:val="2"/>
        </w:numPr>
        <w:spacing w:after="60" w:before="60"/>
      </w:pPr>
      <w:r>
        <w:rPr>
          <w:rFonts w:ascii="Arial" w:cs="Arial" w:eastAsia="Arial" w:hAnsi="Arial"/>
          <w:color w:val="374151"/>
          <w:sz w:val="22"/>
          <w:szCs w:val="22"/>
        </w:rPr>
        <w:t xml:space="preserve">Continuidad: la seguridad no se aprende una sola vez. El programa incluye refuerzos, simulacros y actualizaciones periódicas.</w:t>
      </w:r>
    </w:p>
    <w:p>
      <w:pPr>
        <w:pStyle w:val="ListParagraph"/>
        <w:numPr>
          <w:ilvl w:val="0"/>
          <w:numId w:val="2"/>
        </w:numPr>
        <w:spacing w:after="60" w:before="60"/>
      </w:pPr>
      <w:r>
        <w:rPr>
          <w:rFonts w:ascii="Arial" w:cs="Arial" w:eastAsia="Arial" w:hAnsi="Arial"/>
          <w:color w:val="374151"/>
          <w:sz w:val="22"/>
          <w:szCs w:val="22"/>
        </w:rPr>
        <w:t xml:space="preserve">Medición: cada actividad tiene criterios de evaluación. La tasa de aprobación y la mejora en simulacros son KPIs del programa.</w:t>
      </w:r>
    </w:p>
    <w:p>
      <w:pPr>
        <w:pStyle w:val="ListParagraph"/>
        <w:numPr>
          <w:ilvl w:val="0"/>
          <w:numId w:val="2"/>
        </w:numPr>
        <w:spacing w:after="60" w:before="60"/>
      </w:pPr>
      <w:r>
        <w:rPr>
          <w:rFonts w:ascii="Arial" w:cs="Arial" w:eastAsia="Arial" w:hAnsi="Arial"/>
          <w:color w:val="374151"/>
          <w:sz w:val="22"/>
          <w:szCs w:val="22"/>
        </w:rPr>
        <w:t xml:space="preserve">Obligatoriedad: todos los módulos marcados como obligatorios son condición para el acceso a sistemas corporativos. La no participación sin justificación es una falta disciplinaria.</w:t>
      </w:r>
    </w:p>
    <w:p>
      <w:pPr>
        <w:spacing w:before="120"/>
      </w:pPr>
    </w:p>
    <w:p>
      <w:pPr>
        <w:pStyle w:val="Heading2"/>
        <w:spacing w:after="140" w:before="280"/>
      </w:pPr>
      <w:r>
        <w:rPr>
          <w:rFonts w:ascii="Arial" w:cs="Arial" w:eastAsia="Arial" w:hAnsi="Arial"/>
          <w:b/>
          <w:bCs/>
          <w:color w:val="2563EB"/>
          <w:sz w:val="28"/>
          <w:szCs w:val="28"/>
        </w:rPr>
        <w:t xml:space="preserve">3.2 Niveles del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rPr>
          <w:tblHeader/>
        </w:trPr>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Nivel</w:t>
            </w:r>
          </w:p>
        </w:tc>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Audiencia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Objetivo</w:t>
            </w:r>
          </w:p>
        </w:tc>
        <w:tc>
          <w:tcPr>
            <w:tcW w:type="dxa" w:w="2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Módulos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Nivel 1 — Concienciación general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empleados (120 personas), contratistas y proveedores con acceso a sistemas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Desarrollar comprensión básica de qué es la seguridad de la información, por qué importa y cuáles son las obligaciones de cada persona.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MOD-01 (obligatorio)</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Nivel 2 — Buenas prácticas operativas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Desarrollar hábitos seguros en el trabajo diario: contraseñas, correo, dispositivos, clasificación y reporte de incidentes.</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MOD-02, MOD-03 (obligatorios)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Nivel 3 — Entrenamiento especializado por rol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Desarrolladores, DevOps, CISO, DPO, Gerentes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Profundizar en los riesgos y controles específicos de cada función, incluyendo desarrollo seguro, gestión de privilegios y cumplimiento legal.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MOD-04, MOD-05, MOD-06 (por rol)</w:t>
            </w:r>
          </w:p>
        </w:tc>
      </w:tr>
      <w:tr>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Nivel 4 — Simulacros y ejercicios prácticos</w:t>
            </w:r>
          </w:p>
        </w:tc>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los empleados (simulacros de phishing) / CSIRT (simulacros de incidente)</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Evaluar la capacidad real de respuesta ante escenarios de ataque. Identificar brechas que no emergen en la capacitación teórica.</w:t>
            </w:r>
          </w:p>
        </w:tc>
        <w:tc>
          <w:tcPr>
            <w:tcW w:type="dxa" w:w="2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Simulacros trimestrales</w:t>
            </w:r>
          </w:p>
        </w:tc>
      </w:tr>
    </w:tbl>
    <w:p>
      <w:pPr>
        <w:spacing w:before="200"/>
      </w:pPr>
    </w:p>
    <w:p>
      <w:pPr>
        <w:pStyle w:val="Heading2"/>
        <w:spacing w:after="140" w:before="280"/>
      </w:pPr>
      <w:r>
        <w:rPr>
          <w:rFonts w:ascii="Arial" w:cs="Arial" w:eastAsia="Arial" w:hAnsi="Arial"/>
          <w:b/>
          <w:bCs/>
          <w:color w:val="2563EB"/>
          <w:sz w:val="28"/>
          <w:szCs w:val="28"/>
        </w:rPr>
        <w:t xml:space="preserve">3.3 Catálogo de módulos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000"/>
        <w:gridCol w:w="1200"/>
        <w:gridCol w:w="1400"/>
        <w:gridCol w:w="1860"/>
      </w:tblGrid>
      <w:tr>
        <w:trPr>
          <w:tblHeader/>
        </w:trPr>
        <w:tc>
          <w:tcPr>
            <w:tcW w:type="dxa" w:w="9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Código</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Nombre del módulo</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Audiencia</w:t>
            </w:r>
          </w:p>
        </w:tc>
        <w:tc>
          <w:tcPr>
            <w:tcW w:type="dxa" w:w="1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Duración</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c>
          <w:tcPr>
            <w:tcW w:type="dxa" w:w="18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Obligatorio</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Fundamentos de Seguridad de la Información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horas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 + al incorporarse</w:t>
            </w:r>
          </w:p>
        </w:tc>
        <w:tc>
          <w:tcPr>
            <w:tcW w:type="dxa" w:w="1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todos</w:t>
            </w:r>
          </w:p>
        </w:tc>
      </w:tr>
      <w:tr>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MOD-02</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Buenas Prácticas en el Trabajo Diario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horas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1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todos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Protección de Datos Personales (LFPDPPP)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que manejan datos personales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1.5 horas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según rol</w:t>
            </w:r>
          </w:p>
        </w:tc>
      </w:tr>
      <w:tr>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MOD-04</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Desarrollo Seguro de Software</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Desarrolladores, DevOps, QA</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3 horas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 + ante cambios tecnológicos</w:t>
            </w:r>
          </w:p>
        </w:tc>
        <w:tc>
          <w:tcPr>
            <w:tcW w:type="dxa" w:w="1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Dev y DevOps</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Gestión de Privilegios e Infraestructura Segura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Administradores de sistemas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horas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DevOps</w:t>
            </w:r>
          </w:p>
        </w:tc>
      </w:tr>
      <w:tr>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MOD-06</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Seguridad para Líderes y Dirección</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Director General, Gerentes, CISO</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1.5 horas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w:t>
            </w:r>
          </w:p>
        </w:tc>
        <w:tc>
          <w:tcPr>
            <w:tcW w:type="dxa" w:w="1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según rol</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SIM-01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Simulacro de Phishing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Variable (campaña)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todos</w:t>
            </w:r>
          </w:p>
        </w:tc>
      </w:tr>
      <w:tr>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SIM-02</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Simulacro de Respuesta a Incidentes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Equipo CSIRT</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 horas</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Semestral</w:t>
            </w:r>
          </w:p>
        </w:tc>
        <w:tc>
          <w:tcPr>
            <w:tcW w:type="dxa" w:w="1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CSIRT</w:t>
            </w:r>
          </w:p>
        </w:tc>
      </w:tr>
      <w:tr>
        <w:tc>
          <w:tcPr>
            <w:tcW w:type="dxa" w:w="9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SIM-03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Prueba de Restauración de Backups (BCP)</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DevOps, CISO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horas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1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Sí — DevOps/CISO</w:t>
            </w:r>
          </w:p>
        </w:tc>
      </w:tr>
      <w:tr>
        <w:tc>
          <w:tcPr>
            <w:tcW w:type="dxa" w:w="9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ACT-01</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Actualizaciones de seguridad (boletines mensuales)</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c>
          <w:tcPr>
            <w:tcW w:type="dxa" w:w="1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15 min lectura</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Mensual</w:t>
            </w:r>
          </w:p>
        </w:tc>
        <w:tc>
          <w:tcPr>
            <w:tcW w:type="dxa" w:w="18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Sí — todos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4. Contenido Detallado de los Módulos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0"/>
              <w:left w:val="single" w:color="2563EB" w:sz="10"/>
              <w:bottom w:val="single" w:color="2563EB" w:sz="10"/>
              <w:right w:val="single" w:color="2563EB" w:sz="10"/>
            </w:tcBorders>
            <w:shd w:fill="DBEAFE" w:val="clear"/>
            <w:tcMar>
              <w:top w:type="dxa" w:w="120"/>
              <w:left w:type="dxa" w:w="160"/>
              <w:bottom w:type="dxa" w:w="120"/>
              <w:right w:type="dxa" w:w="160"/>
            </w:tcMar>
          </w:tcPr>
          <w:p>
            <w:pPr>
              <w:spacing w:after="100" w:before="60"/>
            </w:pPr>
            <w:r>
              <w:rPr>
                <w:rFonts w:ascii="Arial" w:cs="Arial" w:eastAsia="Arial" w:hAnsi="Arial"/>
                <w:b/>
                <w:bCs/>
                <w:color w:val="2563EB"/>
                <w:sz w:val="24"/>
                <w:szCs w:val="24"/>
              </w:rPr>
              <w:t xml:space="preserve">MOD-01 — </w:t>
            </w:r>
            <w:r>
              <w:rPr>
                <w:rFonts w:ascii="Arial" w:cs="Arial" w:eastAsia="Arial" w:hAnsi="Arial"/>
                <w:b/>
                <w:bCs/>
                <w:color w:val="2563EB"/>
                <w:sz w:val="24"/>
                <w:szCs w:val="24"/>
              </w:rPr>
              <w:t xml:space="preserve">Fundamentos de Seguridad de la Información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c>
                <w:tcPr>
                  <w:tcW w:type="dxa" w:w="22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Audiencia objetivo</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TODOS los empleados, contratistas y proveedores con acceso a sistemas de NovaTech Solutions (120 personas)</w:t>
                  </w:r>
                </w:p>
              </w:tc>
            </w:tr>
            <w:tr>
              <w:tc>
                <w:tcPr>
                  <w:tcW w:type="dxa" w:w="22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Duración estimada</w:t>
                  </w:r>
                </w:p>
              </w:tc>
              <w:tc>
                <w:tcPr>
                  <w:tcW w:type="dxa" w:w="68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2 horas (presencial o virtual síncrono)</w:t>
                  </w:r>
                </w:p>
              </w:tc>
            </w:tr>
            <w:tr>
              <w:tc>
                <w:tcPr>
                  <w:tcW w:type="dxa" w:w="2200"/>
                  <w:tcBorders>
                    <w:top w:val="single" w:color="2563EB" w:sz="4"/>
                    <w:left w:val="single" w:color="2563EB" w:sz="4"/>
                    <w:bottom w:val="single" w:color="2563EB" w:sz="4"/>
                    <w:right w:val="single" w:color="2563EB" w:sz="4"/>
                  </w:tcBorders>
                  <w:shd w:fill="FFFFFF" w:val="clear"/>
                  <w:tcMar>
                    <w:top w:type="dxa" w:w="70"/>
                    <w:left w:type="dxa" w:w="120"/>
                    <w:bottom w:type="dxa" w:w="70"/>
                    <w:right w:type="dxa" w:w="120"/>
                  </w:tcMar>
                </w:tcPr>
                <w:p>
                  <w:r>
                    <w:rPr>
                      <w:rFonts w:ascii="Arial" w:cs="Arial" w:eastAsia="Arial" w:hAnsi="Arial"/>
                      <w:b/>
                      <w:bCs/>
                      <w:color w:val="2563EB"/>
                      <w:sz w:val="19"/>
                      <w:szCs w:val="19"/>
                    </w:rPr>
                    <w:t xml:space="preserve">Modalidad</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Presencial o videoconferencia — con evaluación al finalizar. Disponible también en versión asincrónica grabada.</w:t>
                  </w:r>
                </w:p>
              </w:tc>
            </w:tr>
          </w:tbl>
          <w:p>
            <w:pPr>
              <w:spacing w:before="80"/>
            </w:pPr>
          </w:p>
          <w:p>
            <w:pPr>
              <w:spacing w:after="60" w:before="80"/>
            </w:pPr>
            <w:r>
              <w:rPr>
                <w:rFonts w:ascii="Arial" w:cs="Arial" w:eastAsia="Arial" w:hAnsi="Arial"/>
                <w:b/>
                <w:bCs/>
                <w:color w:val="2563EB"/>
                <w:sz w:val="20"/>
                <w:szCs w:val="20"/>
              </w:rPr>
              <w:t xml:space="preserve">Objetivos de aprendizaje:</w:t>
            </w:r>
          </w:p>
          <w:p>
            <w:pPr>
              <w:pStyle w:val="ListParagraph"/>
              <w:numPr>
                <w:ilvl w:val="0"/>
                <w:numId w:val="3"/>
              </w:numPr>
              <w:spacing w:after="40" w:before="40"/>
            </w:pPr>
            <w:r>
              <w:rPr>
                <w:rFonts w:ascii="Arial" w:cs="Arial" w:eastAsia="Arial" w:hAnsi="Arial"/>
                <w:color w:val="374151"/>
                <w:sz w:val="20"/>
                <w:szCs w:val="20"/>
              </w:rPr>
              <w:t xml:space="preserve">Comprender qué es la seguridad de la información y por qué es una responsabilidad de todos.</w:t>
            </w:r>
          </w:p>
          <w:p>
            <w:pPr>
              <w:pStyle w:val="ListParagraph"/>
              <w:numPr>
                <w:ilvl w:val="0"/>
                <w:numId w:val="3"/>
              </w:numPr>
              <w:spacing w:after="40" w:before="40"/>
            </w:pPr>
            <w:r>
              <w:rPr>
                <w:rFonts w:ascii="Arial" w:cs="Arial" w:eastAsia="Arial" w:hAnsi="Arial"/>
                <w:color w:val="374151"/>
                <w:sz w:val="20"/>
                <w:szCs w:val="20"/>
              </w:rPr>
              <w:t xml:space="preserve">Conocer la Triada CIA (Confidencialidad, Integridad, Disponibilidad) con ejemplos de NovaTech.</w:t>
            </w:r>
          </w:p>
          <w:p>
            <w:pPr>
              <w:pStyle w:val="ListParagraph"/>
              <w:numPr>
                <w:ilvl w:val="0"/>
                <w:numId w:val="3"/>
              </w:numPr>
              <w:spacing w:after="40" w:before="40"/>
            </w:pPr>
            <w:r>
              <w:rPr>
                <w:rFonts w:ascii="Arial" w:cs="Arial" w:eastAsia="Arial" w:hAnsi="Arial"/>
                <w:color w:val="374151"/>
                <w:sz w:val="20"/>
                <w:szCs w:val="20"/>
              </w:rPr>
              <w:t xml:space="preserve">Identificar los tipos de información que maneja NovaTech y su nivel de sensibilidad.</w:t>
            </w:r>
          </w:p>
          <w:p>
            <w:pPr>
              <w:pStyle w:val="ListParagraph"/>
              <w:numPr>
                <w:ilvl w:val="0"/>
                <w:numId w:val="3"/>
              </w:numPr>
              <w:spacing w:after="40" w:before="40"/>
            </w:pPr>
            <w:r>
              <w:rPr>
                <w:rFonts w:ascii="Arial" w:cs="Arial" w:eastAsia="Arial" w:hAnsi="Arial"/>
                <w:color w:val="374151"/>
                <w:sz w:val="20"/>
                <w:szCs w:val="20"/>
              </w:rPr>
              <w:t xml:space="preserve">Conocer las políticas de seguridad aplicables a su rol y las consecuencias del incumplimiento.</w:t>
            </w:r>
          </w:p>
          <w:p>
            <w:pPr>
              <w:pStyle w:val="ListParagraph"/>
              <w:numPr>
                <w:ilvl w:val="0"/>
                <w:numId w:val="3"/>
              </w:numPr>
              <w:spacing w:after="40" w:before="40"/>
            </w:pPr>
            <w:r>
              <w:rPr>
                <w:rFonts w:ascii="Arial" w:cs="Arial" w:eastAsia="Arial" w:hAnsi="Arial"/>
                <w:color w:val="374151"/>
                <w:sz w:val="20"/>
                <w:szCs w:val="20"/>
              </w:rPr>
              <w:t xml:space="preserve">Saber cómo reportar un incidente o comportamiento sospechoso al CISO.</w:t>
            </w:r>
          </w:p>
          <w:p>
            <w:pPr>
              <w:spacing w:before="60"/>
            </w:pPr>
          </w:p>
          <w:p>
            <w:pPr>
              <w:spacing w:after="60" w:before="80"/>
            </w:pPr>
            <w:r>
              <w:rPr>
                <w:rFonts w:ascii="Arial" w:cs="Arial" w:eastAsia="Arial" w:hAnsi="Arial"/>
                <w:b/>
                <w:bCs/>
                <w:color w:val="2563EB"/>
                <w:sz w:val="20"/>
                <w:szCs w:val="20"/>
              </w:rPr>
              <w:t xml:space="preserve">Temas cubiertos:</w:t>
            </w:r>
          </w:p>
          <w:p>
            <w:pPr>
              <w:pStyle w:val="ListParagraph"/>
              <w:numPr>
                <w:ilvl w:val="0"/>
                <w:numId w:val="2"/>
              </w:numPr>
              <w:spacing w:after="40" w:before="40"/>
            </w:pPr>
            <w:r>
              <w:rPr>
                <w:rFonts w:ascii="Arial" w:cs="Arial" w:eastAsia="Arial" w:hAnsi="Arial"/>
                <w:color w:val="374151"/>
                <w:sz w:val="20"/>
                <w:szCs w:val="20"/>
              </w:rPr>
              <w:t xml:space="preserve">¿Qué es la seguridad de la información? La Triada CIA aplicada a NovaTech.</w:t>
            </w:r>
          </w:p>
          <w:p>
            <w:pPr>
              <w:pStyle w:val="ListParagraph"/>
              <w:numPr>
                <w:ilvl w:val="0"/>
                <w:numId w:val="2"/>
              </w:numPr>
              <w:spacing w:after="40" w:before="40"/>
            </w:pPr>
            <w:r>
              <w:rPr>
                <w:rFonts w:ascii="Arial" w:cs="Arial" w:eastAsia="Arial" w:hAnsi="Arial"/>
                <w:color w:val="374151"/>
                <w:sz w:val="20"/>
                <w:szCs w:val="20"/>
              </w:rPr>
              <w:t xml:space="preserve">Los activos de información de NovaTech: qué protegemos y por qué.</w:t>
            </w:r>
          </w:p>
          <w:p>
            <w:pPr>
              <w:pStyle w:val="ListParagraph"/>
              <w:numPr>
                <w:ilvl w:val="0"/>
                <w:numId w:val="2"/>
              </w:numPr>
              <w:spacing w:after="40" w:before="40"/>
            </w:pPr>
            <w:r>
              <w:rPr>
                <w:rFonts w:ascii="Arial" w:cs="Arial" w:eastAsia="Arial" w:hAnsi="Arial"/>
                <w:color w:val="374151"/>
                <w:sz w:val="20"/>
                <w:szCs w:val="20"/>
              </w:rPr>
              <w:t xml:space="preserve">Los 3 incidentes de NovaTech: qué ocurrió, cómo se pudo haber prevenido.</w:t>
            </w:r>
          </w:p>
          <w:p>
            <w:pPr>
              <w:pStyle w:val="ListParagraph"/>
              <w:numPr>
                <w:ilvl w:val="0"/>
                <w:numId w:val="2"/>
              </w:numPr>
              <w:spacing w:after="40" w:before="40"/>
            </w:pPr>
            <w:r>
              <w:rPr>
                <w:rFonts w:ascii="Arial" w:cs="Arial" w:eastAsia="Arial" w:hAnsi="Arial"/>
                <w:color w:val="374151"/>
                <w:sz w:val="20"/>
                <w:szCs w:val="20"/>
              </w:rPr>
              <w:t xml:space="preserve">El SGSI de NovaTech: qué es, para qué sirve, qué cambia para ti.</w:t>
            </w:r>
          </w:p>
          <w:p>
            <w:pPr>
              <w:pStyle w:val="ListParagraph"/>
              <w:numPr>
                <w:ilvl w:val="0"/>
                <w:numId w:val="2"/>
              </w:numPr>
              <w:spacing w:after="40" w:before="40"/>
            </w:pPr>
            <w:r>
              <w:rPr>
                <w:rFonts w:ascii="Arial" w:cs="Arial" w:eastAsia="Arial" w:hAnsi="Arial"/>
                <w:color w:val="374151"/>
                <w:sz w:val="20"/>
                <w:szCs w:val="20"/>
              </w:rPr>
              <w:t xml:space="preserve">Mis responsabilidades como empleado: políticas aplicables, uso aceptable, obligaciones.</w:t>
            </w:r>
          </w:p>
          <w:p>
            <w:pPr>
              <w:pStyle w:val="ListParagraph"/>
              <w:numPr>
                <w:ilvl w:val="0"/>
                <w:numId w:val="2"/>
              </w:numPr>
              <w:spacing w:after="40" w:before="40"/>
            </w:pPr>
            <w:r>
              <w:rPr>
                <w:rFonts w:ascii="Arial" w:cs="Arial" w:eastAsia="Arial" w:hAnsi="Arial"/>
                <w:color w:val="374151"/>
                <w:sz w:val="20"/>
                <w:szCs w:val="20"/>
              </w:rPr>
              <w:t xml:space="preserve">Cómo reportar un incidente o sospecha: a quién, cómo y cuándo.</w:t>
            </w:r>
          </w:p>
          <w:p>
            <w:pPr>
              <w:pStyle w:val="ListParagraph"/>
              <w:numPr>
                <w:ilvl w:val="0"/>
                <w:numId w:val="2"/>
              </w:numPr>
              <w:spacing w:after="40" w:before="40"/>
            </w:pPr>
            <w:r>
              <w:rPr>
                <w:rFonts w:ascii="Arial" w:cs="Arial" w:eastAsia="Arial" w:hAnsi="Arial"/>
                <w:color w:val="374151"/>
                <w:sz w:val="20"/>
                <w:szCs w:val="20"/>
              </w:rPr>
              <w:t xml:space="preserve">Consecuencias del incumplimiento: tabla de sanciones explicada.</w:t>
            </w:r>
          </w:p>
          <w:p>
            <w:pPr>
              <w:pStyle w:val="ListParagraph"/>
              <w:numPr>
                <w:ilvl w:val="0"/>
                <w:numId w:val="2"/>
              </w:numPr>
              <w:spacing w:after="40" w:before="40"/>
            </w:pPr>
            <w:r>
              <w:rPr>
                <w:rFonts w:ascii="Arial" w:cs="Arial" w:eastAsia="Arial" w:hAnsi="Arial"/>
                <w:color w:val="374151"/>
                <w:sz w:val="20"/>
                <w:szCs w:val="20"/>
              </w:rPr>
              <w:t xml:space="preserve">Evaluación final: 10 preguntas de opción múltiple. Nota mínima aprobatoria: 80%.</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0"/>
              <w:left w:val="single" w:color="166534" w:sz="10"/>
              <w:bottom w:val="single" w:color="166534" w:sz="10"/>
              <w:right w:val="single" w:color="166534" w:sz="10"/>
            </w:tcBorders>
            <w:shd w:fill="DCFCE7" w:val="clear"/>
            <w:tcMar>
              <w:top w:type="dxa" w:w="120"/>
              <w:left w:type="dxa" w:w="160"/>
              <w:bottom w:type="dxa" w:w="120"/>
              <w:right w:type="dxa" w:w="160"/>
            </w:tcMar>
          </w:tcPr>
          <w:p>
            <w:pPr>
              <w:spacing w:after="100" w:before="60"/>
            </w:pPr>
            <w:r>
              <w:rPr>
                <w:rFonts w:ascii="Arial" w:cs="Arial" w:eastAsia="Arial" w:hAnsi="Arial"/>
                <w:b/>
                <w:bCs/>
                <w:color w:val="166534"/>
                <w:sz w:val="24"/>
                <w:szCs w:val="24"/>
              </w:rPr>
              <w:t xml:space="preserve">MOD-02 — </w:t>
            </w:r>
            <w:r>
              <w:rPr>
                <w:rFonts w:ascii="Arial" w:cs="Arial" w:eastAsia="Arial" w:hAnsi="Arial"/>
                <w:b/>
                <w:bCs/>
                <w:color w:val="166534"/>
                <w:sz w:val="24"/>
                <w:szCs w:val="24"/>
              </w:rPr>
              <w:t xml:space="preserve">Buenas Prácticas en el Trabajo Diario</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c>
                <w:tcPr>
                  <w:tcW w:type="dxa" w:w="22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Audiencia objetivo</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TODOS los empleados de NovaTech Solutions</w:t>
                  </w:r>
                </w:p>
              </w:tc>
            </w:tr>
            <w:tr>
              <w:tc>
                <w:tcPr>
                  <w:tcW w:type="dxa" w:w="22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Duración estimada</w:t>
                  </w:r>
                </w:p>
              </w:tc>
              <w:tc>
                <w:tcPr>
                  <w:tcW w:type="dxa" w:w="68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2 horas (presencial o virtual síncrono)</w:t>
                  </w:r>
                </w:p>
              </w:tc>
            </w:tr>
            <w:tr>
              <w:tc>
                <w:tcPr>
                  <w:tcW w:type="dxa" w:w="2200"/>
                  <w:tcBorders>
                    <w:top w:val="single" w:color="166534" w:sz="4"/>
                    <w:left w:val="single" w:color="166534" w:sz="4"/>
                    <w:bottom w:val="single" w:color="166534" w:sz="4"/>
                    <w:right w:val="single" w:color="166534" w:sz="4"/>
                  </w:tcBorders>
                  <w:shd w:fill="FFFFFF" w:val="clear"/>
                  <w:tcMar>
                    <w:top w:type="dxa" w:w="70"/>
                    <w:left w:type="dxa" w:w="120"/>
                    <w:bottom w:type="dxa" w:w="70"/>
                    <w:right w:type="dxa" w:w="120"/>
                  </w:tcMar>
                </w:tcPr>
                <w:p>
                  <w:r>
                    <w:rPr>
                      <w:rFonts w:ascii="Arial" w:cs="Arial" w:eastAsia="Arial" w:hAnsi="Arial"/>
                      <w:b/>
                      <w:bCs/>
                      <w:color w:val="166534"/>
                      <w:sz w:val="19"/>
                      <w:szCs w:val="19"/>
                    </w:rPr>
                    <w:t xml:space="preserve">Modalidad</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Taller práctico con ejercicios interactivos y simulaciones de situaciones reales.</w:t>
                  </w:r>
                </w:p>
              </w:tc>
            </w:tr>
          </w:tbl>
          <w:p>
            <w:pPr>
              <w:spacing w:before="80"/>
            </w:pPr>
          </w:p>
          <w:p>
            <w:pPr>
              <w:spacing w:after="60" w:before="80"/>
            </w:pPr>
            <w:r>
              <w:rPr>
                <w:rFonts w:ascii="Arial" w:cs="Arial" w:eastAsia="Arial" w:hAnsi="Arial"/>
                <w:b/>
                <w:bCs/>
                <w:color w:val="166534"/>
                <w:sz w:val="20"/>
                <w:szCs w:val="20"/>
              </w:rPr>
              <w:t xml:space="preserve">Objetivos de aprendizaje:</w:t>
            </w:r>
          </w:p>
          <w:p>
            <w:pPr>
              <w:pStyle w:val="ListParagraph"/>
              <w:numPr>
                <w:ilvl w:val="0"/>
                <w:numId w:val="3"/>
              </w:numPr>
              <w:spacing w:after="40" w:before="40"/>
            </w:pPr>
            <w:r>
              <w:rPr>
                <w:rFonts w:ascii="Arial" w:cs="Arial" w:eastAsia="Arial" w:hAnsi="Arial"/>
                <w:color w:val="374151"/>
                <w:sz w:val="20"/>
                <w:szCs w:val="20"/>
              </w:rPr>
              <w:t xml:space="preserve">Aplicar contraseñas robustas y usar el gestor de contraseñas corporativo correctamente.</w:t>
            </w:r>
          </w:p>
          <w:p>
            <w:pPr>
              <w:pStyle w:val="ListParagraph"/>
              <w:numPr>
                <w:ilvl w:val="0"/>
                <w:numId w:val="3"/>
              </w:numPr>
              <w:spacing w:after="40" w:before="40"/>
            </w:pPr>
            <w:r>
              <w:rPr>
                <w:rFonts w:ascii="Arial" w:cs="Arial" w:eastAsia="Arial" w:hAnsi="Arial"/>
                <w:color w:val="374151"/>
                <w:sz w:val="20"/>
                <w:szCs w:val="20"/>
              </w:rPr>
              <w:t xml:space="preserve">Identificar y evitar correos de phishing y técnicas de ingeniería social.</w:t>
            </w:r>
          </w:p>
          <w:p>
            <w:pPr>
              <w:pStyle w:val="ListParagraph"/>
              <w:numPr>
                <w:ilvl w:val="0"/>
                <w:numId w:val="3"/>
              </w:numPr>
              <w:spacing w:after="40" w:before="40"/>
            </w:pPr>
            <w:r>
              <w:rPr>
                <w:rFonts w:ascii="Arial" w:cs="Arial" w:eastAsia="Arial" w:hAnsi="Arial"/>
                <w:color w:val="374151"/>
                <w:sz w:val="20"/>
                <w:szCs w:val="20"/>
              </w:rPr>
              <w:t xml:space="preserve">Clasificar y manejar correctamente la información según su nivel de sensibilidad.</w:t>
            </w:r>
          </w:p>
          <w:p>
            <w:pPr>
              <w:pStyle w:val="ListParagraph"/>
              <w:numPr>
                <w:ilvl w:val="0"/>
                <w:numId w:val="3"/>
              </w:numPr>
              <w:spacing w:after="40" w:before="40"/>
            </w:pPr>
            <w:r>
              <w:rPr>
                <w:rFonts w:ascii="Arial" w:cs="Arial" w:eastAsia="Arial" w:hAnsi="Arial"/>
                <w:color w:val="374151"/>
                <w:sz w:val="20"/>
                <w:szCs w:val="20"/>
              </w:rPr>
              <w:t xml:space="preserve">Aplicar la política de escritorios limpios y pantallas limpias en su trabajo diario.</w:t>
            </w:r>
          </w:p>
          <w:p>
            <w:pPr>
              <w:pStyle w:val="ListParagraph"/>
              <w:numPr>
                <w:ilvl w:val="0"/>
                <w:numId w:val="3"/>
              </w:numPr>
              <w:spacing w:after="40" w:before="40"/>
            </w:pPr>
            <w:r>
              <w:rPr>
                <w:rFonts w:ascii="Arial" w:cs="Arial" w:eastAsia="Arial" w:hAnsi="Arial"/>
                <w:color w:val="374151"/>
                <w:sz w:val="20"/>
                <w:szCs w:val="20"/>
              </w:rPr>
              <w:t xml:space="preserve">Usar de forma segura el correo corporativo, dispositivos y redes.</w:t>
            </w:r>
          </w:p>
          <w:p>
            <w:pPr>
              <w:spacing w:before="60"/>
            </w:pPr>
          </w:p>
          <w:p>
            <w:pPr>
              <w:spacing w:after="60" w:before="80"/>
            </w:pPr>
            <w:r>
              <w:rPr>
                <w:rFonts w:ascii="Arial" w:cs="Arial" w:eastAsia="Arial" w:hAnsi="Arial"/>
                <w:b/>
                <w:bCs/>
                <w:color w:val="166534"/>
                <w:sz w:val="20"/>
                <w:szCs w:val="20"/>
              </w:rPr>
              <w:t xml:space="preserve">Temas cubiertos:</w:t>
            </w:r>
          </w:p>
          <w:p>
            <w:pPr>
              <w:pStyle w:val="ListParagraph"/>
              <w:numPr>
                <w:ilvl w:val="0"/>
                <w:numId w:val="2"/>
              </w:numPr>
              <w:spacing w:after="40" w:before="40"/>
            </w:pPr>
            <w:r>
              <w:rPr>
                <w:rFonts w:ascii="Arial" w:cs="Arial" w:eastAsia="Arial" w:hAnsi="Arial"/>
                <w:color w:val="374151"/>
                <w:sz w:val="20"/>
                <w:szCs w:val="20"/>
              </w:rPr>
              <w:t xml:space="preserve">Contraseñas seguras: qué hace una contraseña robusta, cómo usar el gestor de contraseñas.</w:t>
            </w:r>
          </w:p>
          <w:p>
            <w:pPr>
              <w:pStyle w:val="ListParagraph"/>
              <w:numPr>
                <w:ilvl w:val="0"/>
                <w:numId w:val="2"/>
              </w:numPr>
              <w:spacing w:after="40" w:before="40"/>
            </w:pPr>
            <w:r>
              <w:rPr>
                <w:rFonts w:ascii="Arial" w:cs="Arial" w:eastAsia="Arial" w:hAnsi="Arial"/>
                <w:color w:val="374151"/>
                <w:sz w:val="20"/>
                <w:szCs w:val="20"/>
              </w:rPr>
              <w:t xml:space="preserve">MFA: qué es, cómo activarlo, por qué es obligatorio.</w:t>
            </w:r>
          </w:p>
          <w:p>
            <w:pPr>
              <w:pStyle w:val="ListParagraph"/>
              <w:numPr>
                <w:ilvl w:val="0"/>
                <w:numId w:val="2"/>
              </w:numPr>
              <w:spacing w:after="40" w:before="40"/>
            </w:pPr>
            <w:r>
              <w:rPr>
                <w:rFonts w:ascii="Arial" w:cs="Arial" w:eastAsia="Arial" w:hAnsi="Arial"/>
                <w:color w:val="374151"/>
                <w:sz w:val="20"/>
                <w:szCs w:val="20"/>
              </w:rPr>
              <w:t xml:space="preserve">Phishing e ingeniería social: cómo identificar un correo malicioso, qué hacer si se recibe uno. Ejemplos reales del sector tecnológico.</w:t>
            </w:r>
          </w:p>
          <w:p>
            <w:pPr>
              <w:pStyle w:val="ListParagraph"/>
              <w:numPr>
                <w:ilvl w:val="0"/>
                <w:numId w:val="2"/>
              </w:numPr>
              <w:spacing w:after="40" w:before="40"/>
            </w:pPr>
            <w:r>
              <w:rPr>
                <w:rFonts w:ascii="Arial" w:cs="Arial" w:eastAsia="Arial" w:hAnsi="Arial"/>
                <w:color w:val="374151"/>
                <w:sz w:val="20"/>
                <w:szCs w:val="20"/>
              </w:rPr>
              <w:t xml:space="preserve">Ejercicio práctico: identificar correos de phishing en un set de 10 ejemplos.</w:t>
            </w:r>
          </w:p>
          <w:p>
            <w:pPr>
              <w:pStyle w:val="ListParagraph"/>
              <w:numPr>
                <w:ilvl w:val="0"/>
                <w:numId w:val="2"/>
              </w:numPr>
              <w:spacing w:after="40" w:before="40"/>
            </w:pPr>
            <w:r>
              <w:rPr>
                <w:rFonts w:ascii="Arial" w:cs="Arial" w:eastAsia="Arial" w:hAnsi="Arial"/>
                <w:color w:val="374151"/>
                <w:sz w:val="20"/>
                <w:szCs w:val="20"/>
              </w:rPr>
              <w:t xml:space="preserve">Clasificación de información: los 4 niveles, cómo etiquetar, cómo enviar información confidencial.</w:t>
            </w:r>
          </w:p>
          <w:p>
            <w:pPr>
              <w:pStyle w:val="ListParagraph"/>
              <w:numPr>
                <w:ilvl w:val="0"/>
                <w:numId w:val="2"/>
              </w:numPr>
              <w:spacing w:after="40" w:before="40"/>
            </w:pPr>
            <w:r>
              <w:rPr>
                <w:rFonts w:ascii="Arial" w:cs="Arial" w:eastAsia="Arial" w:hAnsi="Arial"/>
                <w:color w:val="374151"/>
                <w:sz w:val="20"/>
                <w:szCs w:val="20"/>
              </w:rPr>
              <w:t xml:space="preserve">Correo seguro: triple verificación de destinatarios, no abrir adjuntos sospechosos. Lección del Incidente II.</w:t>
            </w:r>
          </w:p>
          <w:p>
            <w:pPr>
              <w:pStyle w:val="ListParagraph"/>
              <w:numPr>
                <w:ilvl w:val="0"/>
                <w:numId w:val="2"/>
              </w:numPr>
              <w:spacing w:after="40" w:before="40"/>
            </w:pPr>
            <w:r>
              <w:rPr>
                <w:rFonts w:ascii="Arial" w:cs="Arial" w:eastAsia="Arial" w:hAnsi="Arial"/>
                <w:color w:val="374151"/>
                <w:sz w:val="20"/>
                <w:szCs w:val="20"/>
              </w:rPr>
              <w:t xml:space="preserve">Escritorios y pantallas limpias: bloqueo automático, cierre de sesión al salir. Lección del Incidente I.</w:t>
            </w:r>
          </w:p>
          <w:p>
            <w:pPr>
              <w:pStyle w:val="ListParagraph"/>
              <w:numPr>
                <w:ilvl w:val="0"/>
                <w:numId w:val="2"/>
              </w:numPr>
              <w:spacing w:after="40" w:before="40"/>
            </w:pPr>
            <w:r>
              <w:rPr>
                <w:rFonts w:ascii="Arial" w:cs="Arial" w:eastAsia="Arial" w:hAnsi="Arial"/>
                <w:color w:val="374151"/>
                <w:sz w:val="20"/>
                <w:szCs w:val="20"/>
              </w:rPr>
              <w:t xml:space="preserve">Dispositivos corporativos: qué está permitido y qué no. Riesgos del USB y BYOD.</w:t>
            </w:r>
          </w:p>
          <w:p>
            <w:pPr>
              <w:pStyle w:val="ListParagraph"/>
              <w:numPr>
                <w:ilvl w:val="0"/>
                <w:numId w:val="2"/>
              </w:numPr>
              <w:spacing w:after="40" w:before="40"/>
            </w:pPr>
            <w:r>
              <w:rPr>
                <w:rFonts w:ascii="Arial" w:cs="Arial" w:eastAsia="Arial" w:hAnsi="Arial"/>
                <w:color w:val="374151"/>
                <w:sz w:val="20"/>
                <w:szCs w:val="20"/>
              </w:rPr>
              <w:t xml:space="preserve">Evaluación: ejercicio de clasificación de 5 escenarios reales. Todos deben estar correctos.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3412" w:sz="10"/>
              <w:left w:val="single" w:color="9A3412" w:sz="10"/>
              <w:bottom w:val="single" w:color="9A3412" w:sz="10"/>
              <w:right w:val="single" w:color="9A3412" w:sz="10"/>
            </w:tcBorders>
            <w:shd w:fill="FFEDD5" w:val="clear"/>
            <w:tcMar>
              <w:top w:type="dxa" w:w="120"/>
              <w:left w:type="dxa" w:w="160"/>
              <w:bottom w:type="dxa" w:w="120"/>
              <w:right w:type="dxa" w:w="160"/>
            </w:tcMar>
          </w:tcPr>
          <w:p>
            <w:pPr>
              <w:spacing w:after="100" w:before="60"/>
            </w:pPr>
            <w:r>
              <w:rPr>
                <w:rFonts w:ascii="Arial" w:cs="Arial" w:eastAsia="Arial" w:hAnsi="Arial"/>
                <w:b/>
                <w:bCs/>
                <w:color w:val="9A3412"/>
                <w:sz w:val="24"/>
                <w:szCs w:val="24"/>
              </w:rPr>
              <w:t xml:space="preserve">MOD-03 — </w:t>
            </w:r>
            <w:r>
              <w:rPr>
                <w:rFonts w:ascii="Arial" w:cs="Arial" w:eastAsia="Arial" w:hAnsi="Arial"/>
                <w:b/>
                <w:bCs/>
                <w:color w:val="9A3412"/>
                <w:sz w:val="24"/>
                <w:szCs w:val="24"/>
              </w:rPr>
              <w:t xml:space="preserve">Protección de Datos Personales — LFPDPPP</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c>
                <w:tcPr>
                  <w:tcW w:type="dxa" w:w="22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Audiencia objetivo</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Empleados que manejan datos personales de clientes o empleados: Atención a Clientes, Administración, RRHH, Dirección General y CISO</w:t>
                  </w:r>
                </w:p>
              </w:tc>
            </w:tr>
            <w:tr>
              <w:tc>
                <w:tcPr>
                  <w:tcW w:type="dxa" w:w="22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Duración estimada</w:t>
                  </w:r>
                </w:p>
              </w:tc>
              <w:tc>
                <w:tcPr>
                  <w:tcW w:type="dxa" w:w="68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1.5 horas (virtual o presencial)</w:t>
                  </w:r>
                </w:p>
              </w:tc>
            </w:tr>
            <w:tr>
              <w:tc>
                <w:tcPr>
                  <w:tcW w:type="dxa" w:w="2200"/>
                  <w:tcBorders>
                    <w:top w:val="single" w:color="9A3412" w:sz="4"/>
                    <w:left w:val="single" w:color="9A3412" w:sz="4"/>
                    <w:bottom w:val="single" w:color="9A3412" w:sz="4"/>
                    <w:right w:val="single" w:color="9A3412" w:sz="4"/>
                  </w:tcBorders>
                  <w:shd w:fill="FFFFFF" w:val="clear"/>
                  <w:tcMar>
                    <w:top w:type="dxa" w:w="70"/>
                    <w:left w:type="dxa" w:w="120"/>
                    <w:bottom w:type="dxa" w:w="70"/>
                    <w:right w:type="dxa" w:w="120"/>
                  </w:tcMar>
                </w:tcPr>
                <w:p>
                  <w:r>
                    <w:rPr>
                      <w:rFonts w:ascii="Arial" w:cs="Arial" w:eastAsia="Arial" w:hAnsi="Arial"/>
                      <w:b/>
                      <w:bCs/>
                      <w:color w:val="9A3412"/>
                      <w:sz w:val="19"/>
                      <w:szCs w:val="19"/>
                    </w:rPr>
                    <w:t xml:space="preserve">Modalidad</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Sesión expositiva con casos prácticos y preguntas de reflexión.</w:t>
                  </w:r>
                </w:p>
              </w:tc>
            </w:tr>
          </w:tbl>
          <w:p>
            <w:pPr>
              <w:spacing w:before="80"/>
            </w:pPr>
          </w:p>
          <w:p>
            <w:pPr>
              <w:spacing w:after="60" w:before="80"/>
            </w:pPr>
            <w:r>
              <w:rPr>
                <w:rFonts w:ascii="Arial" w:cs="Arial" w:eastAsia="Arial" w:hAnsi="Arial"/>
                <w:b/>
                <w:bCs/>
                <w:color w:val="9A3412"/>
                <w:sz w:val="20"/>
                <w:szCs w:val="20"/>
              </w:rPr>
              <w:t xml:space="preserve">Objetivos de aprendizaje:</w:t>
            </w:r>
          </w:p>
          <w:p>
            <w:pPr>
              <w:pStyle w:val="ListParagraph"/>
              <w:numPr>
                <w:ilvl w:val="0"/>
                <w:numId w:val="3"/>
              </w:numPr>
              <w:spacing w:after="40" w:before="40"/>
            </w:pPr>
            <w:r>
              <w:rPr>
                <w:rFonts w:ascii="Arial" w:cs="Arial" w:eastAsia="Arial" w:hAnsi="Arial"/>
                <w:color w:val="374151"/>
                <w:sz w:val="20"/>
                <w:szCs w:val="20"/>
              </w:rPr>
              <w:t xml:space="preserve">Conocer qué datos personales maneja NovaTech y cuáles son sus obligaciones bajo la LFPDPPP.</w:t>
            </w:r>
          </w:p>
          <w:p>
            <w:pPr>
              <w:pStyle w:val="ListParagraph"/>
              <w:numPr>
                <w:ilvl w:val="0"/>
                <w:numId w:val="3"/>
              </w:numPr>
              <w:spacing w:after="40" w:before="40"/>
            </w:pPr>
            <w:r>
              <w:rPr>
                <w:rFonts w:ascii="Arial" w:cs="Arial" w:eastAsia="Arial" w:hAnsi="Arial"/>
                <w:color w:val="374151"/>
                <w:sz w:val="20"/>
                <w:szCs w:val="20"/>
              </w:rPr>
              <w:t xml:space="preserve">Entender los principios de tratamiento de datos: licitud, finalidad, proporcionalidad, responsabilidad.</w:t>
            </w:r>
          </w:p>
          <w:p>
            <w:pPr>
              <w:pStyle w:val="ListParagraph"/>
              <w:numPr>
                <w:ilvl w:val="0"/>
                <w:numId w:val="3"/>
              </w:numPr>
              <w:spacing w:after="40" w:before="40"/>
            </w:pPr>
            <w:r>
              <w:rPr>
                <w:rFonts w:ascii="Arial" w:cs="Arial" w:eastAsia="Arial" w:hAnsi="Arial"/>
                <w:color w:val="374151"/>
                <w:sz w:val="20"/>
                <w:szCs w:val="20"/>
              </w:rPr>
              <w:t xml:space="preserve">Saber cómo atender los Derechos ARCO de los titulares.</w:t>
            </w:r>
          </w:p>
          <w:p>
            <w:pPr>
              <w:pStyle w:val="ListParagraph"/>
              <w:numPr>
                <w:ilvl w:val="0"/>
                <w:numId w:val="3"/>
              </w:numPr>
              <w:spacing w:after="40" w:before="40"/>
            </w:pPr>
            <w:r>
              <w:rPr>
                <w:rFonts w:ascii="Arial" w:cs="Arial" w:eastAsia="Arial" w:hAnsi="Arial"/>
                <w:color w:val="374151"/>
                <w:sz w:val="20"/>
                <w:szCs w:val="20"/>
              </w:rPr>
              <w:t xml:space="preserve">Conocer qué hacer ante una vulnerabilidad de seguridad de datos personales (incidente).</w:t>
            </w:r>
          </w:p>
          <w:p>
            <w:pPr>
              <w:pStyle w:val="ListParagraph"/>
              <w:numPr>
                <w:ilvl w:val="0"/>
                <w:numId w:val="3"/>
              </w:numPr>
              <w:spacing w:after="40" w:before="40"/>
            </w:pPr>
            <w:r>
              <w:rPr>
                <w:rFonts w:ascii="Arial" w:cs="Arial" w:eastAsia="Arial" w:hAnsi="Arial"/>
                <w:color w:val="374151"/>
                <w:sz w:val="20"/>
                <w:szCs w:val="20"/>
              </w:rPr>
              <w:t xml:space="preserve">Aplicar buenas prácticas de privacidad en el trabajo diario.</w:t>
            </w:r>
          </w:p>
          <w:p>
            <w:pPr>
              <w:spacing w:before="60"/>
            </w:pPr>
          </w:p>
          <w:p>
            <w:pPr>
              <w:spacing w:after="60" w:before="80"/>
            </w:pPr>
            <w:r>
              <w:rPr>
                <w:rFonts w:ascii="Arial" w:cs="Arial" w:eastAsia="Arial" w:hAnsi="Arial"/>
                <w:b/>
                <w:bCs/>
                <w:color w:val="9A3412"/>
                <w:sz w:val="20"/>
                <w:szCs w:val="20"/>
              </w:rPr>
              <w:t xml:space="preserve">Temas cubiertos:</w:t>
            </w:r>
          </w:p>
          <w:p>
            <w:pPr>
              <w:pStyle w:val="ListParagraph"/>
              <w:numPr>
                <w:ilvl w:val="0"/>
                <w:numId w:val="2"/>
              </w:numPr>
              <w:spacing w:after="40" w:before="40"/>
            </w:pPr>
            <w:r>
              <w:rPr>
                <w:rFonts w:ascii="Arial" w:cs="Arial" w:eastAsia="Arial" w:hAnsi="Arial"/>
                <w:color w:val="374151"/>
                <w:sz w:val="20"/>
                <w:szCs w:val="20"/>
              </w:rPr>
              <w:t xml:space="preserve">Qué es la LFPDPPP y por qué aplica a NovaTech Solutions.</w:t>
            </w:r>
          </w:p>
          <w:p>
            <w:pPr>
              <w:pStyle w:val="ListParagraph"/>
              <w:numPr>
                <w:ilvl w:val="0"/>
                <w:numId w:val="2"/>
              </w:numPr>
              <w:spacing w:after="40" w:before="40"/>
            </w:pPr>
            <w:r>
              <w:rPr>
                <w:rFonts w:ascii="Arial" w:cs="Arial" w:eastAsia="Arial" w:hAnsi="Arial"/>
                <w:color w:val="374151"/>
                <w:sz w:val="20"/>
                <w:szCs w:val="20"/>
              </w:rPr>
              <w:t xml:space="preserve">Datos personales que maneja NovaTech: clientes y empleados.</w:t>
            </w:r>
          </w:p>
          <w:p>
            <w:pPr>
              <w:pStyle w:val="ListParagraph"/>
              <w:numPr>
                <w:ilvl w:val="0"/>
                <w:numId w:val="2"/>
              </w:numPr>
              <w:spacing w:after="40" w:before="40"/>
            </w:pPr>
            <w:r>
              <w:rPr>
                <w:rFonts w:ascii="Arial" w:cs="Arial" w:eastAsia="Arial" w:hAnsi="Arial"/>
                <w:color w:val="374151"/>
                <w:sz w:val="20"/>
                <w:szCs w:val="20"/>
              </w:rPr>
              <w:t xml:space="preserve">Los principios del tratamiento de datos: licitud, consentimiento, finalidad, proporcionalidad, responsabilidad.</w:t>
            </w:r>
          </w:p>
          <w:p>
            <w:pPr>
              <w:pStyle w:val="ListParagraph"/>
              <w:numPr>
                <w:ilvl w:val="0"/>
                <w:numId w:val="2"/>
              </w:numPr>
              <w:spacing w:after="40" w:before="40"/>
            </w:pPr>
            <w:r>
              <w:rPr>
                <w:rFonts w:ascii="Arial" w:cs="Arial" w:eastAsia="Arial" w:hAnsi="Arial"/>
                <w:color w:val="374151"/>
                <w:sz w:val="20"/>
                <w:szCs w:val="20"/>
              </w:rPr>
              <w:t xml:space="preserve">El Aviso de Privacidad de NovaTech: qué dice, dónde está, para qué sirve.</w:t>
            </w:r>
          </w:p>
          <w:p>
            <w:pPr>
              <w:pStyle w:val="ListParagraph"/>
              <w:numPr>
                <w:ilvl w:val="0"/>
                <w:numId w:val="2"/>
              </w:numPr>
              <w:spacing w:after="40" w:before="40"/>
            </w:pPr>
            <w:r>
              <w:rPr>
                <w:rFonts w:ascii="Arial" w:cs="Arial" w:eastAsia="Arial" w:hAnsi="Arial"/>
                <w:color w:val="374151"/>
                <w:sz w:val="20"/>
                <w:szCs w:val="20"/>
              </w:rPr>
              <w:t xml:space="preserve">Derechos ARCO: qué son, cómo atenderlos, a quién reportar la solicitud.</w:t>
            </w:r>
          </w:p>
          <w:p>
            <w:pPr>
              <w:pStyle w:val="ListParagraph"/>
              <w:numPr>
                <w:ilvl w:val="0"/>
                <w:numId w:val="2"/>
              </w:numPr>
              <w:spacing w:after="40" w:before="40"/>
            </w:pPr>
            <w:r>
              <w:rPr>
                <w:rFonts w:ascii="Arial" w:cs="Arial" w:eastAsia="Arial" w:hAnsi="Arial"/>
                <w:color w:val="374151"/>
                <w:sz w:val="20"/>
                <w:szCs w:val="20"/>
              </w:rPr>
              <w:t xml:space="preserve">Vulnerabilidades de seguridad de datos personales: qué hacer, a quién reportar, plazos de notificación al INAI.</w:t>
            </w:r>
          </w:p>
          <w:p>
            <w:pPr>
              <w:pStyle w:val="ListParagraph"/>
              <w:numPr>
                <w:ilvl w:val="0"/>
                <w:numId w:val="2"/>
              </w:numPr>
              <w:spacing w:after="40" w:before="40"/>
            </w:pPr>
            <w:r>
              <w:rPr>
                <w:rFonts w:ascii="Arial" w:cs="Arial" w:eastAsia="Arial" w:hAnsi="Arial"/>
                <w:color w:val="374151"/>
                <w:sz w:val="20"/>
                <w:szCs w:val="20"/>
              </w:rPr>
              <w:t xml:space="preserve">Buenas prácticas en el manejo diario de datos personales: minimización, cifrado, no compartir con no autorizados.</w:t>
            </w:r>
          </w:p>
          <w:p>
            <w:pPr>
              <w:pStyle w:val="ListParagraph"/>
              <w:numPr>
                <w:ilvl w:val="0"/>
                <w:numId w:val="2"/>
              </w:numPr>
              <w:spacing w:after="40" w:before="40"/>
            </w:pPr>
            <w:r>
              <w:rPr>
                <w:rFonts w:ascii="Arial" w:cs="Arial" w:eastAsia="Arial" w:hAnsi="Arial"/>
                <w:color w:val="374151"/>
                <w:sz w:val="20"/>
                <w:szCs w:val="20"/>
              </w:rPr>
              <w:t xml:space="preserve">El Incidente II de NovaTech como caso práctico: qué salió mal, qué obligaciones generó, cómo se habría manejado correctamente.</w:t>
            </w:r>
          </w:p>
          <w:p>
            <w:pPr>
              <w:pStyle w:val="ListParagraph"/>
              <w:numPr>
                <w:ilvl w:val="0"/>
                <w:numId w:val="2"/>
              </w:numPr>
              <w:spacing w:after="40" w:before="40"/>
            </w:pPr>
            <w:r>
              <w:rPr>
                <w:rFonts w:ascii="Arial" w:cs="Arial" w:eastAsia="Arial" w:hAnsi="Arial"/>
                <w:color w:val="374151"/>
                <w:sz w:val="20"/>
                <w:szCs w:val="20"/>
              </w:rPr>
              <w:t xml:space="preserve">Evaluación: 8 preguntas de opción múltiple + 1 caso práctico. Nota mínima: 80%.</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10"/>
              <w:left w:val="single" w:color="5B21B6" w:sz="10"/>
              <w:bottom w:val="single" w:color="5B21B6" w:sz="10"/>
              <w:right w:val="single" w:color="5B21B6" w:sz="10"/>
            </w:tcBorders>
            <w:shd w:fill="EDE9FE" w:val="clear"/>
            <w:tcMar>
              <w:top w:type="dxa" w:w="120"/>
              <w:left w:type="dxa" w:w="160"/>
              <w:bottom w:type="dxa" w:w="120"/>
              <w:right w:type="dxa" w:w="160"/>
            </w:tcMar>
          </w:tcPr>
          <w:p>
            <w:pPr>
              <w:spacing w:after="100" w:before="60"/>
            </w:pPr>
            <w:r>
              <w:rPr>
                <w:rFonts w:ascii="Arial" w:cs="Arial" w:eastAsia="Arial" w:hAnsi="Arial"/>
                <w:b/>
                <w:bCs/>
                <w:color w:val="5B21B6"/>
                <w:sz w:val="24"/>
                <w:szCs w:val="24"/>
              </w:rPr>
              <w:t xml:space="preserve">MOD-04 — </w:t>
            </w:r>
            <w:r>
              <w:rPr>
                <w:rFonts w:ascii="Arial" w:cs="Arial" w:eastAsia="Arial" w:hAnsi="Arial"/>
                <w:b/>
                <w:bCs/>
                <w:color w:val="5B21B6"/>
                <w:sz w:val="24"/>
                <w:szCs w:val="24"/>
              </w:rPr>
              <w:t xml:space="preserve">Desarrollo Seguro de Software</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c>
                <w:tcPr>
                  <w:tcW w:type="dxa" w:w="22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Audiencia objetivo</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Desarrolladores de software, QA (Quality Assurance) y equipo DevOps de NovaTech Solutions</w:t>
                  </w:r>
                </w:p>
              </w:tc>
            </w:tr>
            <w:tr>
              <w:tc>
                <w:tcPr>
                  <w:tcW w:type="dxa" w:w="22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Duración estimada</w:t>
                  </w:r>
                </w:p>
              </w:tc>
              <w:tc>
                <w:tcPr>
                  <w:tcW w:type="dxa" w:w="68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3 horas (taller técnico presencial o virtual)</w:t>
                  </w:r>
                </w:p>
              </w:tc>
            </w:tr>
            <w:tr>
              <w:tc>
                <w:tcPr>
                  <w:tcW w:type="dxa" w:w="2200"/>
                  <w:tcBorders>
                    <w:top w:val="single" w:color="5B21B6" w:sz="4"/>
                    <w:left w:val="single" w:color="5B21B6" w:sz="4"/>
                    <w:bottom w:val="single" w:color="5B21B6" w:sz="4"/>
                    <w:right w:val="single" w:color="5B21B6" w:sz="4"/>
                  </w:tcBorders>
                  <w:shd w:fill="FFFFFF" w:val="clear"/>
                  <w:tcMar>
                    <w:top w:type="dxa" w:w="70"/>
                    <w:left w:type="dxa" w:w="120"/>
                    <w:bottom w:type="dxa" w:w="70"/>
                    <w:right w:type="dxa" w:w="120"/>
                  </w:tcMar>
                </w:tcPr>
                <w:p>
                  <w:r>
                    <w:rPr>
                      <w:rFonts w:ascii="Arial" w:cs="Arial" w:eastAsia="Arial" w:hAnsi="Arial"/>
                      <w:b/>
                      <w:bCs/>
                      <w:color w:val="5B21B6"/>
                      <w:sz w:val="19"/>
                      <w:szCs w:val="19"/>
                    </w:rPr>
                    <w:t xml:space="preserve">Modalidad</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Taller técnico con ejercicios prácticos en código real. Se revisan fragmentos de código de ejemplo con vulnerabilidades.</w:t>
                  </w:r>
                </w:p>
              </w:tc>
            </w:tr>
          </w:tbl>
          <w:p>
            <w:pPr>
              <w:spacing w:before="80"/>
            </w:pPr>
          </w:p>
          <w:p>
            <w:pPr>
              <w:spacing w:after="60" w:before="80"/>
            </w:pPr>
            <w:r>
              <w:rPr>
                <w:rFonts w:ascii="Arial" w:cs="Arial" w:eastAsia="Arial" w:hAnsi="Arial"/>
                <w:b/>
                <w:bCs/>
                <w:color w:val="5B21B6"/>
                <w:sz w:val="20"/>
                <w:szCs w:val="20"/>
              </w:rPr>
              <w:t xml:space="preserve">Objetivos de aprendizaje:</w:t>
            </w:r>
          </w:p>
          <w:p>
            <w:pPr>
              <w:pStyle w:val="ListParagraph"/>
              <w:numPr>
                <w:ilvl w:val="0"/>
                <w:numId w:val="3"/>
              </w:numPr>
              <w:spacing w:after="40" w:before="40"/>
            </w:pPr>
            <w:r>
              <w:rPr>
                <w:rFonts w:ascii="Arial" w:cs="Arial" w:eastAsia="Arial" w:hAnsi="Arial"/>
                <w:color w:val="374151"/>
                <w:sz w:val="20"/>
                <w:szCs w:val="20"/>
              </w:rPr>
              <w:t xml:space="preserve">Aplicar los principios de desarrollo seguro (OWASP Top 10) en el trabajo diario.</w:t>
            </w:r>
          </w:p>
          <w:p>
            <w:pPr>
              <w:pStyle w:val="ListParagraph"/>
              <w:numPr>
                <w:ilvl w:val="0"/>
                <w:numId w:val="3"/>
              </w:numPr>
              <w:spacing w:after="40" w:before="40"/>
            </w:pPr>
            <w:r>
              <w:rPr>
                <w:rFonts w:ascii="Arial" w:cs="Arial" w:eastAsia="Arial" w:hAnsi="Arial"/>
                <w:color w:val="374151"/>
                <w:sz w:val="20"/>
                <w:szCs w:val="20"/>
              </w:rPr>
              <w:t xml:space="preserve">Identificar y evitar el hardcoding de credenciales y secretos en el código.</w:t>
            </w:r>
          </w:p>
          <w:p>
            <w:pPr>
              <w:pStyle w:val="ListParagraph"/>
              <w:numPr>
                <w:ilvl w:val="0"/>
                <w:numId w:val="3"/>
              </w:numPr>
              <w:spacing w:after="40" w:before="40"/>
            </w:pPr>
            <w:r>
              <w:rPr>
                <w:rFonts w:ascii="Arial" w:cs="Arial" w:eastAsia="Arial" w:hAnsi="Arial"/>
                <w:color w:val="374151"/>
                <w:sz w:val="20"/>
                <w:szCs w:val="20"/>
              </w:rPr>
              <w:t xml:space="preserve">Comprender y aplicar el proceso de gestión de cambios de NovaTech para despliegues en producción.</w:t>
            </w:r>
          </w:p>
          <w:p>
            <w:pPr>
              <w:pStyle w:val="ListParagraph"/>
              <w:numPr>
                <w:ilvl w:val="0"/>
                <w:numId w:val="3"/>
              </w:numPr>
              <w:spacing w:after="40" w:before="40"/>
            </w:pPr>
            <w:r>
              <w:rPr>
                <w:rFonts w:ascii="Arial" w:cs="Arial" w:eastAsia="Arial" w:hAnsi="Arial"/>
                <w:color w:val="374151"/>
                <w:sz w:val="20"/>
                <w:szCs w:val="20"/>
              </w:rPr>
              <w:t xml:space="preserve">Usar herramientas de escaneo de secretos y análisis de dependencias en el pipeline CI/CD.</w:t>
            </w:r>
          </w:p>
          <w:p>
            <w:pPr>
              <w:pStyle w:val="ListParagraph"/>
              <w:numPr>
                <w:ilvl w:val="0"/>
                <w:numId w:val="3"/>
              </w:numPr>
              <w:spacing w:after="40" w:before="40"/>
            </w:pPr>
            <w:r>
              <w:rPr>
                <w:rFonts w:ascii="Arial" w:cs="Arial" w:eastAsia="Arial" w:hAnsi="Arial"/>
                <w:color w:val="374151"/>
                <w:sz w:val="20"/>
                <w:szCs w:val="20"/>
              </w:rPr>
              <w:t xml:space="preserve">Aplicar la separación estricta de ambientes dev/staging/prod.</w:t>
            </w:r>
          </w:p>
          <w:p>
            <w:pPr>
              <w:spacing w:before="60"/>
            </w:pPr>
          </w:p>
          <w:p>
            <w:pPr>
              <w:spacing w:after="60" w:before="80"/>
            </w:pPr>
            <w:r>
              <w:rPr>
                <w:rFonts w:ascii="Arial" w:cs="Arial" w:eastAsia="Arial" w:hAnsi="Arial"/>
                <w:b/>
                <w:bCs/>
                <w:color w:val="5B21B6"/>
                <w:sz w:val="20"/>
                <w:szCs w:val="20"/>
              </w:rPr>
              <w:t xml:space="preserve">Temas cubiertos:</w:t>
            </w:r>
          </w:p>
          <w:p>
            <w:pPr>
              <w:pStyle w:val="ListParagraph"/>
              <w:numPr>
                <w:ilvl w:val="0"/>
                <w:numId w:val="2"/>
              </w:numPr>
              <w:spacing w:after="40" w:before="40"/>
            </w:pPr>
            <w:r>
              <w:rPr>
                <w:rFonts w:ascii="Arial" w:cs="Arial" w:eastAsia="Arial" w:hAnsi="Arial"/>
                <w:color w:val="374151"/>
                <w:sz w:val="20"/>
                <w:szCs w:val="20"/>
              </w:rPr>
              <w:t xml:space="preserve">Por qué la seguridad debe estar en el código desde el diseño: Security by Design.</w:t>
            </w:r>
          </w:p>
          <w:p>
            <w:pPr>
              <w:pStyle w:val="ListParagraph"/>
              <w:numPr>
                <w:ilvl w:val="0"/>
                <w:numId w:val="2"/>
              </w:numPr>
              <w:spacing w:after="40" w:before="40"/>
            </w:pPr>
            <w:r>
              <w:rPr>
                <w:rFonts w:ascii="Arial" w:cs="Arial" w:eastAsia="Arial" w:hAnsi="Arial"/>
                <w:color w:val="374151"/>
                <w:sz w:val="20"/>
                <w:szCs w:val="20"/>
              </w:rPr>
              <w:t xml:space="preserve">OWASP Top 10: los 10 riesgos más comunes en aplicaciones web. Ejemplos con código.</w:t>
            </w:r>
          </w:p>
          <w:p>
            <w:pPr>
              <w:pStyle w:val="ListParagraph"/>
              <w:numPr>
                <w:ilvl w:val="0"/>
                <w:numId w:val="2"/>
              </w:numPr>
              <w:spacing w:after="40" w:before="40"/>
            </w:pPr>
            <w:r>
              <w:rPr>
                <w:rFonts w:ascii="Arial" w:cs="Arial" w:eastAsia="Arial" w:hAnsi="Arial"/>
                <w:color w:val="374151"/>
                <w:sz w:val="20"/>
                <w:szCs w:val="20"/>
              </w:rPr>
              <w:t xml:space="preserve">Hardcoding de credenciales: por qué es el error más crítico, cómo encontrarlo, cómo evitarlo. El Incidente I como contexto.</w:t>
            </w:r>
          </w:p>
          <w:p>
            <w:pPr>
              <w:pStyle w:val="ListParagraph"/>
              <w:numPr>
                <w:ilvl w:val="0"/>
                <w:numId w:val="2"/>
              </w:numPr>
              <w:spacing w:after="40" w:before="40"/>
            </w:pPr>
            <w:r>
              <w:rPr>
                <w:rFonts w:ascii="Arial" w:cs="Arial" w:eastAsia="Arial" w:hAnsi="Arial"/>
                <w:color w:val="374151"/>
                <w:sz w:val="20"/>
                <w:szCs w:val="20"/>
              </w:rPr>
              <w:t xml:space="preserve">Ejercicio práctico: escanear un repositorio de ejemplo con TruffleHog y corregir las vulnerabilidades encontradas.</w:t>
            </w:r>
          </w:p>
          <w:p>
            <w:pPr>
              <w:pStyle w:val="ListParagraph"/>
              <w:numPr>
                <w:ilvl w:val="0"/>
                <w:numId w:val="2"/>
              </w:numPr>
              <w:spacing w:after="40" w:before="40"/>
            </w:pPr>
            <w:r>
              <w:rPr>
                <w:rFonts w:ascii="Arial" w:cs="Arial" w:eastAsia="Arial" w:hAnsi="Arial"/>
                <w:color w:val="374151"/>
                <w:sz w:val="20"/>
                <w:szCs w:val="20"/>
              </w:rPr>
              <w:t xml:space="preserve">Gestión de secretos: variables de entorno, servicios de gestión de secretos (AWS Secrets Manager), el gestor de contraseñas corporativo.</w:t>
            </w:r>
          </w:p>
          <w:p>
            <w:pPr>
              <w:pStyle w:val="ListParagraph"/>
              <w:numPr>
                <w:ilvl w:val="0"/>
                <w:numId w:val="2"/>
              </w:numPr>
              <w:spacing w:after="40" w:before="40"/>
            </w:pPr>
            <w:r>
              <w:rPr>
                <w:rFonts w:ascii="Arial" w:cs="Arial" w:eastAsia="Arial" w:hAnsi="Arial"/>
                <w:color w:val="374151"/>
                <w:sz w:val="20"/>
                <w:szCs w:val="20"/>
              </w:rPr>
              <w:t xml:space="preserve">Proceso de gestión de cambios de NovaTech: solicitud, aprobación, staging, deploy, rollback. Lección del Incidente III.</w:t>
            </w:r>
          </w:p>
          <w:p>
            <w:pPr>
              <w:pStyle w:val="ListParagraph"/>
              <w:numPr>
                <w:ilvl w:val="0"/>
                <w:numId w:val="2"/>
              </w:numPr>
              <w:spacing w:after="40" w:before="40"/>
            </w:pPr>
            <w:r>
              <w:rPr>
                <w:rFonts w:ascii="Arial" w:cs="Arial" w:eastAsia="Arial" w:hAnsi="Arial"/>
                <w:color w:val="374151"/>
                <w:sz w:val="20"/>
                <w:szCs w:val="20"/>
              </w:rPr>
              <w:t xml:space="preserve">Separación de ambientes: por qué nunca usamos datos reales de clientes en desarrollo o staging.</w:t>
            </w:r>
          </w:p>
          <w:p>
            <w:pPr>
              <w:pStyle w:val="ListParagraph"/>
              <w:numPr>
                <w:ilvl w:val="0"/>
                <w:numId w:val="2"/>
              </w:numPr>
              <w:spacing w:after="40" w:before="40"/>
            </w:pPr>
            <w:r>
              <w:rPr>
                <w:rFonts w:ascii="Arial" w:cs="Arial" w:eastAsia="Arial" w:hAnsi="Arial"/>
                <w:color w:val="374151"/>
                <w:sz w:val="20"/>
                <w:szCs w:val="20"/>
              </w:rPr>
              <w:t xml:space="preserve">Escaneo de dependencias: cómo usar Dependabot/Snyk para detectar vulnerabilidades en librerías de terceros.</w:t>
            </w:r>
          </w:p>
          <w:p>
            <w:pPr>
              <w:pStyle w:val="ListParagraph"/>
              <w:numPr>
                <w:ilvl w:val="0"/>
                <w:numId w:val="2"/>
              </w:numPr>
              <w:spacing w:after="40" w:before="40"/>
            </w:pPr>
            <w:r>
              <w:rPr>
                <w:rFonts w:ascii="Arial" w:cs="Arial" w:eastAsia="Arial" w:hAnsi="Arial"/>
                <w:color w:val="374151"/>
                <w:sz w:val="20"/>
                <w:szCs w:val="20"/>
              </w:rPr>
              <w:t xml:space="preserve">Code Review orientado a seguridad: qué buscar más allá de la funcionalidad.</w:t>
            </w:r>
          </w:p>
          <w:p>
            <w:pPr>
              <w:pStyle w:val="ListParagraph"/>
              <w:numPr>
                <w:ilvl w:val="0"/>
                <w:numId w:val="2"/>
              </w:numPr>
              <w:spacing w:after="40" w:before="40"/>
            </w:pPr>
            <w:r>
              <w:rPr>
                <w:rFonts w:ascii="Arial" w:cs="Arial" w:eastAsia="Arial" w:hAnsi="Arial"/>
                <w:color w:val="374151"/>
                <w:sz w:val="20"/>
                <w:szCs w:val="20"/>
              </w:rPr>
              <w:t xml:space="preserve">Evaluación técnica: revisar 3 fragmentos de código e identificar todas las vulnerabilidades. 100% de vulnerabilidades críticas deben ser identificadas.</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0"/>
              <w:left w:val="single" w:color="0F766E" w:sz="10"/>
              <w:bottom w:val="single" w:color="0F766E" w:sz="10"/>
              <w:right w:val="single" w:color="0F766E" w:sz="10"/>
            </w:tcBorders>
            <w:shd w:fill="CCFBF1" w:val="clear"/>
            <w:tcMar>
              <w:top w:type="dxa" w:w="120"/>
              <w:left w:type="dxa" w:w="160"/>
              <w:bottom w:type="dxa" w:w="120"/>
              <w:right w:type="dxa" w:w="160"/>
            </w:tcMar>
          </w:tcPr>
          <w:p>
            <w:pPr>
              <w:spacing w:after="100" w:before="60"/>
            </w:pPr>
            <w:r>
              <w:rPr>
                <w:rFonts w:ascii="Arial" w:cs="Arial" w:eastAsia="Arial" w:hAnsi="Arial"/>
                <w:b/>
                <w:bCs/>
                <w:color w:val="0F766E"/>
                <w:sz w:val="24"/>
                <w:szCs w:val="24"/>
              </w:rPr>
              <w:t xml:space="preserve">MOD-05 — </w:t>
            </w:r>
            <w:r>
              <w:rPr>
                <w:rFonts w:ascii="Arial" w:cs="Arial" w:eastAsia="Arial" w:hAnsi="Arial"/>
                <w:b/>
                <w:bCs/>
                <w:color w:val="0F766E"/>
                <w:sz w:val="24"/>
                <w:szCs w:val="24"/>
              </w:rPr>
              <w:t xml:space="preserve">Gestión de Privilegios e Infraestructura Segura</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c>
                <w:tcPr>
                  <w:tcW w:type="dxa" w:w="22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Audiencia objetivo</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Equipo DevOps y administradores de sistemas de NovaTech Solutions</w:t>
                  </w:r>
                </w:p>
              </w:tc>
            </w:tr>
            <w:tr>
              <w:tc>
                <w:tcPr>
                  <w:tcW w:type="dxa" w:w="22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Duración estimada</w:t>
                  </w:r>
                </w:p>
              </w:tc>
              <w:tc>
                <w:tcPr>
                  <w:tcW w:type="dxa" w:w="68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2 horas (taller técnico)</w:t>
                  </w:r>
                </w:p>
              </w:tc>
            </w:tr>
            <w:tr>
              <w:tc>
                <w:tcPr>
                  <w:tcW w:type="dxa" w:w="2200"/>
                  <w:tcBorders>
                    <w:top w:val="single" w:color="0F766E" w:sz="4"/>
                    <w:left w:val="single" w:color="0F766E" w:sz="4"/>
                    <w:bottom w:val="single" w:color="0F766E" w:sz="4"/>
                    <w:right w:val="single" w:color="0F766E" w:sz="4"/>
                  </w:tcBorders>
                  <w:shd w:fill="FFFFFF" w:val="clear"/>
                  <w:tcMar>
                    <w:top w:type="dxa" w:w="70"/>
                    <w:left w:type="dxa" w:w="120"/>
                    <w:bottom w:type="dxa" w:w="70"/>
                    <w:right w:type="dxa" w:w="120"/>
                  </w:tcMar>
                </w:tcPr>
                <w:p>
                  <w:r>
                    <w:rPr>
                      <w:rFonts w:ascii="Arial" w:cs="Arial" w:eastAsia="Arial" w:hAnsi="Arial"/>
                      <w:b/>
                      <w:bCs/>
                      <w:color w:val="0F766E"/>
                      <w:sz w:val="19"/>
                      <w:szCs w:val="19"/>
                    </w:rPr>
                    <w:t xml:space="preserve">Modalidad</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Sesión técnica con demostración en consola y ejercicios de configuración.</w:t>
                  </w:r>
                </w:p>
              </w:tc>
            </w:tr>
          </w:tbl>
          <w:p>
            <w:pPr>
              <w:spacing w:before="80"/>
            </w:pPr>
          </w:p>
          <w:p>
            <w:pPr>
              <w:spacing w:after="60" w:before="80"/>
            </w:pPr>
            <w:r>
              <w:rPr>
                <w:rFonts w:ascii="Arial" w:cs="Arial" w:eastAsia="Arial" w:hAnsi="Arial"/>
                <w:b/>
                <w:bCs/>
                <w:color w:val="0F766E"/>
                <w:sz w:val="20"/>
                <w:szCs w:val="20"/>
              </w:rPr>
              <w:t xml:space="preserve">Objetivos de aprendizaje:</w:t>
            </w:r>
          </w:p>
          <w:p>
            <w:pPr>
              <w:pStyle w:val="ListParagraph"/>
              <w:numPr>
                <w:ilvl w:val="0"/>
                <w:numId w:val="3"/>
              </w:numPr>
              <w:spacing w:after="40" w:before="40"/>
            </w:pPr>
            <w:r>
              <w:rPr>
                <w:rFonts w:ascii="Arial" w:cs="Arial" w:eastAsia="Arial" w:hAnsi="Arial"/>
                <w:color w:val="374151"/>
                <w:sz w:val="20"/>
                <w:szCs w:val="20"/>
              </w:rPr>
              <w:t xml:space="preserve">Aplicar el principio de mínimo privilegio en la configuración de sistemas y accesos en la nube.</w:t>
            </w:r>
          </w:p>
          <w:p>
            <w:pPr>
              <w:pStyle w:val="ListParagraph"/>
              <w:numPr>
                <w:ilvl w:val="0"/>
                <w:numId w:val="3"/>
              </w:numPr>
              <w:spacing w:after="40" w:before="40"/>
            </w:pPr>
            <w:r>
              <w:rPr>
                <w:rFonts w:ascii="Arial" w:cs="Arial" w:eastAsia="Arial" w:hAnsi="Arial"/>
                <w:color w:val="374151"/>
                <w:sz w:val="20"/>
                <w:szCs w:val="20"/>
              </w:rPr>
              <w:t xml:space="preserve">Configurar y gestionar MFA en la consola del proveedor de nube y sistemas críticos.</w:t>
            </w:r>
          </w:p>
          <w:p>
            <w:pPr>
              <w:pStyle w:val="ListParagraph"/>
              <w:numPr>
                <w:ilvl w:val="0"/>
                <w:numId w:val="3"/>
              </w:numPr>
              <w:spacing w:after="40" w:before="40"/>
            </w:pPr>
            <w:r>
              <w:rPr>
                <w:rFonts w:ascii="Arial" w:cs="Arial" w:eastAsia="Arial" w:hAnsi="Arial"/>
                <w:color w:val="374151"/>
                <w:sz w:val="20"/>
                <w:szCs w:val="20"/>
              </w:rPr>
              <w:t xml:space="preserve">Implementar alertas de acceso anómalo y revisión de logs en la infraestructura.</w:t>
            </w:r>
          </w:p>
          <w:p>
            <w:pPr>
              <w:pStyle w:val="ListParagraph"/>
              <w:numPr>
                <w:ilvl w:val="0"/>
                <w:numId w:val="3"/>
              </w:numPr>
              <w:spacing w:after="40" w:before="40"/>
            </w:pPr>
            <w:r>
              <w:rPr>
                <w:rFonts w:ascii="Arial" w:cs="Arial" w:eastAsia="Arial" w:hAnsi="Arial"/>
                <w:color w:val="374151"/>
                <w:sz w:val="20"/>
                <w:szCs w:val="20"/>
              </w:rPr>
              <w:t xml:space="preserve">Aplicar el proceso de gestión de cambios y hardening de servidores.</w:t>
            </w:r>
          </w:p>
          <w:p>
            <w:pPr>
              <w:pStyle w:val="ListParagraph"/>
              <w:numPr>
                <w:ilvl w:val="0"/>
                <w:numId w:val="3"/>
              </w:numPr>
              <w:spacing w:after="40" w:before="40"/>
            </w:pPr>
            <w:r>
              <w:rPr>
                <w:rFonts w:ascii="Arial" w:cs="Arial" w:eastAsia="Arial" w:hAnsi="Arial"/>
                <w:color w:val="374151"/>
                <w:sz w:val="20"/>
                <w:szCs w:val="20"/>
              </w:rPr>
              <w:t xml:space="preserve">Gestionar credenciales de producción de forma segura.</w:t>
            </w:r>
          </w:p>
          <w:p>
            <w:pPr>
              <w:spacing w:before="60"/>
            </w:pPr>
          </w:p>
          <w:p>
            <w:pPr>
              <w:spacing w:after="60" w:before="80"/>
            </w:pPr>
            <w:r>
              <w:rPr>
                <w:rFonts w:ascii="Arial" w:cs="Arial" w:eastAsia="Arial" w:hAnsi="Arial"/>
                <w:b/>
                <w:bCs/>
                <w:color w:val="0F766E"/>
                <w:sz w:val="20"/>
                <w:szCs w:val="20"/>
              </w:rPr>
              <w:t xml:space="preserve">Temas cubiertos:</w:t>
            </w:r>
          </w:p>
          <w:p>
            <w:pPr>
              <w:pStyle w:val="ListParagraph"/>
              <w:numPr>
                <w:ilvl w:val="0"/>
                <w:numId w:val="2"/>
              </w:numPr>
              <w:spacing w:after="40" w:before="40"/>
            </w:pPr>
            <w:r>
              <w:rPr>
                <w:rFonts w:ascii="Arial" w:cs="Arial" w:eastAsia="Arial" w:hAnsi="Arial"/>
                <w:color w:val="374151"/>
                <w:sz w:val="20"/>
                <w:szCs w:val="20"/>
              </w:rPr>
              <w:t xml:space="preserve">El principio de mínimo privilegio: cómo configurar roles en AWS/GCP/Azure con mínimo privilegio.</w:t>
            </w:r>
          </w:p>
          <w:p>
            <w:pPr>
              <w:pStyle w:val="ListParagraph"/>
              <w:numPr>
                <w:ilvl w:val="0"/>
                <w:numId w:val="2"/>
              </w:numPr>
              <w:spacing w:after="40" w:before="40"/>
            </w:pPr>
            <w:r>
              <w:rPr>
                <w:rFonts w:ascii="Arial" w:cs="Arial" w:eastAsia="Arial" w:hAnsi="Arial"/>
                <w:color w:val="374151"/>
                <w:sz w:val="20"/>
                <w:szCs w:val="20"/>
              </w:rPr>
              <w:t xml:space="preserve">MFA en la consola de nube: configuración paso a paso, tokens de hardware vs. apps de autenticación.</w:t>
            </w:r>
          </w:p>
          <w:p>
            <w:pPr>
              <w:pStyle w:val="ListParagraph"/>
              <w:numPr>
                <w:ilvl w:val="0"/>
                <w:numId w:val="2"/>
              </w:numPr>
              <w:spacing w:after="40" w:before="40"/>
            </w:pPr>
            <w:r>
              <w:rPr>
                <w:rFonts w:ascii="Arial" w:cs="Arial" w:eastAsia="Arial" w:hAnsi="Arial"/>
                <w:color w:val="374151"/>
                <w:sz w:val="20"/>
                <w:szCs w:val="20"/>
              </w:rPr>
              <w:t xml:space="preserve">Gestión de claves y secretos en la nube: AWS Secrets Manager, KMS. Por qué nunca en variables de entorno del código.</w:t>
            </w:r>
          </w:p>
          <w:p>
            <w:pPr>
              <w:pStyle w:val="ListParagraph"/>
              <w:numPr>
                <w:ilvl w:val="0"/>
                <w:numId w:val="2"/>
              </w:numPr>
              <w:spacing w:after="40" w:before="40"/>
            </w:pPr>
            <w:r>
              <w:rPr>
                <w:rFonts w:ascii="Arial" w:cs="Arial" w:eastAsia="Arial" w:hAnsi="Arial"/>
                <w:color w:val="374151"/>
                <w:sz w:val="20"/>
                <w:szCs w:val="20"/>
              </w:rPr>
              <w:t xml:space="preserve">Alertas de CloudTrail/Audit Logs: qué monitorear, cómo configurar alertas de acceso anómalo.</w:t>
            </w:r>
          </w:p>
          <w:p>
            <w:pPr>
              <w:pStyle w:val="ListParagraph"/>
              <w:numPr>
                <w:ilvl w:val="0"/>
                <w:numId w:val="2"/>
              </w:numPr>
              <w:spacing w:after="40" w:before="40"/>
            </w:pPr>
            <w:r>
              <w:rPr>
                <w:rFonts w:ascii="Arial" w:cs="Arial" w:eastAsia="Arial" w:hAnsi="Arial"/>
                <w:color w:val="374151"/>
                <w:sz w:val="20"/>
                <w:szCs w:val="20"/>
              </w:rPr>
              <w:t xml:space="preserve">Hardening de servidores: checklist de configuración segura para instancias en la nube.</w:t>
            </w:r>
          </w:p>
          <w:p>
            <w:pPr>
              <w:pStyle w:val="ListParagraph"/>
              <w:numPr>
                <w:ilvl w:val="0"/>
                <w:numId w:val="2"/>
              </w:numPr>
              <w:spacing w:after="40" w:before="40"/>
            </w:pPr>
            <w:r>
              <w:rPr>
                <w:rFonts w:ascii="Arial" w:cs="Arial" w:eastAsia="Arial" w:hAnsi="Arial"/>
                <w:color w:val="374151"/>
                <w:sz w:val="20"/>
                <w:szCs w:val="20"/>
              </w:rPr>
              <w:t xml:space="preserve">Gestión de cambios en producción: el checklist de despliegue seguro de NovaTech.</w:t>
            </w:r>
          </w:p>
          <w:p>
            <w:pPr>
              <w:pStyle w:val="ListParagraph"/>
              <w:numPr>
                <w:ilvl w:val="0"/>
                <w:numId w:val="2"/>
              </w:numPr>
              <w:spacing w:after="40" w:before="40"/>
            </w:pPr>
            <w:r>
              <w:rPr>
                <w:rFonts w:ascii="Arial" w:cs="Arial" w:eastAsia="Arial" w:hAnsi="Arial"/>
                <w:color w:val="374151"/>
                <w:sz w:val="20"/>
                <w:szCs w:val="20"/>
              </w:rPr>
              <w:t xml:space="preserve">Cómo ejecutar un rollback en menos de 30 minutos: práctica con el procedimiento del Documento 7.</w:t>
            </w:r>
          </w:p>
          <w:p>
            <w:pPr>
              <w:pStyle w:val="ListParagraph"/>
              <w:numPr>
                <w:ilvl w:val="0"/>
                <w:numId w:val="2"/>
              </w:numPr>
              <w:spacing w:after="40" w:before="40"/>
            </w:pPr>
            <w:r>
              <w:rPr>
                <w:rFonts w:ascii="Arial" w:cs="Arial" w:eastAsia="Arial" w:hAnsi="Arial"/>
                <w:color w:val="374151"/>
                <w:sz w:val="20"/>
                <w:szCs w:val="20"/>
              </w:rPr>
              <w:t xml:space="preserve">Gestión de accesos SSH: rotación de llaves, passphrase obligatoria, revocación al término de relación laboral.</w:t>
            </w:r>
          </w:p>
          <w:p>
            <w:pPr>
              <w:pStyle w:val="ListParagraph"/>
              <w:numPr>
                <w:ilvl w:val="0"/>
                <w:numId w:val="2"/>
              </w:numPr>
              <w:spacing w:after="40" w:before="40"/>
            </w:pPr>
            <w:r>
              <w:rPr>
                <w:rFonts w:ascii="Arial" w:cs="Arial" w:eastAsia="Arial" w:hAnsi="Arial"/>
                <w:color w:val="374151"/>
                <w:sz w:val="20"/>
                <w:szCs w:val="20"/>
              </w:rPr>
              <w:t xml:space="preserve">Evaluación: configurar correctamente los permisos IAM de un escenario de práctica. Revisión en vivo por el CISO.</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10"/>
              <w:left w:val="single" w:color="92400E" w:sz="10"/>
              <w:bottom w:val="single" w:color="92400E" w:sz="10"/>
              <w:right w:val="single" w:color="92400E" w:sz="10"/>
            </w:tcBorders>
            <w:shd w:fill="FEF3C7" w:val="clear"/>
            <w:tcMar>
              <w:top w:type="dxa" w:w="120"/>
              <w:left w:type="dxa" w:w="160"/>
              <w:bottom w:type="dxa" w:w="120"/>
              <w:right w:type="dxa" w:w="160"/>
            </w:tcMar>
          </w:tcPr>
          <w:p>
            <w:pPr>
              <w:spacing w:after="100" w:before="60"/>
            </w:pPr>
            <w:r>
              <w:rPr>
                <w:rFonts w:ascii="Arial" w:cs="Arial" w:eastAsia="Arial" w:hAnsi="Arial"/>
                <w:b/>
                <w:bCs/>
                <w:color w:val="92400E"/>
                <w:sz w:val="24"/>
                <w:szCs w:val="24"/>
              </w:rPr>
              <w:t xml:space="preserve">MOD-06 — </w:t>
            </w:r>
            <w:r>
              <w:rPr>
                <w:rFonts w:ascii="Arial" w:cs="Arial" w:eastAsia="Arial" w:hAnsi="Arial"/>
                <w:b/>
                <w:bCs/>
                <w:color w:val="92400E"/>
                <w:sz w:val="24"/>
                <w:szCs w:val="24"/>
              </w:rPr>
              <w:t xml:space="preserve">Seguridad para Líderes y Dirección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200"/>
              <w:gridCol w:w="6840"/>
            </w:tblGrid>
            <w:tr>
              <w:tc>
                <w:tcPr>
                  <w:tcW w:type="dxa" w:w="22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Audiencia objetivo</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Director General, Gerentes de área y CISO de NovaTech Solutions</w:t>
                  </w:r>
                </w:p>
              </w:tc>
            </w:tr>
            <w:tr>
              <w:tc>
                <w:tcPr>
                  <w:tcW w:type="dxa" w:w="22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Duración estimada</w:t>
                  </w:r>
                </w:p>
              </w:tc>
              <w:tc>
                <w:tcPr>
                  <w:tcW w:type="dxa" w:w="6840"/>
                  <w:tcBorders>
                    <w:top w:val="single" w:color="CCCCCC" w:sz="3"/>
                    <w:left w:val="single" w:color="CCCCCC" w:sz="3"/>
                    <w:bottom w:val="single" w:color="CCCCCC" w:sz="3"/>
                    <w:right w:val="single" w:color="CCCCCC" w:sz="3"/>
                  </w:tcBorders>
                  <w:shd w:fill="F3F4F6" w:val="clear"/>
                  <w:tcMar>
                    <w:top w:type="dxa" w:w="70"/>
                    <w:left w:type="dxa" w:w="120"/>
                    <w:bottom w:type="dxa" w:w="70"/>
                    <w:right w:type="dxa" w:w="120"/>
                  </w:tcMar>
                </w:tcPr>
                <w:p>
                  <w:r>
                    <w:rPr>
                      <w:rFonts w:ascii="Arial" w:cs="Arial" w:eastAsia="Arial" w:hAnsi="Arial"/>
                      <w:color w:val="374151"/>
                      <w:sz w:val="19"/>
                      <w:szCs w:val="19"/>
                    </w:rPr>
                    <w:t xml:space="preserve">1.5 horas (sesión ejecutiva)</w:t>
                  </w:r>
                </w:p>
              </w:tc>
            </w:tr>
            <w:tr>
              <w:tc>
                <w:tcPr>
                  <w:tcW w:type="dxa" w:w="2200"/>
                  <w:tcBorders>
                    <w:top w:val="single" w:color="92400E" w:sz="4"/>
                    <w:left w:val="single" w:color="92400E" w:sz="4"/>
                    <w:bottom w:val="single" w:color="92400E" w:sz="4"/>
                    <w:right w:val="single" w:color="92400E" w:sz="4"/>
                  </w:tcBorders>
                  <w:shd w:fill="FFFFFF" w:val="clear"/>
                  <w:tcMar>
                    <w:top w:type="dxa" w:w="70"/>
                    <w:left w:type="dxa" w:w="120"/>
                    <w:bottom w:type="dxa" w:w="70"/>
                    <w:right w:type="dxa" w:w="120"/>
                  </w:tcMar>
                </w:tcPr>
                <w:p>
                  <w:r>
                    <w:rPr>
                      <w:rFonts w:ascii="Arial" w:cs="Arial" w:eastAsia="Arial" w:hAnsi="Arial"/>
                      <w:b/>
                      <w:bCs/>
                      <w:color w:val="92400E"/>
                      <w:sz w:val="19"/>
                      <w:szCs w:val="19"/>
                    </w:rPr>
                    <w:t xml:space="preserve">Modalidad</w:t>
                  </w:r>
                </w:p>
              </w:tc>
              <w:tc>
                <w:tcPr>
                  <w:tcW w:type="dxa" w:w="6840"/>
                  <w:tcBorders>
                    <w:top w:val="single" w:color="CCCCCC" w:sz="3"/>
                    <w:left w:val="single" w:color="CCCCCC" w:sz="3"/>
                    <w:bottom w:val="single" w:color="CCCCCC" w:sz="3"/>
                    <w:right w:val="single" w:color="CCCCCC" w:sz="3"/>
                  </w:tcBorders>
                  <w:shd w:fill="FFFFFF" w:val="clear"/>
                  <w:tcMar>
                    <w:top w:type="dxa" w:w="70"/>
                    <w:left w:type="dxa" w:w="120"/>
                    <w:bottom w:type="dxa" w:w="70"/>
                    <w:right w:type="dxa" w:w="120"/>
                  </w:tcMar>
                </w:tcPr>
                <w:p>
                  <w:r>
                    <w:rPr>
                      <w:rFonts w:ascii="Arial" w:cs="Arial" w:eastAsia="Arial" w:hAnsi="Arial"/>
                      <w:color w:val="374151"/>
                      <w:sz w:val="19"/>
                      <w:szCs w:val="19"/>
                    </w:rPr>
                    <w:t xml:space="preserve">Sesión ejecutiva con enfoque en toma de decisiones y responsabilidades legales.</w:t>
                  </w:r>
                </w:p>
              </w:tc>
            </w:tr>
          </w:tbl>
          <w:p>
            <w:pPr>
              <w:spacing w:before="80"/>
            </w:pPr>
          </w:p>
          <w:p>
            <w:pPr>
              <w:spacing w:after="60" w:before="80"/>
            </w:pPr>
            <w:r>
              <w:rPr>
                <w:rFonts w:ascii="Arial" w:cs="Arial" w:eastAsia="Arial" w:hAnsi="Arial"/>
                <w:b/>
                <w:bCs/>
                <w:color w:val="92400E"/>
                <w:sz w:val="20"/>
                <w:szCs w:val="20"/>
              </w:rPr>
              <w:t xml:space="preserve">Objetivos de aprendizaje:</w:t>
            </w:r>
          </w:p>
          <w:p>
            <w:pPr>
              <w:pStyle w:val="ListParagraph"/>
              <w:numPr>
                <w:ilvl w:val="0"/>
                <w:numId w:val="3"/>
              </w:numPr>
              <w:spacing w:after="40" w:before="40"/>
            </w:pPr>
            <w:r>
              <w:rPr>
                <w:rFonts w:ascii="Arial" w:cs="Arial" w:eastAsia="Arial" w:hAnsi="Arial"/>
                <w:color w:val="374151"/>
                <w:sz w:val="20"/>
                <w:szCs w:val="20"/>
              </w:rPr>
              <w:t xml:space="preserve">Comprender el estado del SGSI de NovaTech y su importancia estratégica para el negocio.</w:t>
            </w:r>
          </w:p>
          <w:p>
            <w:pPr>
              <w:pStyle w:val="ListParagraph"/>
              <w:numPr>
                <w:ilvl w:val="0"/>
                <w:numId w:val="3"/>
              </w:numPr>
              <w:spacing w:after="40" w:before="40"/>
            </w:pPr>
            <w:r>
              <w:rPr>
                <w:rFonts w:ascii="Arial" w:cs="Arial" w:eastAsia="Arial" w:hAnsi="Arial"/>
                <w:color w:val="374151"/>
                <w:sz w:val="20"/>
                <w:szCs w:val="20"/>
              </w:rPr>
              <w:t xml:space="preserve">Conocer las responsabilidades legales de los directivos en materia de seguridad y protección de datos.</w:t>
            </w:r>
          </w:p>
          <w:p>
            <w:pPr>
              <w:pStyle w:val="ListParagraph"/>
              <w:numPr>
                <w:ilvl w:val="0"/>
                <w:numId w:val="3"/>
              </w:numPr>
              <w:spacing w:after="40" w:before="40"/>
            </w:pPr>
            <w:r>
              <w:rPr>
                <w:rFonts w:ascii="Arial" w:cs="Arial" w:eastAsia="Arial" w:hAnsi="Arial"/>
                <w:color w:val="374151"/>
                <w:sz w:val="20"/>
                <w:szCs w:val="20"/>
              </w:rPr>
              <w:t xml:space="preserve">Tomar decisiones informadas sobre riesgos de seguridad y asignación de recursos.</w:t>
            </w:r>
          </w:p>
          <w:p>
            <w:pPr>
              <w:pStyle w:val="ListParagraph"/>
              <w:numPr>
                <w:ilvl w:val="0"/>
                <w:numId w:val="3"/>
              </w:numPr>
              <w:spacing w:after="40" w:before="40"/>
            </w:pPr>
            <w:r>
              <w:rPr>
                <w:rFonts w:ascii="Arial" w:cs="Arial" w:eastAsia="Arial" w:hAnsi="Arial"/>
                <w:color w:val="374151"/>
                <w:sz w:val="20"/>
                <w:szCs w:val="20"/>
              </w:rPr>
              <w:t xml:space="preserve">Entender el papel del liderazgo en la construcción de una cultura de seguridad.</w:t>
            </w:r>
          </w:p>
          <w:p>
            <w:pPr>
              <w:pStyle w:val="ListParagraph"/>
              <w:numPr>
                <w:ilvl w:val="0"/>
                <w:numId w:val="3"/>
              </w:numPr>
              <w:spacing w:after="40" w:before="40"/>
            </w:pPr>
            <w:r>
              <w:rPr>
                <w:rFonts w:ascii="Arial" w:cs="Arial" w:eastAsia="Arial" w:hAnsi="Arial"/>
                <w:color w:val="374151"/>
                <w:sz w:val="20"/>
                <w:szCs w:val="20"/>
              </w:rPr>
              <w:t xml:space="preserve">Saber cómo activar el BCP y participar en la gestión de una crisis de seguridad.</w:t>
            </w:r>
          </w:p>
          <w:p>
            <w:pPr>
              <w:spacing w:before="60"/>
            </w:pPr>
          </w:p>
          <w:p>
            <w:pPr>
              <w:spacing w:after="60" w:before="80"/>
            </w:pPr>
            <w:r>
              <w:rPr>
                <w:rFonts w:ascii="Arial" w:cs="Arial" w:eastAsia="Arial" w:hAnsi="Arial"/>
                <w:b/>
                <w:bCs/>
                <w:color w:val="92400E"/>
                <w:sz w:val="20"/>
                <w:szCs w:val="20"/>
              </w:rPr>
              <w:t xml:space="preserve">Temas cubiertos:</w:t>
            </w:r>
          </w:p>
          <w:p>
            <w:pPr>
              <w:pStyle w:val="ListParagraph"/>
              <w:numPr>
                <w:ilvl w:val="0"/>
                <w:numId w:val="2"/>
              </w:numPr>
              <w:spacing w:after="40" w:before="40"/>
            </w:pPr>
            <w:r>
              <w:rPr>
                <w:rFonts w:ascii="Arial" w:cs="Arial" w:eastAsia="Arial" w:hAnsi="Arial"/>
                <w:color w:val="374151"/>
                <w:sz w:val="20"/>
                <w:szCs w:val="20"/>
              </w:rPr>
              <w:t xml:space="preserve">El SGSI de NovaTech: qué se construyó, qué protege, qué se espera del liderazgo.</w:t>
            </w:r>
          </w:p>
          <w:p>
            <w:pPr>
              <w:pStyle w:val="ListParagraph"/>
              <w:numPr>
                <w:ilvl w:val="0"/>
                <w:numId w:val="2"/>
              </w:numPr>
              <w:spacing w:after="40" w:before="40"/>
            </w:pPr>
            <w:r>
              <w:rPr>
                <w:rFonts w:ascii="Arial" w:cs="Arial" w:eastAsia="Arial" w:hAnsi="Arial"/>
                <w:color w:val="374151"/>
                <w:sz w:val="20"/>
                <w:szCs w:val="20"/>
              </w:rPr>
              <w:t xml:space="preserve">El costo real de los incidentes de seguridad: financiero, legal, reputacional. Los 3 incidentes de NovaTech como caso de estudio ejecutivo.</w:t>
            </w:r>
          </w:p>
          <w:p>
            <w:pPr>
              <w:pStyle w:val="ListParagraph"/>
              <w:numPr>
                <w:ilvl w:val="0"/>
                <w:numId w:val="2"/>
              </w:numPr>
              <w:spacing w:after="40" w:before="40"/>
            </w:pPr>
            <w:r>
              <w:rPr>
                <w:rFonts w:ascii="Arial" w:cs="Arial" w:eastAsia="Arial" w:hAnsi="Arial"/>
                <w:color w:val="374151"/>
                <w:sz w:val="20"/>
                <w:szCs w:val="20"/>
              </w:rPr>
              <w:t xml:space="preserve">Responsabilidades legales de la dirección bajo la LFPDPPP: qué pasa si hay una sanción del INAI.</w:t>
            </w:r>
          </w:p>
          <w:p>
            <w:pPr>
              <w:pStyle w:val="ListParagraph"/>
              <w:numPr>
                <w:ilvl w:val="0"/>
                <w:numId w:val="2"/>
              </w:numPr>
              <w:spacing w:after="40" w:before="40"/>
            </w:pPr>
            <w:r>
              <w:rPr>
                <w:rFonts w:ascii="Arial" w:cs="Arial" w:eastAsia="Arial" w:hAnsi="Arial"/>
                <w:color w:val="374151"/>
                <w:sz w:val="20"/>
                <w:szCs w:val="20"/>
              </w:rPr>
              <w:t xml:space="preserve">El apetito de riesgo: qué decisiones de riesgo corresponden a la dirección.</w:t>
            </w:r>
          </w:p>
          <w:p>
            <w:pPr>
              <w:pStyle w:val="ListParagraph"/>
              <w:numPr>
                <w:ilvl w:val="0"/>
                <w:numId w:val="2"/>
              </w:numPr>
              <w:spacing w:after="40" w:before="40"/>
            </w:pPr>
            <w:r>
              <w:rPr>
                <w:rFonts w:ascii="Arial" w:cs="Arial" w:eastAsia="Arial" w:hAnsi="Arial"/>
                <w:color w:val="374151"/>
                <w:sz w:val="20"/>
                <w:szCs w:val="20"/>
              </w:rPr>
              <w:t xml:space="preserve">Cómo actuar en una crisis: el rol del Director de Crisis en el BCP. Árbol de decisiones simplificado.</w:t>
            </w:r>
          </w:p>
          <w:p>
            <w:pPr>
              <w:pStyle w:val="ListParagraph"/>
              <w:numPr>
                <w:ilvl w:val="0"/>
                <w:numId w:val="2"/>
              </w:numPr>
              <w:spacing w:after="40" w:before="40"/>
            </w:pPr>
            <w:r>
              <w:rPr>
                <w:rFonts w:ascii="Arial" w:cs="Arial" w:eastAsia="Arial" w:hAnsi="Arial"/>
                <w:color w:val="374151"/>
                <w:sz w:val="20"/>
                <w:szCs w:val="20"/>
              </w:rPr>
              <w:t xml:space="preserve">Cultura de seguridad: cómo el comportamiento de los líderes moldea el comportamiento de toda la organización.</w:t>
            </w:r>
          </w:p>
          <w:p>
            <w:pPr>
              <w:pStyle w:val="ListParagraph"/>
              <w:numPr>
                <w:ilvl w:val="0"/>
                <w:numId w:val="2"/>
              </w:numPr>
              <w:spacing w:after="40" w:before="40"/>
            </w:pPr>
            <w:r>
              <w:rPr>
                <w:rFonts w:ascii="Arial" w:cs="Arial" w:eastAsia="Arial" w:hAnsi="Arial"/>
                <w:color w:val="374151"/>
                <w:sz w:val="20"/>
                <w:szCs w:val="20"/>
              </w:rPr>
              <w:t xml:space="preserve">Presupuesto y recursos para la seguridad: qué necesita el SGSI para sostenerse.</w:t>
            </w:r>
          </w:p>
          <w:p>
            <w:pPr>
              <w:pStyle w:val="ListParagraph"/>
              <w:numPr>
                <w:ilvl w:val="0"/>
                <w:numId w:val="2"/>
              </w:numPr>
              <w:spacing w:after="40" w:before="40"/>
            </w:pPr>
            <w:r>
              <w:rPr>
                <w:rFonts w:ascii="Arial" w:cs="Arial" w:eastAsia="Arial" w:hAnsi="Arial"/>
                <w:color w:val="374151"/>
                <w:sz w:val="20"/>
                <w:szCs w:val="20"/>
              </w:rPr>
              <w:t xml:space="preserve">Revisión del SGSI: qué se espera de la dirección en la revisión anual.</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5. Programa de Simulacros y Ejercicios Prácticos</w:t>
      </w:r>
    </w:p>
    <w:p>
      <w:pPr>
        <w:pStyle w:val="Heading2"/>
        <w:spacing w:after="140" w:before="280"/>
      </w:pPr>
      <w:r>
        <w:rPr>
          <w:rFonts w:ascii="Arial" w:cs="Arial" w:eastAsia="Arial" w:hAnsi="Arial"/>
          <w:b/>
          <w:bCs/>
          <w:color w:val="2563EB"/>
          <w:sz w:val="28"/>
          <w:szCs w:val="28"/>
        </w:rPr>
        <w:t xml:space="preserve">5.1 SIM-01 — Simulacros de Phishing</w:t>
      </w:r>
    </w:p>
    <w:p>
      <w:pPr>
        <w:spacing w:after="80" w:before="80"/>
      </w:pPr>
      <w:r>
        <w:rPr>
          <w:rFonts w:ascii="Arial" w:cs="Arial" w:eastAsia="Arial" w:hAnsi="Arial"/>
          <w:color w:val="374151"/>
          <w:sz w:val="22"/>
          <w:szCs w:val="22"/>
        </w:rPr>
        <w:t xml:space="preserve">Los simulacros de phishing son campañas controladas donde el CISO envía correos de phishing simulados (diseñados inofensivamente) a los empleados sin previo aviso, para evaluar su capacidad real de identificar ataques y medir la efectividad de la capacitación.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Frecuencia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 (4 campañas por año). Los empleados NO son avisados previamente.</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Diseño de los correos</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El CISO diseña correos que simulan los ataques más comunes: phishing genérico, spear-phishing que usa información de NovaTech, correos de suplantación de proveedores.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Métricas que se miden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apertura del correo. Tasa de clic en el enlace malicioso simulado. Tasa de entrega de credenciales en la página falsa. Tasa de reporte al CISO del correo sospechoso.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Objetivo de mejora</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Objetivo año 1: reducir la tasa de clic al 20% o menos. Objetivo año 2: reducir al 10% o menos. Tasa de reporte: crecer al 50% o más en año 1.</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Respuesta a empleados que caen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Sin sanción en el primer simulacro. Se les notifica que cayeron en un phishing simulado y se les dirige al módulo de repaso de MOD-02. Reincidencias repetidas se reportan al gerente.</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Reporte al CISO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Informe de resultados por área enviado al CISO y gerentes (sin identificar individuos, solo tendencias por departamento).</w:t>
            </w:r>
          </w:p>
        </w:tc>
      </w:tr>
    </w:tbl>
    <w:p>
      <w:pPr>
        <w:spacing w:before="200"/>
      </w:pPr>
    </w:p>
    <w:p>
      <w:pPr>
        <w:pStyle w:val="Heading2"/>
        <w:spacing w:after="140" w:before="280"/>
      </w:pPr>
      <w:r>
        <w:rPr>
          <w:rFonts w:ascii="Arial" w:cs="Arial" w:eastAsia="Arial" w:hAnsi="Arial"/>
          <w:b/>
          <w:bCs/>
          <w:color w:val="2563EB"/>
          <w:sz w:val="28"/>
          <w:szCs w:val="28"/>
        </w:rPr>
        <w:t xml:space="preserve">5.2 SIM-02 — Simulacro de Respuesta a Incidentes</w:t>
      </w:r>
    </w:p>
    <w:p>
      <w:pPr>
        <w:spacing w:after="80" w:before="80"/>
      </w:pPr>
      <w:r>
        <w:rPr>
          <w:rFonts w:ascii="Arial" w:cs="Arial" w:eastAsia="Arial" w:hAnsi="Arial"/>
          <w:color w:val="374151"/>
          <w:sz w:val="22"/>
          <w:szCs w:val="22"/>
        </w:rPr>
        <w:t xml:space="preserve">El simulacro de respuesta a incidentes es un ejercicio de mesa (tabletop exercise) o simulación técnica donde el equipo CSIRT practica la respuesta a un escenario de incidente sin que sea un incidente real.</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Frecuencia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Semestral (2 simulacros por año). Un simulacro de tabletop (decisiones y comunicación) y un simulacro técnico (ejecución de procedimientos del DRP).</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Escenarios de simulacro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Rotar entre los escenarios del Documento 7 y los playbooks del Documento 8: ransomware, fuga de datos, interrupción de servicio, compromiso de credenciales.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Participantes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Equipo CSIRT completo: CISO, Analista Técnico, DevOps, Responsable de Comunicaciones, DPO y representante de la dirección.</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Objetivos del simulacro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Verificar que los procedimientos del playbook son ejecutables. Medir los tiempos de respuesta vs. los objetivos. Identificar brechas de comunicación o coordinación. Validar que los backups son restaurables.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Evaluación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CISO evalúa: ¿Se siguieron los playbooks? ¿Se cumplieron los tiempos? ¿Las comunicaciones fueron claras? ¿El equipo tomó las decisiones correctas?</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Resultado esperado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Informe de simulacro con hallazgos y acciones de mejora. Las brechas identificadas se incorporan como actualizaciones al BCP/DRP y al catálogo de controles.</w:t>
            </w:r>
          </w:p>
        </w:tc>
      </w:tr>
    </w:tbl>
    <w:p>
      <w:pPr>
        <w:spacing w:before="200"/>
      </w:pPr>
    </w:p>
    <w:p>
      <w:pPr>
        <w:pStyle w:val="Heading2"/>
        <w:spacing w:after="140" w:before="280"/>
      </w:pPr>
      <w:r>
        <w:rPr>
          <w:rFonts w:ascii="Arial" w:cs="Arial" w:eastAsia="Arial" w:hAnsi="Arial"/>
          <w:b/>
          <w:bCs/>
          <w:color w:val="2563EB"/>
          <w:sz w:val="28"/>
          <w:szCs w:val="28"/>
        </w:rPr>
        <w:t xml:space="preserve">5.3 SIM-03 — Prueba de Restauración de Backups</w:t>
      </w:r>
    </w:p>
    <w:p>
      <w:pPr>
        <w:spacing w:after="80" w:before="80"/>
      </w:pPr>
      <w:r>
        <w:rPr>
          <w:rFonts w:ascii="Arial" w:cs="Arial" w:eastAsia="Arial" w:hAnsi="Arial"/>
          <w:color w:val="374151"/>
          <w:sz w:val="22"/>
          <w:szCs w:val="22"/>
        </w:rPr>
        <w:t xml:space="preserve">Este simulacro verifica mensualmente que los backups de los sistemas críticos son recuperables y que el equipo DevOps puede ejecutar el proceso dentro del RTO definido.</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Atributo</w:t>
            </w:r>
          </w:p>
        </w:tc>
        <w:tc>
          <w:tcPr>
            <w:tcW w:type="dxa" w:w="6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Frecuencia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 (obligatorio). El mismo día de cada mes, el DevOps ejecuta una restauración de prueba del sistema crítico rotativo.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Sistemas en rotación</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Mes 1: Base de datos de producción. Mes 2: CRM. Mes 3: Repositorios Git. Mes 4: ERP/RRHH. Mes 5: Configuraciones de producción. Mes 6: Repetir.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Procedimiento</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Restaurar el backup más reciente del sistema en un ambiente aislado (no en producción). Verificar la integridad de los datos restaurados. Medir el tiempo de restauración vs. el RTO.</w:t>
            </w:r>
          </w:p>
        </w:tc>
      </w:tr>
      <w:tr>
        <w:tc>
          <w:tcPr>
            <w:tcW w:type="dxa" w:w="2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Criterio de éxito</w:t>
            </w:r>
          </w:p>
        </w:tc>
        <w:tc>
          <w:tcPr>
            <w:tcW w:type="dxa" w:w="6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La restauración se completa dentro del RTO definido en el Documento 7. Los datos restaurados son íntegros y verificables. El proceso está documentado en el registro de pruebas.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Reporte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El DevOps envía un reporte mensual al CISO con: sistema probado, fecha, tiempo de restauración, resultado (éxito/fallo) y observaciones.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6. Calendario Anual del Programa</w:t>
      </w:r>
    </w:p>
    <w:p>
      <w:pPr>
        <w:spacing w:after="80" w:before="80"/>
      </w:pPr>
      <w:r>
        <w:rPr>
          <w:rFonts w:ascii="Arial" w:cs="Arial" w:eastAsia="Arial" w:hAnsi="Arial"/>
          <w:color w:val="374151"/>
          <w:sz w:val="22"/>
          <w:szCs w:val="22"/>
        </w:rPr>
        <w:t xml:space="preserve">El siguiente calendario organiza todas las actividades del programa a lo largo del año. Los meses son referencias orientativas; el CISO ajusta las fechas exactas según la operación de NovaTech Solutions.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000"/>
        <w:gridCol w:w="1600"/>
        <w:gridCol w:w="15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Mes</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 principal</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Audiencia</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Duración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Enero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Capacitación de inducción: MOD-01 para nuevos ingresos del trimestre. Prueba de restauración de backup (SDB de producción).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Nuevos ingresos / DevOps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2h + 2h</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Febrero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MOD-01 — Fundamentos (renovación anual para todos los empleados). Boletín de seguridad mensual.</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(120)</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2h</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Marzo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MOD-02 — Buenas Prácticas. Simulacro de phishing Q1 (sin aviso). Prueba de backup (CRM).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 DevOps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2h + campañas</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Abril</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MOD-03 — LFPDPPP y Datos Personales. Boletín mensual.</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Atención Clientes, Admin, RRHH</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DPO</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1.5h</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Mayo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MOD-04 — Desarrollo Seguro. Prueba de backup (repositorios Git).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Desarrolladores, DevOps, QA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Gerente Dev</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3h + 2h</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Junio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SIM-02 — Simulacro de respuesta a incidentes (tabletop). MOD-05 — Infraestructura Segura. Revisión semestral del SGSI.</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CSIRT / DevOps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4h + 2h</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Julio</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MOD-06 — Seguridad para Líderes. Boletín mensual. Prueba de backup (ERP/RRHH).</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Dirección, Gerentes, CISO</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1.5h + 2h</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Agosto</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Simulacro de phishing Q2 (sin aviso). Capacitación de inducción para nuevos ingresos del trimestre.</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 Nuevos ingresos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Campaña + 2h</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Septiembre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Repaso de políticas actualización anual: revisión de cambios en POL-01 a POL-10. Prueba de backup (configuraciones prod).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1h</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Octubre</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Mes de Concientización en Ciberseguridad: semana de actividades (posters, concurso de conocimiento, comunicados). Boletín especial.</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Semana de actividades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Noviembre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Simulacro de phishing Q3 (sin aviso). SIM-02 — Simulacro técnico de recuperación ante desastres (DRP drill).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 DevOps + CSIRT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Campaña + 4h</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Diciembre</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Evaluación anual del programa: análisis de resultados, tendencias de phishing, métricas de MTTD/MTTR. Planificación del programa siguiente año.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Dirección</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2h</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7. Proceso de Inducción en Seguridad para Nuevos Empleados</w:t>
      </w:r>
    </w:p>
    <w:p>
      <w:pPr>
        <w:spacing w:after="80" w:before="80"/>
      </w:pPr>
      <w:r>
        <w:rPr>
          <w:rFonts w:ascii="Arial" w:cs="Arial" w:eastAsia="Arial" w:hAnsi="Arial"/>
          <w:color w:val="374151"/>
          <w:sz w:val="22"/>
          <w:szCs w:val="22"/>
        </w:rPr>
        <w:t xml:space="preserve">Todo nuevo empleado o contratista que se incorpore a NovaTech Solutions debe completar el proceso de inducción en seguridad ANTES de recibir acceso a sistemas corporativos. Este proceso es obligatorio sin excepciones.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960"/>
      </w:tblGrid>
      <w:tr>
        <w:trPr>
          <w:tblHeader/>
        </w:trPr>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Semana</w:t>
            </w:r>
          </w:p>
        </w:tc>
        <w:tc>
          <w:tcPr>
            <w:tcW w:type="dxa" w:w="3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Actividad</w:t>
            </w:r>
          </w:p>
        </w:tc>
        <w:tc>
          <w:tcPr>
            <w:tcW w:type="dxa" w:w="2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w:t>
            </w:r>
          </w:p>
        </w:tc>
        <w:tc>
          <w:tcPr>
            <w:tcW w:type="dxa" w:w="1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Criterio para avanzar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Semana 1 — Día 1</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Firma del acuse de recibo de las políticas de seguridad (POL-01 a POL-10). Sin firma, sin acceso a sistemas.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RRHH + CISO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Firma del acuse de recibo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Semana 1 — Días 1-2</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MOD-01: Fundamentos de Seguridad (versión de inducción). Presentación del CISO al nuevo empleado.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Aprobación de la evaluación con ≥ 80%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Semana 1 — Días 2-3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Asignación de accesos mínimos según rol (RBAC). Configuración de MFA en todos los sistemas asignados.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TI</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MFA activo en todos los sistemas antes de otorgar acceso completo</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Semana 2</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MOD-02: Buenas Prácticas. Configuración del gestor de contraseñas corporativo. Primera contraseña robusta generada.</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Completar MOD-02 + contraseñas configuradas en el gestor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Semana 2-3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Módulos específicos del rol (MOD-03, MOD-04 o MOD-05 según corresponda).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Gerente del área</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Completar módulo del rol + evaluación aprobada</w:t>
            </w:r>
          </w:p>
        </w:tc>
      </w:tr>
      <w:tr>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Mes 1</w:t>
            </w:r>
          </w:p>
        </w:tc>
        <w:tc>
          <w:tcPr>
            <w:tcW w:type="dxa" w:w="3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Primer simulacro de phishing incluido en la campaña trimestral si coincide. Si no coincide, módulo de concienciación anti-phishing asincrónico.</w:t>
            </w:r>
          </w:p>
        </w:tc>
        <w:tc>
          <w:tcPr>
            <w:tcW w:type="dxa" w:w="2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Completar el módulo anti-phishing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Mes 3</w:t>
            </w:r>
          </w:p>
        </w:tc>
        <w:tc>
          <w:tcPr>
            <w:tcW w:type="dxa" w:w="3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Evaluación de completitud de la inducción. El CISO confirma que todos los módulos y configuraciones están completos.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100% de módulos completados + accesos configurados correctamente</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8. Evaluación del Programa y Métricas</w:t>
      </w:r>
    </w:p>
    <w:p>
      <w:pPr>
        <w:pStyle w:val="Heading2"/>
        <w:spacing w:after="140" w:before="280"/>
      </w:pPr>
      <w:r>
        <w:rPr>
          <w:rFonts w:ascii="Arial" w:cs="Arial" w:eastAsia="Arial" w:hAnsi="Arial"/>
          <w:b/>
          <w:bCs/>
          <w:color w:val="2563EB"/>
          <w:sz w:val="28"/>
          <w:szCs w:val="28"/>
        </w:rPr>
        <w:t xml:space="preserve">8.1 Evaluación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35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Módulo</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evaluación</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Nota mínima aprobatoria</w:t>
            </w:r>
          </w:p>
        </w:tc>
        <w:tc>
          <w:tcPr>
            <w:tcW w:type="dxa" w:w="35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Consecuencia si no aprueba</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 preguntas opción múltiple sobre conceptos fundamentales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80% (8/10 correctas)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Repaso de los contenidos fallidos + nueva evaluación. Sin acceso a sistemas hasta aprobar.</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MOD-02</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Ejercicios prácticos: clasificación de escenarios + identificación de phishing</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en ítems críticos</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Repaso obligatorio + nueva evaluación. Reporte al gerente si falla en segunda oportunidad.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8 preguntas + 1 caso práctico de manejo de datos personales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80% (calificación combinada)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Repaso + nueva evaluación. El DPO revisa el caso de quienes no aprueban.</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MOD-04</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Revisión de código: identificar TODAS las vulnerabilidades críticas en 3 fragmentos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100% en vulnerabilidades críticas</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Repaso técnico con el CISO + nueva evaluación. Sin acceso a producción hasta aprobar.</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MOD-05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Configuración práctica de escenario IAM en ambiente de prueba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Revisión directa por el CISO (pasa/no pasa)</w:t>
            </w:r>
          </w:p>
        </w:tc>
        <w:tc>
          <w:tcPr>
            <w:tcW w:type="dxa" w:w="35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Sesión adicional 1:1 con el CISO. Sin acceso administrativo a la nube hasta aprobar.</w:t>
            </w:r>
          </w:p>
        </w:tc>
      </w:tr>
      <w:tr>
        <w:tc>
          <w:tcPr>
            <w:tcW w:type="dxa" w:w="1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MOD-06</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Análisis de caso ejecutivo: toma de decisiones ante escenario de crisis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Discusión evaluada por el CISO (sin calificación numérica)</w:t>
            </w:r>
          </w:p>
        </w:tc>
        <w:tc>
          <w:tcPr>
            <w:tcW w:type="dxa" w:w="35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Sesión de repaso individual con el CISO.</w:t>
            </w:r>
          </w:p>
        </w:tc>
      </w:tr>
    </w:tbl>
    <w:p>
      <w:pPr>
        <w:spacing w:before="200"/>
      </w:pPr>
    </w:p>
    <w:p>
      <w:pPr>
        <w:pStyle w:val="Heading2"/>
        <w:spacing w:after="140" w:before="280"/>
      </w:pPr>
      <w:r>
        <w:rPr>
          <w:rFonts w:ascii="Arial" w:cs="Arial" w:eastAsia="Arial" w:hAnsi="Arial"/>
          <w:b/>
          <w:bCs/>
          <w:color w:val="2563EB"/>
          <w:sz w:val="28"/>
          <w:szCs w:val="28"/>
        </w:rPr>
        <w:t xml:space="preserve">8.2 Métricas del programa de capacitación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rPr>
          <w:tblHeader/>
        </w:trPr>
        <w:tc>
          <w:tcPr>
            <w:tcW w:type="dxa" w:w="2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Métrica</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Objetivo</w:t>
            </w:r>
          </w:p>
        </w:tc>
        <w:tc>
          <w:tcPr>
            <w:tcW w:type="dxa" w:w="17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Cobertura de capacitación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Porcentaje de empleados que completaron los módulos obligatorios en el período.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100% de cobertura en módulos obligatorios antes del fin del primer trimestre.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Tasa de aprobación</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Porcentaje de empleados que aprueban la evaluación en el primer intento.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 90% de aprobación en primera oportunidad para MOD-01 y MOD-02.</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 módulo / Anual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Tasa de clic en phishing simulado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Porcentaje de empleados que hacen clic en el enlace malicioso del simulacro.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Año 1: ≤ 20%. Año 2: ≤ 10%. Año 3: ≤ 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 (por campaña)</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Tasa de reporte de phishing</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Porcentaje de empleados que reportan el correo de phishing simulado al CISO.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Año 1: ≥ 30%. Año 2: ≥ 50%. Año 3: ≥ 70%.</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Trimestral (por campaña)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Incidentes causados por factor humano</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Porcentaje del total de incidentes cuya causa raíz fue un error o acción humana.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Tendencia descendente año a año. Objetivo año 1: ≤ 60% (vs. 100% histórico).</w:t>
            </w:r>
          </w:p>
        </w:tc>
        <w:tc>
          <w:tcPr>
            <w:tcW w:type="dxa" w:w="1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 (basado en Documento 10)</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Índice de cultura de seguridad</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Encuesta anónima de percepción de seguridad entre empleados: ¿conocen las políticas?, ¿saben cómo reportar?, ¿sienten que la dirección toma la seguridad en serio?</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 70% de respuestas positivas en año 1. Mejorar anualmente.</w:t>
            </w:r>
          </w:p>
        </w:tc>
        <w:tc>
          <w:tcPr>
            <w:tcW w:type="dxa" w:w="17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Anual</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9. Comunicación Continua — Boletines y Alertas</w:t>
      </w:r>
    </w:p>
    <w:p>
      <w:pPr>
        <w:spacing w:after="80" w:before="80"/>
      </w:pPr>
      <w:r>
        <w:rPr>
          <w:rFonts w:ascii="Arial" w:cs="Arial" w:eastAsia="Arial" w:hAnsi="Arial"/>
          <w:color w:val="374151"/>
          <w:sz w:val="22"/>
          <w:szCs w:val="22"/>
        </w:rPr>
        <w:t xml:space="preserve">La seguridad de la información no puede limitarse a capacitaciones anuales. El CISO mantiene una comunicación mensual activa con toda la organización para mantener la concienciación viva y actualizada.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00"/>
        <w:gridCol w:w="1400"/>
        <w:gridCol w:w="960"/>
      </w:tblGrid>
      <w:tr>
        <w:trPr>
          <w:tblHeader/>
        </w:trPr>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Tipo de comunicación</w:t>
            </w:r>
          </w:p>
        </w:tc>
        <w:tc>
          <w:tcPr>
            <w:tcW w:type="dxa" w:w="3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Contenido</w:t>
            </w:r>
          </w:p>
        </w:tc>
        <w:tc>
          <w:tcPr>
            <w:tcW w:type="dxa" w:w="16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Frecuencia</w:t>
            </w:r>
          </w:p>
        </w:tc>
        <w:tc>
          <w:tcPr>
            <w:tcW w:type="dxa" w:w="1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Canal</w:t>
            </w:r>
          </w:p>
        </w:tc>
        <w:tc>
          <w:tcPr>
            <w:tcW w:type="dxa" w:w="9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Audiencia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Boletín mensual de seguridad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Resumen de amenazas del mes, incidentes del sector tecnológico, recordatorio de buena práctica del mes, actualización del estado del SGSI.</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Mensual (primer lunes de cada mes)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Correo corporativo + intranet</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Alerta de seguridad urgente</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Notificación inmediata ante: nueva vulnerabilidad crítica relevante para NovaTech, campaña de phishing detectada en el sector, cambio urgente de contraseñas.</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Según necesidad (mismo día del evento)</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corporativo + canal de crisis</w:t>
            </w:r>
          </w:p>
        </w:tc>
        <w:tc>
          <w:tcPr>
            <w:tcW w:type="dxa" w:w="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 afectados según alcance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Recordatorio trimestral de políticas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Recordatorio de las políticas más relevantes del período: escritorios limpios antes de vacaciones, cambio de contraseñas, verificación de accesos.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Trimestral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Correo corporativo</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Comunicado post-incidente (sanitizado)</w:t>
            </w:r>
          </w:p>
        </w:tc>
        <w:tc>
          <w:tcPr>
            <w:tcW w:type="dxa" w:w="30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Después de cerrar un incidente, el CISO publica un resumen sin datos técnicos sensibles: qué ocurrió, qué se aprendió, qué cambia.</w:t>
            </w:r>
          </w:p>
        </w:tc>
        <w:tc>
          <w:tcPr>
            <w:tcW w:type="dxa" w:w="16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Después de cada incidente P1 y P2</w:t>
            </w:r>
          </w:p>
        </w:tc>
        <w:tc>
          <w:tcPr>
            <w:tcW w:type="dxa" w:w="1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Correo corporativo + reunión de área</w:t>
            </w:r>
          </w:p>
        </w:tc>
        <w:tc>
          <w:tcPr>
            <w:tcW w:type="dxa" w:w="9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Todos (adaptado por área)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Octubre: Mes de Ciberseguridad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Semana temática: posters, concurso de conocimiento, charla especial, actividades de team-building orientadas a la seguridad.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Anual (octubre)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Físico + digital</w:t>
            </w:r>
          </w:p>
        </w:tc>
        <w:tc>
          <w:tcPr>
            <w:tcW w:type="dxa" w:w="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Todos los empleados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10. Registro de Evidencias del Programa</w:t>
      </w:r>
    </w:p>
    <w:p>
      <w:pPr>
        <w:spacing w:after="80" w:before="80"/>
      </w:pPr>
      <w:r>
        <w:rPr>
          <w:rFonts w:ascii="Arial" w:cs="Arial" w:eastAsia="Arial" w:hAnsi="Arial"/>
          <w:color w:val="374151"/>
          <w:sz w:val="22"/>
          <w:szCs w:val="22"/>
        </w:rPr>
        <w:t xml:space="preserve">El CISO mantiene los siguientes registros como evidencia de la ejecución del programa. Estos registros son requeridos por las auditorías internas (Documento 10) y son evidencia de cumplimiento ante el INAI si aplica.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rPr>
          <w:tblHeader/>
        </w:trPr>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Registro</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Contenido</w:t>
            </w:r>
          </w:p>
        </w:tc>
        <w:tc>
          <w:tcPr>
            <w:tcW w:type="dxa" w:w="24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Responsable de mantenerlo</w:t>
            </w:r>
          </w:p>
        </w:tc>
        <w:tc>
          <w:tcPr>
            <w:tcW w:type="dxa" w:w="13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Retención mínima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Registro de asistencia a capacitaciones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Lista de empleados que completaron cada módulo con fecha, resultado de evaluación y firma (electrónica o física).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años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Acuses de recibo de políticas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Copia firmada del acuse de recibo de cada empleado de las políticas de seguridad.</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 + RRHH</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Durante la relación laboral + 1 año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Resultados de simulacros de phishing</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Estadísticas por campaña: tasas de clic, reporte y entrega de credenciales. Tendencias por área.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años</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Informes de simulacros de incidente</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Resultado de cada SIM-02: escenario simulado, participantes, hallazgos, acciones de mejora.</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2 años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Reportes de pruebas de backup</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Resultado mensual de las pruebas de restauración: sistema probado, tiempo, integridad, observaciones.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DevOps</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 año</w:t>
            </w:r>
          </w:p>
        </w:tc>
      </w:tr>
      <w:tr>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Evaluaciones individuales de módulos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Resultados de evaluación por empleado y módulo. Reintentados y aprobaciones.</w:t>
            </w:r>
          </w:p>
        </w:tc>
        <w:tc>
          <w:tcPr>
            <w:tcW w:type="dxa" w:w="240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360"/>
            <w:tcBorders>
              <w:top w:val="single" w:color="CCCCCC" w:sz="4"/>
              <w:left w:val="single" w:color="CCCCCC" w:sz="4"/>
              <w:bottom w:val="single" w:color="CCCCCC" w:sz="4"/>
              <w:right w:val="single" w:color="CCCCCC" w:sz="4"/>
            </w:tcBorders>
            <w:shd w:fill="F3F4F6" w:val="clear"/>
            <w:tcMar>
              <w:top w:type="dxa" w:w="80"/>
              <w:left w:type="dxa" w:w="130"/>
              <w:bottom w:type="dxa" w:w="80"/>
              <w:right w:type="dxa" w:w="130"/>
            </w:tcMar>
          </w:tcPr>
          <w:p>
            <w:r>
              <w:rPr>
                <w:rFonts w:ascii="Arial" w:cs="Arial" w:eastAsia="Arial" w:hAnsi="Arial"/>
                <w:color w:val="374151"/>
                <w:sz w:val="19"/>
                <w:szCs w:val="19"/>
              </w:rPr>
              <w:t xml:space="preserve">Durante la relación laboral + 1 año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Registro de boletines y alertas enviadas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Archivo de todos los boletines, alertas y comunicados de seguridad enviados.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w:t>
            </w:r>
          </w:p>
        </w:tc>
        <w:tc>
          <w:tcPr>
            <w:tcW w:type="dxa" w:w="1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 años</w:t>
            </w:r>
          </w:p>
        </w:tc>
      </w:tr>
    </w:tbl>
    <w:p>
      <w:pPr>
        <w:spacing w:before="200"/>
      </w:pPr>
    </w:p>
    <w:p>
      <w:r>
        <w:br w:type="page"/>
      </w:r>
    </w:p>
    <w:p>
      <w:pPr>
        <w:pStyle w:val="Heading1"/>
        <w:pBdr>
          <w:bottom w:val="single" w:color="2563EB" w:sz="8" w:space="4"/>
        </w:pBdr>
        <w:spacing w:after="200" w:before="360"/>
      </w:pPr>
      <w:r>
        <w:rPr>
          <w:rFonts w:ascii="Arial" w:cs="Arial" w:eastAsia="Arial" w:hAnsi="Arial"/>
          <w:b/>
          <w:bCs/>
          <w:color w:val="1B3A6B"/>
          <w:sz w:val="36"/>
          <w:szCs w:val="36"/>
        </w:rPr>
        <w:t xml:space="preserve">11.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200"/>
        <w:gridCol w:w="3660"/>
      </w:tblGrid>
      <w:tr>
        <w:trPr>
          <w:tblHeader/>
        </w:trPr>
        <w:tc>
          <w:tcPr>
            <w:tcW w:type="dxa" w:w="10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Versión</w:t>
            </w:r>
          </w:p>
        </w:tc>
        <w:tc>
          <w:tcPr>
            <w:tcW w:type="dxa" w:w="15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Fecha</w:t>
            </w:r>
          </w:p>
        </w:tc>
        <w:tc>
          <w:tcPr>
            <w:tcW w:type="dxa" w:w="320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Autor</w:t>
            </w:r>
          </w:p>
        </w:tc>
        <w:tc>
          <w:tcPr>
            <w:tcW w:type="dxa" w:w="3660"/>
            <w:tcBorders>
              <w:top w:val="single" w:color="999999" w:sz="5"/>
              <w:left w:val="single" w:color="999999" w:sz="5"/>
              <w:bottom w:val="single" w:color="999999" w:sz="5"/>
              <w:right w:val="single" w:color="999999" w:sz="5"/>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Descripción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2026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CISO / Comité de Seguridad de la Información</w:t>
            </w:r>
          </w:p>
        </w:tc>
        <w:tc>
          <w:tcPr>
            <w:tcW w:type="dxa" w:w="36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tcPr>
          <w:p>
            <w:r>
              <w:rPr>
                <w:rFonts w:ascii="Arial" w:cs="Arial" w:eastAsia="Arial" w:hAnsi="Arial"/>
                <w:color w:val="374151"/>
                <w:sz w:val="19"/>
                <w:szCs w:val="19"/>
              </w:rPr>
              <w:t xml:space="preserve">Versión inicial del Programa Anual de Capacitación y Concientización en Seguridad de NovaTech Solutions</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120"/>
              <w:left w:type="dxa" w:w="160"/>
              <w:bottom w:type="dxa" w:w="120"/>
              <w:right w:type="dxa" w:w="160"/>
            </w:tcMar>
          </w:tcPr>
          <w:p>
            <w:pPr>
              <w:spacing w:after="80" w:before="60"/>
            </w:pPr>
            <w:r>
              <w:rPr>
                <w:rFonts w:ascii="Arial" w:cs="Arial" w:eastAsia="Arial" w:hAnsi="Arial"/>
                <w:b/>
                <w:bCs/>
                <w:color w:val="1B3A6B"/>
                <w:sz w:val="22"/>
                <w:szCs w:val="22"/>
              </w:rPr>
              <w:t xml:space="preserve">Compromiso con la cultura de seguridad</w:t>
            </w:r>
          </w:p>
          <w:p>
            <w:pPr>
              <w:pStyle w:val="ListParagraph"/>
              <w:numPr>
                <w:ilvl w:val="0"/>
                <w:numId w:val="2"/>
              </w:numPr>
              <w:spacing w:after="40" w:before="40"/>
            </w:pPr>
            <w:r>
              <w:rPr>
                <w:rFonts w:ascii="Arial" w:cs="Arial" w:eastAsia="Arial" w:hAnsi="Arial"/>
                <w:color w:val="374151"/>
                <w:sz w:val="21"/>
                <w:szCs w:val="21"/>
              </w:rPr>
              <w:t xml:space="preserve">La capacitación técnica sin cultura organizacional es insuficiente. NovaTech Solutions se compromete a construir un entorno donde la seguridad sea una responsabilidad compartida y no una carga impuesta.</w:t>
            </w:r>
          </w:p>
          <w:p>
            <w:pPr>
              <w:pStyle w:val="ListParagraph"/>
              <w:numPr>
                <w:ilvl w:val="0"/>
                <w:numId w:val="2"/>
              </w:numPr>
              <w:spacing w:after="40" w:before="40"/>
            </w:pPr>
            <w:r>
              <w:rPr>
                <w:rFonts w:ascii="Arial" w:cs="Arial" w:eastAsia="Arial" w:hAnsi="Arial"/>
                <w:color w:val="374151"/>
                <w:sz w:val="21"/>
                <w:szCs w:val="21"/>
              </w:rPr>
              <w:t xml:space="preserve">Los líderes de la organización tienen un rol crítico: su comportamiento define el comportamiento de sus equipos. Si un gerente nunca bloquea su pantalla, su equipo tampoco lo hará.</w:t>
            </w:r>
          </w:p>
          <w:p>
            <w:pPr>
              <w:pStyle w:val="ListParagraph"/>
              <w:numPr>
                <w:ilvl w:val="0"/>
                <w:numId w:val="2"/>
              </w:numPr>
              <w:spacing w:after="40" w:before="40"/>
            </w:pPr>
            <w:r>
              <w:rPr>
                <w:rFonts w:ascii="Arial" w:cs="Arial" w:eastAsia="Arial" w:hAnsi="Arial"/>
                <w:color w:val="374151"/>
                <w:sz w:val="21"/>
                <w:szCs w:val="21"/>
              </w:rPr>
              <w:t xml:space="preserve">Este programa debe revisarse y actualizarse anualmente para reflejar las nuevas amenazas, los incidentes ocurridos y los resultados de la medición del programa anterior.</w:t>
            </w:r>
          </w:p>
          <w:p>
            <w:pPr>
              <w:pStyle w:val="ListParagraph"/>
              <w:numPr>
                <w:ilvl w:val="0"/>
                <w:numId w:val="2"/>
              </w:numPr>
              <w:spacing w:after="40" w:before="40"/>
            </w:pPr>
            <w:r>
              <w:rPr>
                <w:rFonts w:ascii="Arial" w:cs="Arial" w:eastAsia="Arial" w:hAnsi="Arial"/>
                <w:color w:val="374151"/>
                <w:sz w:val="21"/>
                <w:szCs w:val="21"/>
              </w:rPr>
              <w:t xml:space="preserve">El objetivo final no es que los empleados pasen una evaluación, sino que la seguridad se convierta en un hábito natural en el trabajo diario de los 120 colaboradores de NovaTech Solutions.</w:t>
            </w:r>
          </w:p>
        </w:tc>
      </w:tr>
    </w:tbl>
    <w:p>
      <w:pPr>
        <w:spacing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3"/>
      </w:pBdr>
      <w:spacing w:before="80"/>
      <w:jc w:val="center"/>
    </w:pPr>
    <w:r>
      <w:rPr>
        <w:rFonts w:ascii="Arial" w:cs="Arial" w:eastAsia="Arial" w:hAnsi="Arial"/>
        <w:color w:val="374151"/>
        <w:sz w:val="16"/>
        <w:szCs w:val="16"/>
      </w:rPr>
      <w:t xml:space="preserve">Confidencial  |  NovaTech Solutions  |  Página </w:t>
    </w:r>
    <w:r>
      <w:rPr>
        <w:color w:val="374151"/>
        <w:sz w:val="16"/>
        <w:szCs w:val="16"/>
      </w:rPr>
      <w:fldChar w:fldCharType="begin"/>
      <w:instrText xml:space="preserve">PAGE</w:instrText>
      <w:fldChar w:fldCharType="separate"/>
      <w:fldChar w:fldCharType="end"/>
    </w:r>
    <w:r>
      <w:rPr>
        <w:rFonts w:ascii="Arial" w:cs="Arial" w:eastAsia="Arial" w:hAnsi="Arial"/>
        <w:color w:val="374151"/>
        <w:sz w:val="16"/>
        <w:szCs w:val="16"/>
      </w:rPr>
      <w:t xml:space="preserve"> de </w:t>
    </w:r>
    <w:r>
      <w:rPr>
        <w:color w:val="3741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3"/>
      </w:pBdr>
      <w:spacing w:after="80" w:before="0"/>
    </w:pPr>
    <w:r>
      <w:rPr>
        <w:rFonts w:ascii="Arial" w:cs="Arial" w:eastAsia="Arial" w:hAnsi="Arial"/>
        <w:b/>
        <w:bCs/>
        <w:color w:val="1B3A6B"/>
        <w:sz w:val="18"/>
        <w:szCs w:val="18"/>
      </w:rPr>
      <w:t xml:space="preserve">SGSI — NovaTech Solutions</w:t>
    </w:r>
    <w:r>
      <w:rPr>
        <w:rFonts w:ascii="Arial" w:cs="Arial" w:eastAsia="Arial" w:hAnsi="Arial"/>
        <w:color w:val="374151"/>
        <w:sz w:val="18"/>
        <w:szCs w:val="18"/>
      </w:rPr>
      <w:t xml:space="preserve">     |     Capacitación y Concientización en Seguridad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2026-04-04T21:29:28.456Z</dcterms:created>
  <dcterms:modified xsi:type="dcterms:W3CDTF">2026-04-04T21:29:28.456Z</dcterms:modified>
</cp:coreProperties>
</file>

<file path=docProps/custom.xml><?xml version="1.0" encoding="utf-8"?>
<Properties xmlns="http://schemas.openxmlformats.org/officeDocument/2006/custom-properties" xmlns:vt="http://schemas.openxmlformats.org/officeDocument/2006/docPropsVTypes"/>
</file>