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3A6B" w:sz="60"/>
        </w:pBdr>
      </w:pPr>
    </w:p>
    <w:p>
      <w:pPr>
        <w:spacing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aps/>
          <w:color w:val="1B3A6B"/>
          <w:sz w:val="36"/>
          <w:szCs w:val="36"/>
        </w:rPr>
        <w:t xml:space="preserve">SISTEMA DE GESTIÓN DE SEGURIDAD DE LA INFORMACIÓN</w:t>
      </w: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2563EB"/>
          <w:sz w:val="52"/>
          <w:szCs w:val="52"/>
        </w:rPr>
        <w:t xml:space="preserve">CONTROLES DE SEGURIDAD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374151"/>
          <w:sz w:val="22"/>
          <w:szCs w:val="22"/>
        </w:rPr>
        <w:t xml:space="preserve">Documento 6 del Repositorio SGSI_NovaTech/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374151"/>
          <w:sz w:val="36"/>
          <w:szCs w:val="36"/>
        </w:rPr>
        <w:t xml:space="preserve">NovaTech Solutions</w:t>
      </w:r>
    </w:p>
    <w:p>
      <w:pPr>
        <w:spacing w:after="720" w:before="0"/>
        <w:jc w:val="center"/>
      </w:pPr>
      <w:r>
        <w:rPr>
          <w:rFonts w:ascii="Arial" w:cs="Arial" w:eastAsia="Arial" w:hAnsi="Arial"/>
          <w:color w:val="374151"/>
          <w:sz w:val="24"/>
          <w:szCs w:val="24"/>
        </w:rPr>
        <w:t xml:space="preserve">Monterrey, Nuevo León, México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Versión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Inicial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Clasificación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Confidencial — Uso interno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Borrador para revisión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Elaborado por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Comité de Seguridad de la Información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2026</w:t>
            </w:r>
          </w:p>
        </w:tc>
      </w:tr>
      <w:t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normativa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ISO/IEC 27001:2022 Anexo A | Documento 4 — Gestión de Riesgos</w:t>
            </w:r>
          </w:p>
        </w:tc>
      </w:tr>
    </w:tbl>
    <w:p>
      <w:pPr>
        <w:spacing w:before="1440"/>
      </w:pPr>
    </w:p>
    <w:p>
      <w:pPr>
        <w:pBdr>
          <w:top w:val="single" w:color="2563EB" w:sz="8" w:space="4"/>
        </w:pBdr>
        <w:spacing w:before="120"/>
        <w:jc w:val="center"/>
      </w:pPr>
      <w:r>
        <w:rPr>
          <w:rFonts w:ascii="Arial" w:cs="Arial" w:eastAsia="Arial" w:hAnsi="Arial"/>
          <w:i/>
          <w:iCs/>
          <w:color w:val="374151"/>
          <w:sz w:val="18"/>
          <w:szCs w:val="18"/>
        </w:rPr>
        <w:t xml:space="preserve">Misión: Blindaje Organizacional  |  Comité de Seguridad de la Información</w:t>
      </w: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Tabla de 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Propósito del Documento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presente documento establece el catálogo de controles de seguridad de la información de NovaTech Solutions. Los controles son las medidas técnicas, administrativas y físicas implementadas para reducir los riesgos identificados en el Documento 4 — Gestión de Riesgos, y para dar cumplimiento a las políticas definidas en el Documento 5.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controles se organizan siguiendo la taxonomía del Anexo A de ISO/IEC 27001:2022 y se clasifican según su función: preventivos (evitan que el riesgo ocurra), detectivos (identifican cuando el riesgo se ha materializado) y correctivos (restauran la operación normal tras un incidente). Se incluyen también controles compensatorios para situaciones donde el control primario no puede implementarse de inmediato.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control incluye su estado de implementación, el responsable, el plazo y los riesgos del Documento 4 que mitiga, facilitando el seguimiento y la rendición de cuentas.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Concepto clave — Defensa en profundidad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NovaTech Solutions adopta el principio de Defensa en Profundidad (Defense in Depth): se implementan múltiples capas de controles de seguridad de modo que, si una capa falla, las siguientes siguen protegiendo el activo.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1 — Controles físicos: protegen el acceso físico a instalaciones y equipos.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2 — Controles de red: protegen la infraestructura y las comunicaciones.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3 — Controles de sistema y aplicación: protegen los sistemas, bases de datos y aplicaciones.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4 — Controles de datos: protegen la información en sí misma (cifrado, clasificación).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Capa 5 — Controles administrativos y de personas: políticas, capacitación y gestión del factor humano.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Marco de Referencia y Taxonomía de Controles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Tipos de controles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rPr>
          <w:tblHeader/>
        </w:trPr>
        <w:tc>
          <w:tcPr>
            <w:tcW w:type="dxa" w:w="1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5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Ejemplo en NovaTech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Evita que una amenaza se materialice o que una vulnerabilidad sea explotada.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Reducir la probabilidad de ocurrencia del riesgo.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MFA en repositorios — evita acceso no autorizado aunque la contraseña sea comprometida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Identifica eventos de seguridad o intentos de ataque cuando ocurren.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Reducir el tiempo de detección de un incidente (MTTD).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de accesos — detecta sesiones desde IP desconocidas fuera de horario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Restaura la operación normal y limita el daño después de un incidente.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Reducir el impacto y el tiempo de recuperación (MTTR).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Backups automatizados — permite restaurar la base de datos tras un ransomware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Compensatorio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alternativo que sustituye temporalmente a un control primario que no puede implementarse.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Mantener un nivel mínimo de protección mientras se implementa el control definitivo.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manual de accesos semanal mientras se implementa la solución RBAC automatizada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Dominios de control — ISO/IEC 27001:2022 Anexo A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Anexo A de ISO/IEC 27001:2022 organiza los controles en 4 dominios. Este documento presenta los controles seleccionados para NovaTech Solutions agrupados por dominio: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000"/>
        <w:gridCol w:w="38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3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  <w:tc>
          <w:tcPr>
            <w:tcW w:type="dxa" w:w="21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Sección en este documento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Organizacionales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Políticas, roles, gestión de activos, gestión de accesos, gestión de proveedores, gestión de incidentes.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Sección 3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de Personas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 en los recursos humanos, responsabilidades, capacitación, teletrabajo.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Sección 4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Físicos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Seguridad física de instalaciones, equipos y medios.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Sección 5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Tecnológicos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Controles técnicos: acceso, cifrado, logging, gestión de vulnerabilidades, desarrollo seguro.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Sección 6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Controles Organizacionales (Dominio A.5)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controles organizacionales establecen el marco de gobierno, responsabilidades, procesos y procedimientos que sustentan la seguridad de la información en NovaTech Solutions.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Catálogo de controles organizacionales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3000"/>
        <w:gridCol w:w="12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 (Doc.4)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 General de Seguridad de la Información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Documento formal aprobado por la Dirección que establece los objetivos, principios y responsabilidades de seguridad. Revisión anual obligatoria. (POL-01 del Documento 5).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 /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Roles y responsabilidades de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Definición formal del CISO, DPO, CSIRT, propietarios de activos y responsabilidades de cada empleado. Incluido en el Documento Marco y el Documento 2.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 General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del inventario de activos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Inventario formal y actualizado de todos los activos de información con propietario, clasificación y criticidad. (Documento 3). Revisión anual.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Clasificación y etiquetado de información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Esquema de 4 niveles (Público, Interno, Confidencial, Crítico) con reglas de manejo. (POL-05). Etiquetado obligatorio en documentos y correos.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A-05, A-07, A-20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Propietarios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 de control de accesos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RBAC implementado en todos los sistemas críticos. Accesos asignados por rol. Proceso formal de alta, modificación y baja de accesos. (POL-02).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A-02, A-09, A-13, A-21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accesos de terceros y proveedores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NDA obligatorio. Cuentas de acceso temporal con fecha de expiración. Evaluación de seguridad de proveedores críticos. (POL-09).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A-13, A-16, A-19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Administración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Acuerdos de confidencialidad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empleados y contratistas firman NDA antes de acceder a información corporativa. Revisión ante cambio de rol.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 + Legal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de gestión de incidentes de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Correctivo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formal de 6 fases: detección, clasificación, contención, erradicación, recuperación y lecciones aprendidas. CSIRT definido. (POL-07 y Documento 8).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CSIRT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A.5.24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Registro de incidentes y lecciones aprendidas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Detectivo + Correctivo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de conocimiento de incidentes de seguridad con causa raíz, impacto y controles implementados. Revisión trimestral por el CISO.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A.5.27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cambios en sistemas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formal de solicitud, evaluación, aprobación y rollback para todo cambio en sistemas de producción. Obligatorio desde el Incidente III.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A-15, A-18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A.8.32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de riesgos y auditoría interna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Ciclo anual de evaluación de riesgos (OCTAVE Allegro). Auditoría interna semestral del SGSI. Informe a la Dirección. (Documento 10).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Auditores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A.5.35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Controles de Personas (Dominio A.6)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controles de personas gestionan la seguridad de la información en el ciclo de vida completo de la relación con los empleados y contratistas, reconociendo que el factor humano es tanto el principal activo como el principal vector de riesgo.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Catálogo de controles de personas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Verificación de antecedentes en contratación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 roles con acceso a activos Críticos o datos personales, verificación de referencias laborales y antecedentes conforme a la legislación mexicana.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Cláusulas de seguridad en contratos laborales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contratos de todos los empleados incluyen cláusulas de confidencialidad, uso aceptable y responsabilidad por incumplimiento de las políticas de seguridad.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 + Legal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Programa de capacitación y concientización en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Capacitación obligatoria anual para todos los empleados. Temas: phishing, contraseñas, clasificación, incidentes, escritorios limpios. (Documento 9).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A-05, A-07, A-11, A-20, 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Simulacros de phishing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Detectivo + 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Campañas trimestrales de phishing simulado para medir la susceptibilidad del personal y reforzar la capacitación donde sea necesario.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formal de offboarding (baja de empleados)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Checklist de baja que incluye: revocación de accesos el día del cese, devolución de equipos, transferencia de activos de información. (POL-02).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RRHH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disciplinario por incumplimiento de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Tabla de sanciones documentada y comunicada (POL, Sección 12.2). Proceso formal con evidencia documentada.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A-09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RRHH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teletrabajo y trabajo remoto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Uso obligatorio de VPN con MFA para acceso remoto. Política de pantallas limpias en entornos remotos. Equipos gestionados por NovaTech solamente. (POL-08).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A-11, A-14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Acuse de recibo de políticas de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Firma obligatoria de acuse de recibo al incorporarse y ante actualizaciones de políticas. Registro mantenido por CISO.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RRHH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A.6.2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Controles Físicos (Dominio A.7)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controles físicos protegen los activos tangibles de NovaTech Solutions: instalaciones, equipos de trabajo, medios de almacenamiento y la infraestructura física que soporta los sistemas de información.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Catálogo de controles físicos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acceso físico a instalaciones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Acceso a las oficinas de NovaTech restringido con mecanismo de acceso controlado (tarjeta, código o llave). Registro de visitantes obligatorio.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 de escritorios limpios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Documentos confidenciales retirados del escritorio al ausentarse. Destrucción segura de documentos físicos con información sensible mediante trituradora. (POL-08).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Todo el personal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 de pantallas limpias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Bloqueo automático de pantalla tras 5 minutos de inactividad. Bloqueo manual obligatorio al ausentarse del puesto. (POL-08).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Todo el personal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Protección de equipos de trabajo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de disco completo (BitLocker / FileVault) en todos los laptops corporativos. Inventario y etiquetado de equipos. Seguro ante robo.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segura de medios removibles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Uso de USB y medios externos restringido y registrado. Desinfección de medios externos antes de conectarlos a equipos corporativos. (POL-03).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A.7.10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Eliminación y reutilización segura de equipos y medios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Proceso de borrado seguro (múltiples pasadas o destrucción física) antes de dar de baja o reasignar equipos. Aplica a discos duros, USB y documentos físicos.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A-22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A.7.14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Protección contra amenazas ambientales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Para equipos físicos en sede: protección contra incendio (extintor), control de temperatura y humedad en áreas con equipos críticos si aplica.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Administración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A.7.5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Controles Tecnológicos (Dominio A.8)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controles tecnológicos constituyen la capa de mayor densidad del catálogo. Cubren autenticación, cifrado, monitoreo, desarrollo seguro, gestión de vulnerabilidades y protección de la infraestructura en la nube.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Controles de autenticación y gestión de identidades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Autenticación multifactor (MFA)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MFA obligatorio en: repositorios Git, CRM, consola de nube, correo corporativo, VPN y sistema ERP. Métodos aceptados: app autenticadora (TOTP) o llave de seguridad (FIDO2). SMS solo como último recurso.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A-11, A-14, A-19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centralizada de identidades (IAM)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Directorio central de usuarios (ej. Azure AD, Okta, Google Workspace) que gestione el ciclo de vida de identidades y permita SSO con MFA en todos los sistemas corporativos.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A-09, A-13, A-21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A.5.16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Control de acceso basado en roles (RBAC)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Perfiles de acceso definidos por rol: Desarrollador, DevOps, Agente de Soporte, Administrador, CISO. Ningún usuario con acceso más amplio que su rol. Revisión semestral.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A-09, A-21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contraseñas corporativo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Adopción de gestor de contraseñas corporativo (1Password / Bitwarden for Business). Uso obligatorio para almacenar y compartir credenciales. Prohibición de almacenamiento en texto plano. (POL-04).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A-12, A-14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Política de contraseñas robustas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Mínimo 12 caracteres para usuarios estándar; 16 para administradores. Complejidad requerida. Sin reutilización de últimas 10 contraseñas. Bloqueo tras 5 intentos fallidos. (POL-04).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A.5.17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Revocación inmediata de accesos al cese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Checklist automatizado o manual de baja que revoca todos los accesos el mismo día del cese. RRHH notifica al CISO con mínimo 24h de anticipación cuando sea posible. (POL-02).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RRHH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A.5.18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Controles de red e infraestructura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VPN corporativa con MFA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 conexión remota a sistemas corporativos debe realizarse a través de la VPN corporativa con MFA activo. Prohibido el acceso directo desde internet sin VPN.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A-11, A-14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Segmentación de 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Separación lógica de redes: red de producción, red de desarrollo, red de administración y red de invitados. Sin comunicación directa entre producción y redes internas sin firewall.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A-10, A-16, A-23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Firewall y control de tráfico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Firewall configurado con reglas de mínimo acceso: solo el tráfico necesario habilitado. Revisión trimestral de reglas. En la nube: Security Groups / Network ACLs configurados correctamente.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A-06, A-16, A-17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Protección anti-DDoS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Compensatorio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Activar servicio anti-DDoS del proveedor de nube (AWS Shield, GCP Cloud Armor). Considerar CDN con protección DDoS para plataformas expuestas a internet.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Paneles de administración no expuestos a internet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Consolas de administración de bases de datos, servidores y sistemas ERP no deben ser accesibles directamente desde internet. Acceso solo a través de VPN.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A-14, A-19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de disponibilidad y alertas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Herramienta de monitoreo (Datadog, Grafana, CloudWatch) con alertas automáticas ante caídas de sistemas críticos (CRM, producción, repositorios). Tiempo máximo de detección: 5 minutos.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A-15, A-16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A.8.16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Controles de monitoreo, logging y auditoría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Logs de acceso a sistemas críticos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Registro centralizado de todos los accesos a repositorios Git, CRM, consola de nube y ERP. Retención mínima de 90 días. Alertas por acceso fuera de horario o desde IP desconocida.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A-02, A-04, A-19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de descargas masivas (DLP básico)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Alertas automáticas ante descargas o copias de volumen inusual desde repositorios o CRM. Umbral configurable por el CISO.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A-07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periódica de logs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CISO revisará los logs de acceso a sistemas críticos al menos semanalmente para detectar comportamientos anómalos. Los hallazgos se documentan en el registro de incidentes.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A-04, A-13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Alertas de acceso anómalo a la consola de nube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Activar alertas de AWS CloudTrail / GCP Audit Logs ante: acceso desde IPs no habituales, creación de usuarios, modificaciones de permisos y actividad en horas inusuales.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A.8.15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Protección e integridad de logs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Los logs de auditoría deben almacenarse en un sistema separado con acceso restringido. Ningún administrador debe poder modificar o eliminar los logs de su propia actividad.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A.8.15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Controles de cifrado y protección de datos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en tránsito (TLS)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Todas las comunicaciones entre clientes y servidores deben usar TLS 1.2 o superior (preferiblemente TLS 1.3). Certificados SSL/TLS válidos y renovados en todas las aplicaciones web.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A-06, A-07, A-11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en reposo de datos críticos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de base de datos activado en el proveedor de nube para datos clasificados como Confidencial y Crítico. Cifrado de disco en laptops corporativos (BitLocker/FileVault).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A-10, A-23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de backups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Todos los backups de datos Confidenciales y Críticos deben cifrarse antes de almacenarse. Las claves de cifrado de backups deben gestionarse separadas de los datos.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A-10, A-23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A.8.24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claves criptográficas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Claves de cifrado almacenadas en servicio de gestión de claves (KMS) del proveedor de nube. Rotación de claves anual o ante sospecha de compromiso. Sin acceso a claves por parte de usuarios no autorizados.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A-05, A-12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A.8.24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Controles de desarrollo seguro y gestión de vulnerabilidades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Escaneo automático de secretos en CI/CD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Integración de herramienta de escaneo de secretos (GitGuardian, TruffleHog, gitleaks) en el pipeline CI/CD. El pipeline bloquea el merge si detecta credenciales, tokens o claves en el código.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de código orientada a seguridad (Code Review)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 código que afecte funcionalidades de autenticación, manejo de datos personales o interfaces de producción debe ser revisado por un segundo desarrollador con enfoque en seguridad antes del merge.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Desarrollo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Separación de ambientes (dev/staging/prod)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Ambientes completamente separados con credenciales distintas. Prohibido usar datos reales de clientes en desarrollo o staging. Cambios a producción solo a través del pipeline CI/CD aprobado.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A-05, A-08, A-15, A-18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A.8.31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Escaneo de vulnerabilidades mensual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Escaneo mensual de vulnerabilidades en sistemas operativos de servidores y dependencias de aplicaciones. Herramientas: Nessus, OpenVAS, Snyk o equivalentes. Hallazgos reportados al CISO.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A.8.8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CT-26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parches de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Parches críticos aplicados dentro de 15 días naturales tras su publicación. Parches de severidad media dentro de 30 días. Proceso de prueba en staging antes de aplicar en producción.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CT-27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Análisis de dependencias de código abierto (SCA)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Revisión mensual de vulnerabilidades conocidas (CVEs) en librerías y dependencias de terceros. Herramientas: Dependabot, OWASP Dependency-Check. Actualización oportuna de dependencias vulnerables.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A-06, A-17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Gerente Desarrollo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A.8.29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CT-28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Pruebas de seguridad de aplicaciones (SAST/DAST)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SAST (análisis estático) integrado en el pipeline para cambios en funcionalidades críticas. DAST (análisis dinámico) trimestral en aplicaciones web expuestas a internet.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A-06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A.8.29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Controles de respaldo y recuperación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CT-29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Backups automatizados de activos críticos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Backups diarios automatizados de bases de datos de producción, CRM y repositorios Git. Semanales para ERP y RRHH. Almacenados en zona geográfica separada. (POL-10).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A-10, A-15, A-23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CT-30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Prueba mensual de restauración de backups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Detectivo + 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Verificación mensual de que los backups son recuperables mediante prueba de restauración documentada. No basta confirmar que el backup se completó; debe restaurarse y validarse el contenido.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A-10, A-15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CT-31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 de recuperación ante desastres (DRP)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Plan formal que define los procedimientos de recuperación para cada sistema crítico, incluyendo RTO y RPO definidos. (Documento 7 — Continuidad del Negocio).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A-10, A-15, A-16, A-18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A.5.30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CT-32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Rollback documentado para cambios en producción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Correctivo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Todo cambio en producción debe tener un procedimiento de rollback documentado y probado antes de ser desplegado. El rollback debe poder ejecutarse en menos de 30 minutos.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A-15, A-18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A.8.32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6.7 Controles de protección del correo electrónico</w:t>
      </w:r>
    </w:p>
    <w:tbl>
      <w:tblPr>
        <w:tblW w:type="dxa" w:w="11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1200"/>
        <w:gridCol w:w="2800"/>
        <w:gridCol w:w="1400"/>
        <w:gridCol w:w="1400"/>
        <w:gridCol w:w="1000"/>
        <w:gridCol w:w="760"/>
      </w:tblGrid>
      <w:tr>
        <w:trPr>
          <w:tblHeader/>
        </w:trPr>
        <w:tc>
          <w:tcPr>
            <w:tcW w:type="dxa" w:w="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 e implementación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ISO A.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CT-33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Filtros anti-phishing y anti-spam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Activar los filtros avanzados anti-phishing del proveedor de correo (Google Workspace / M365 Defender). Configurar DMARC, DKIM y SPF para el dominio de NovaTech.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A.8.23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CT-34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DLP básico en correo corporativo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Preventivo + Detectivo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Reglas de prevención de pérdida de datos que detecten y alerten (o bloqueen) el envío externo de información clasificada como Confidencial o Crítica sin autorización.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A-07, A-20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A.8.12</w:t>
            </w:r>
          </w:p>
        </w:tc>
      </w:tr>
      <w:tr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Verificación de destinatarios para información sensible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Procedimiento de triple verificación de destinatarios antes de enviar información Confidencial por correo. Cultura reforzada por capacitación (Incidente II).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A-07, A-20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Gerentes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A.8.23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Defensa en Profundidad por Activo Crítico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siguiente tabla muestra cómo los controles se aplican en capas para cada activo crítico, ilustrando la estrategia de defensa en profundidad de NovaTech Solutions:</w:t>
      </w:r>
    </w:p>
    <w:p>
      <w:pPr>
        <w:spacing w:before="8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Código fuente (AC-01)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de defensa</w:t>
            </w:r>
          </w:p>
        </w:tc>
        <w:tc>
          <w:tcPr>
            <w:tcW w:type="dxa" w:w="4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Controles aplicados</w:t>
            </w:r>
          </w:p>
        </w:tc>
        <w:tc>
          <w:tcPr>
            <w:tcW w:type="dxa" w:w="2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5 — Personas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CP-03 (capacitación), CP-04 (simulacros phishing), CP-05 (offboarding), CP-08 (acuse de recibo)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A-04, A-05, A-11, A-13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4 — Datos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CO-04 (clasificación: Crítico), CT-19 (cifrado en reposo), CT-21 (gestión de claves)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3 — Aplicación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CT-01 (MFA), CT-03 (RBAC), CT-22 (escaneo de secretos), CT-23 (code review), CT-24 (separación ambientes)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A-03, A-05, A-06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2 — Red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CT-07 (VPN), CT-13 (logs de acceso), CT-14 (DLP básico), CT-16 (alertas consola nube)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A-04, A-11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1 — Físico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CF-03 (pantallas limpias), CF-04 (cifrado de disco), CF-05 (control de USB)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A-02, A-04, A-22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Base de datos de clientes (AC-02)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de defensa</w:t>
            </w:r>
          </w:p>
        </w:tc>
        <w:tc>
          <w:tcPr>
            <w:tcW w:type="dxa" w:w="4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Controles aplicados</w:t>
            </w:r>
          </w:p>
        </w:tc>
        <w:tc>
          <w:tcPr>
            <w:tcW w:type="dxa" w:w="2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5 — Personas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CP-03 (capacitación), CP-04 (phishing), CP-05 (offboarding), CP-06 (disciplinario)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A-07, A-09, A-11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4 — Datos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CO-04 (clasificación: Crítico), CT-18 (TLS), CT-19 (cifrado en reposo), CT-34 (DLP correo)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A-07, A-10, A-20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3 — Aplicación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CT-01 (MFA en CRM), CT-03 (RBAC), CT-12 (monitoreo disponibilidad), CT-32 (rollback)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A-09, A-15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2 — Red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CT-07 (VPN), CT-08 (segmentación), CT-09 (firewall), CT-13 (logs acceso)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A-06, A-08, A-10, A-16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1 — Backup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CT-29 (backups diarios), CT-30 (pruebas restauración), CT-31 (DRP)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A-08, A-10, A-15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Credenciales de acceso (AC-03)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Capa de defensa</w:t>
            </w:r>
          </w:p>
        </w:tc>
        <w:tc>
          <w:tcPr>
            <w:tcW w:type="dxa" w:w="4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Controles aplicados</w:t>
            </w:r>
          </w:p>
        </w:tc>
        <w:tc>
          <w:tcPr>
            <w:tcW w:type="dxa" w:w="2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Riesgos mitigados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5 — Personas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CP-03 (capacitación en contraseñas y phishing), CP-04 (simulacros), CP-05 (offboarding inmediato)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A-11, A-13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4 — Datos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CT-04 (gestor de contraseñas), CT-05 (política de contraseñas), CT-21 (gestión de claves)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A-12, A-14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3 — Aplicación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CT-01 (MFA en todos los sistemas), CT-02 (IAM centralizado), CT-06 (revocación inmediata)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A-01, A-11, A-13, A-14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2 — Red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CT-11 (paneles no expuestos), CT-13 (logs de acceso), CT-15 (revisión de logs), CT-16 (alertas nube)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A-14, A-19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Capa 3 — Código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CT-22 (escaneo de secretos en CI/CD), CT-23 (code review)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A-03, A-05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Resumen del Catálogo y Priorización de Implementación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Resumen estadístico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600"/>
        <w:gridCol w:w="1600"/>
        <w:gridCol w:w="1600"/>
        <w:gridCol w:w="1360"/>
      </w:tblGrid>
      <w:tr>
        <w:trPr>
          <w:tblHeader/>
        </w:trPr>
        <w:tc>
          <w:tcPr>
            <w:tcW w:type="dxa" w:w="2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Dominio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controles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Preventivos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Detectivos</w:t>
            </w:r>
          </w:p>
        </w:tc>
        <w:tc>
          <w:tcPr>
            <w:tcW w:type="dxa" w:w="16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Correctivos</w:t>
            </w:r>
          </w:p>
        </w:tc>
        <w:tc>
          <w:tcPr>
            <w:tcW w:type="dxa" w:w="13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Compensatorios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Organizacionales (A.5)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Personas (A.6)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Físicos (A.7)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7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Tecnológicos (A.8)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19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TOTAL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45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8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10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Controles de implementación inmediata (0-30 días)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Los siguientes controles atienden los riesgos de nivel Muy Alto identificados en el Documento 4 y deben implementarse de manera prioritaria: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3060"/>
        <w:gridCol w:w="1400"/>
      </w:tblGrid>
      <w:tr>
        <w:trPr>
          <w:tblHeader/>
        </w:trPr>
        <w:tc>
          <w:tcPr>
            <w:tcW w:type="dxa" w:w="9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Control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30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Razón de prioridad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CT-01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MFA en todos los sistemas críticos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A-01, A-11, A-14 (Muy Alto). Sin MFA, el riesgo de acceso no autorizado es extremadamente alto.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CT-06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Revocación inmediata de accesos al cese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A-13. Empleados salientes con acceso activo representan un riesgo inmediato y sin costo de implementación.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RRHH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Escaneo de secretos en CI/CD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A-03, A-05 (Muy Alto). Credenciales en código son el vector de ataque más fácil de explotar.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Logs de acceso a sistemas críticos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A-01, A-02 (Muy Alto). Sin logs, los incidentes son indetectables. Lección directa del Incidente 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CT-29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Backups automatizados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DD5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19"/>
                <w:szCs w:val="19"/>
              </w:rPr>
              <w:t xml:space="preserve">Correctivo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A-08, A-15 (Muy Alto). Sin backups, un fallo en producción puede ser catastrófico. Lección del Incidente III.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CT-35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Triple verificación de destinatarios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A-07 (Muy Alto). Control de bajo costo y alto impacto. Lección directa del Incidente II.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Gerentes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CO-10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de cambios en producción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A-08, A-15 (Muy Alto). Sin este control, cualquier actualización puede derribar sistemas. Incidente III.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+ DevOps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CF-03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Pantallas limpias (bloqueo automático)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30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A-02 (Muy Alto). Control de costo mínimo que previene el tipo de incidente que ya ocurrió (Incidente I).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</w:tr>
    </w:tbl>
    <w:p>
      <w:pPr>
        <w:spacing w:before="20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8.3 Controles de implementación a corto plazo (31-90 días)</w:t>
      </w: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1200"/>
        <w:gridCol w:w="2860"/>
        <w:gridCol w:w="1400"/>
      </w:tblGrid>
      <w:tr>
        <w:trPr>
          <w:tblHeader/>
        </w:trPr>
        <w:tc>
          <w:tcPr>
            <w:tcW w:type="dxa" w:w="9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 Control</w:t>
            </w:r>
          </w:p>
        </w:tc>
        <w:tc>
          <w:tcPr>
            <w:tcW w:type="dxa" w:w="2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1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8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Razón</w:t>
            </w:r>
          </w:p>
        </w:tc>
        <w:tc>
          <w:tcPr>
            <w:tcW w:type="dxa" w:w="14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Responsable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Gestión centralizada de identidades (IAM)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Base para todos los demás controles de acceso. Habilita RBAC y SSO.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RBAC en todos los sistemas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 accesos heredados y excesivos. Atiende A-09, A-21.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Gestor de contraseñas corporativo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A-12. Sin él, las credenciales siguen almacenadas de forma insegura.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CT-07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VPN con MFA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A-02, A-11. Acceso remoto seguro para todos los empleados.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CT-08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Segmentación de red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A-10, A-16. Limita el movimiento lateral de un atacante.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DevOps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CT-12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de disponibilidad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BEAFE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Detectivo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A-08, A-15, A-16. Detección temprana de interrupciones de servicio.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CT-18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Cifrado en tránsito (TLS)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A-06, A-07. Protege datos de clientes en tránsito.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CT-24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Separación de ambientes dev/staging/prod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A-08, A-15. Previene el tipo de incidente que ya ocurrió (Incidente III).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DevOps + CISO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CT-33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Filtros anti-phishing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A-11. El phishing es el vector de ataque más frecuente.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 / TI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CP-03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Programa de capacitación en seguridad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CFCE7" w:val="clear"/>
            <w:tcMar>
              <w:top w:type="dxa" w:w="80"/>
              <w:left w:type="dxa" w:w="130"/>
              <w:bottom w:type="dxa" w:w="8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9"/>
                <w:szCs w:val="19"/>
              </w:rPr>
              <w:t xml:space="preserve">Preventivo</w:t>
            </w:r>
          </w:p>
        </w:tc>
        <w:tc>
          <w:tcPr>
            <w:tcW w:type="dxa" w:w="2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Atiende A-02, A-07, A-11, A-20. El factor humano fue la causa raíz de los 3 incidentes.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CISO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Seguimiento del Estado de Implementación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El CISO mantendrá actualizado el estado de cada control en el siguiente registro. Este registro debe revisarse mensualmente y presentarse a la Dirección en la revisión semestral del SGSI.</w:t>
      </w:r>
    </w:p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8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38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  <w:tc>
          <w:tcPr>
            <w:tcW w:type="dxa" w:w="37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Acción requerida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Implementado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control está completamente en operación y ha sido verificado.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Monitoreo continuo; verificación en próxima auditoría.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En progreso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control está siendo implementado; avance documentado.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3F4F6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Seguimiento semanal por el CISO; fecha de cierre definida.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Pendiente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 control no ha iniciado su implementación.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Priorizar según la tabla de implementación de la sección 8.2 y 8.3.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8"/>
              <w:left w:val="single" w:color="92400E" w:sz="8"/>
              <w:bottom w:val="single" w:color="92400E" w:sz="8"/>
              <w:right w:val="single" w:color="92400E" w:sz="8"/>
            </w:tcBorders>
            <w:shd w:fill="FEF3C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Nota sobre controles compensatorios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Mientras se implementan los controles definitivos, el CISO puede autorizar controles compensatorios temporales que reduzcan el riesgo a un nivel aceptable.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Ejemplo: mientras se implementa el IAM centralizado (CT-02), puede aplicarse una revisión manual semanal de accesos activos como control compensatorio.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controles compensatorios deben documentarse en el Registro de Excepciones de Seguridad (Documento 5, Sección 12.1) con fecha de expiración.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Un control compensatorio no sustituye definitivamente al control primario; solo proporciona cobertura temporal.</w:t>
            </w:r>
          </w:p>
        </w:tc>
      </w:tr>
    </w:tbl>
    <w:p>
      <w:pPr>
        <w:spacing w:before="200"/>
      </w:pPr>
    </w:p>
    <w:p>
      <w:r>
        <w:br w:type="page"/>
      </w:r>
    </w:p>
    <w:p>
      <w:pPr>
        <w:pStyle w:val="Heading1"/>
        <w:pBdr>
          <w:bottom w:val="single" w:color="2563EB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3200"/>
        <w:gridCol w:w="3660"/>
      </w:tblGrid>
      <w:tr>
        <w:trPr>
          <w:tblHeader/>
        </w:trPr>
        <w:tc>
          <w:tcPr>
            <w:tcW w:type="dxa" w:w="10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5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3660"/>
            <w:tcBorders>
              <w:top w:val="single" w:color="999999" w:sz="5"/>
              <w:left w:val="single" w:color="999999" w:sz="5"/>
              <w:bottom w:val="single" w:color="999999" w:sz="5"/>
              <w:right w:val="single" w:color="999999" w:sz="5"/>
            </w:tcBorders>
            <w:shd w:fill="1B3A6B" w:val="clear"/>
            <w:tcMar>
              <w:top w:type="dxa" w:w="100"/>
              <w:left w:type="dxa" w:w="130"/>
              <w:bottom w:type="dxa" w:w="10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1.0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2026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Comité de Seguridad de la Información</w:t>
            </w:r>
          </w:p>
        </w:tc>
        <w:tc>
          <w:tcPr>
            <w:tcW w:type="dxa" w:w="36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Versión inicial del catálogo de controles de seguridad — 45 controles en 4 dominios ISO/IEC 27001:2022</w:t>
            </w:r>
          </w:p>
        </w:tc>
      </w:tr>
    </w:tbl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8"/>
            </w:tcBorders>
            <w:shd w:fill="DBEA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Relación con otros documentos del SGSI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Este catálogo de controles se deriva directamente del Plan de Tratamiento de Riesgos del Documento 4 — Gestión de Riesgos OCTAVE Allegro.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Las políticas que sustentan estos controles están definidas en el Documento 5 — Políticas de Seguridad.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controles de continuidad (CT-29, CT-30, CT-31, CT-32) se desarrollan en detalle en el Documento 7 — Continuidad del Negocio.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controles de respuesta a incidentes (CO-08, CO-09) se desarrollan en el Documento 8 — Respuesta a Incidentes.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Los controles de capacitación (CP-03, CP-04) se desarrollan en el Documento 9 — Capacitación y Concientización.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La verificación del estado de todos estos controles se realiza mediante el Documento 10 — Métricas y Auditoría.</w:t>
            </w:r>
          </w:p>
        </w:tc>
      </w:tr>
    </w:tbl>
    <w:p>
      <w:pPr>
        <w:spacing w:before="20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3"/>
      </w:pBdr>
      <w:spacing w:before="80"/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Confidencial  |  NovaTech Solutions  |  Página </w:t>
    </w:r>
    <w:r>
      <w:rPr>
        <w:color w:val="37415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374151"/>
        <w:sz w:val="16"/>
        <w:szCs w:val="16"/>
      </w:rPr>
      <w:t xml:space="preserve"> de </w:t>
    </w:r>
    <w:r>
      <w:rPr>
        <w:color w:val="3741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3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SGSI — NovaTech Solutions</w:t>
    </w:r>
    <w:r>
      <w:rPr>
        <w:rFonts w:ascii="Arial" w:cs="Arial" w:eastAsia="Arial" w:hAnsi="Arial"/>
        <w:color w:val="374151"/>
        <w:sz w:val="18"/>
        <w:szCs w:val="18"/>
      </w:rPr>
      <w:t xml:space="preserve">     |     Controles de Seguridad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2026-04-04T05:29:06.879Z</dcterms:created>
  <dcterms:modified xsi:type="dcterms:W3CDTF">2026-04-04T05:29:06.882Z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