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20" w:before="0"/>
        <w:jc w:val="center"/>
      </w:pPr>
      <w:r>
        <w:rPr>
          <w:rFonts w:ascii="Arial" w:cs="Arial" w:eastAsia="Arial" w:hAnsi="Arial"/>
          <w:b/>
          <w:bCs/>
          <w:color w:val="2563EB"/>
          <w:sz w:val="52"/>
          <w:szCs w:val="52"/>
        </w:rPr>
        <w:t xml:space="preserve">CUMPLIMIENTO NORMATIVO</w:t>
      </w:r>
    </w:p>
    <w:p>
      <w:pPr>
        <w:spacing w:after="160" w:before="0"/>
        <w:jc w:val="center"/>
      </w:pPr>
      <w:r>
        <w:rPr>
          <w:rFonts w:ascii="Arial" w:cs="Arial" w:eastAsia="Arial" w:hAnsi="Arial"/>
          <w:b/>
          <w:bCs/>
          <w:color w:val="1B3A6B"/>
          <w:sz w:val="24"/>
          <w:szCs w:val="24"/>
        </w:rPr>
        <w:t xml:space="preserve">Ley Federal de Protección de Datos Personales en Posesión de los Particulares</w:t>
      </w:r>
    </w:p>
    <w:p>
      <w:pPr>
        <w:spacing w:after="480" w:before="0"/>
        <w:jc w:val="center"/>
      </w:pPr>
      <w:r>
        <w:rPr>
          <w:rFonts w:ascii="Arial" w:cs="Arial" w:eastAsia="Arial" w:hAnsi="Arial"/>
          <w:i/>
          <w:iCs/>
          <w:color w:val="374151"/>
          <w:sz w:val="22"/>
          <w:szCs w:val="22"/>
        </w:rPr>
        <w:t xml:space="preserve">Documento 11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Confidencial — Uso interno y regulatorio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 por el DPO</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DPO / 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Marco normativo</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LFPDPPP (DOF 2010) | Reglamento LFPDPPP | Lineamientos INAI | ISO/IEC 27001</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marco de cumplimiento normativo de NovaTech Solutions en materia de protección de datos personales, conforme a la Ley Federal de Protección de Datos Personales en Posesión de los Particulares (LFPDPPP) y su reglamento. Constituye la evidencia documental de que la organización reconoce sus obligaciones legales, ha identificado los datos personales que trata y ha implementado o planificado los controles necesarios para su protección.</w:t>
      </w:r>
    </w:p>
    <w:p>
      <w:pPr>
        <w:spacing w:after="80" w:before="80"/>
      </w:pPr>
      <w:r>
        <w:rPr>
          <w:rFonts w:ascii="Arial" w:cs="Arial" w:eastAsia="Arial" w:hAnsi="Arial"/>
          <w:color w:val="374151"/>
          <w:sz w:val="22"/>
          <w:szCs w:val="22"/>
        </w:rPr>
        <w:t xml:space="preserve">Este es el documento de cierre del repositorio SGSI_NovaTech/ y el que conecta el sistema de gestión con el marco regulatorio mexicano. Su existencia y actualización son condición necesaria para que NovaTech Solutions pueda demostrar ante el INAI que actúa con responsabilidad en el tratamiento de datos personales.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¿Por qué la LFPDPPP es crítica para NovaTech Solutions?</w:t>
            </w:r>
          </w:p>
          <w:p>
            <w:pPr>
              <w:pStyle w:val="ListParagraph"/>
              <w:numPr>
                <w:ilvl w:val="0"/>
                <w:numId w:val="2"/>
              </w:numPr>
              <w:spacing w:after="40" w:before="40"/>
            </w:pPr>
            <w:r>
              <w:rPr>
                <w:rFonts w:ascii="Arial" w:cs="Arial" w:eastAsia="Arial" w:hAnsi="Arial"/>
                <w:color w:val="374151"/>
                <w:sz w:val="21"/>
                <w:szCs w:val="21"/>
              </w:rPr>
              <w:t xml:space="preserve">NovaTech gestiona datos personales de dos grupos de titulares: sus 120 empleados y los clientes de las empresas para las cuales desarrolla plataformas digitales.</w:t>
            </w:r>
          </w:p>
          <w:p>
            <w:pPr>
              <w:pStyle w:val="ListParagraph"/>
              <w:numPr>
                <w:ilvl w:val="0"/>
                <w:numId w:val="2"/>
              </w:numPr>
              <w:spacing w:after="40" w:before="40"/>
            </w:pPr>
            <w:r>
              <w:rPr>
                <w:rFonts w:ascii="Arial" w:cs="Arial" w:eastAsia="Arial" w:hAnsi="Arial"/>
                <w:color w:val="374151"/>
                <w:sz w:val="21"/>
                <w:szCs w:val="21"/>
              </w:rPr>
              <w:t xml:space="preserve">El Incidente II demostró que existe riesgo real de filtración de datos personales de clientes — un evento que bajo la LFPDPPP genera obligaciones de notificación al INAI y a los titulares afectados.</w:t>
            </w:r>
          </w:p>
          <w:p>
            <w:pPr>
              <w:pStyle w:val="ListParagraph"/>
              <w:numPr>
                <w:ilvl w:val="0"/>
                <w:numId w:val="2"/>
              </w:numPr>
              <w:spacing w:after="40" w:before="40"/>
            </w:pPr>
            <w:r>
              <w:rPr>
                <w:rFonts w:ascii="Arial" w:cs="Arial" w:eastAsia="Arial" w:hAnsi="Arial"/>
                <w:color w:val="374151"/>
                <w:sz w:val="21"/>
                <w:szCs w:val="21"/>
              </w:rPr>
              <w:t xml:space="preserve">El incumplimiento de la LFPDPPP puede derivar en multas que van desde los 100 hasta los 320,000 días de salario mínimo vigente, dependiendo de la infracción.</w:t>
            </w:r>
          </w:p>
          <w:p>
            <w:pPr>
              <w:pStyle w:val="ListParagraph"/>
              <w:numPr>
                <w:ilvl w:val="0"/>
                <w:numId w:val="2"/>
              </w:numPr>
              <w:spacing w:after="40" w:before="40"/>
            </w:pPr>
            <w:r>
              <w:rPr>
                <w:rFonts w:ascii="Arial" w:cs="Arial" w:eastAsia="Arial" w:hAnsi="Arial"/>
                <w:color w:val="374151"/>
                <w:sz w:val="21"/>
                <w:szCs w:val="21"/>
              </w:rPr>
              <w:t xml:space="preserve">Desde 2023, el INAI ha intensificado sus actividades de verificación y sanción. La tendencia regulatoria en México es hacia mayor exigencia en materia de privacidad.</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Marco Legal Aplicable</w:t>
      </w:r>
    </w:p>
    <w:p>
      <w:pPr>
        <w:pStyle w:val="Heading2"/>
        <w:spacing w:after="140" w:before="280"/>
      </w:pPr>
      <w:r>
        <w:rPr>
          <w:rFonts w:ascii="Arial" w:cs="Arial" w:eastAsia="Arial" w:hAnsi="Arial"/>
          <w:b/>
          <w:bCs/>
          <w:color w:val="2563EB"/>
          <w:sz w:val="28"/>
          <w:szCs w:val="28"/>
        </w:rPr>
        <w:t xml:space="preserve">2.1 Jerarquía normativa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Instrumento legal</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Publicación</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Aplicabilidad a NovaTech</w:t>
            </w:r>
          </w:p>
        </w:tc>
        <w:tc>
          <w:tcPr>
            <w:tcW w:type="dxa" w:w="2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Contenido clave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Ley Federal de Protección de Datos Personales en Posesión de los Particulares (LFPDPPP)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DOF — 5 de julio de 2010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Aplica directamente. NovaTech es un responsable del tratamiento de datos personales de carácter privado.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Principios de tratamiento, derechos ARCO, obligaciones del responsable, medidas de seguridad, sanciones.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Reglamento de la LFPDPPP</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DOF — 21 de diciembre de 2011</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Aplica directamente. Desarrolla las obligaciones de la ley.</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Especificaciones sobre el aviso de privacidad, procedimientos de derechos ARCO, medidas de seguridad administrativas, físicas y técnicas.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Lineamientos del Aviso de Privacidad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DOF — 17 de enero de 2013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Aplica directamente. Define el contenido y formato del aviso de privacidad.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Elementos obligatorios del aviso de privacidad, modalidades (corto, largo, simplificado), publicación.</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Recomendaciones en materia de seguridad de datos personales — INAI</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Documento técnico del INAI</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Referencia técnica. No tiene fuerza de ley pero es la guía del regulador sobre las medidas esperadas.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Medidas de seguridad técnicas, administrativas y físicas recomendadas para el tratamiento seguro de datos.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de Comercio y Ley Federal del Trabajo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Legislación vigente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Aplica a contratos digitales y datos de empleados respectivamente.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Conservación de documentos comerciales y protección de datos laborales.</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Código Fiscal de la Federación</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Legislación vigente</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Aplica a registros financieros y fiscales.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Conservación de registros contables y fiscales (período de 5 años).</w:t>
            </w:r>
          </w:p>
        </w:tc>
      </w:tr>
    </w:tbl>
    <w:p>
      <w:pPr>
        <w:spacing w:before="200"/>
      </w:pPr>
    </w:p>
    <w:p>
      <w:pPr>
        <w:pStyle w:val="Heading2"/>
        <w:spacing w:after="140" w:before="280"/>
      </w:pPr>
      <w:r>
        <w:rPr>
          <w:rFonts w:ascii="Arial" w:cs="Arial" w:eastAsia="Arial" w:hAnsi="Arial"/>
          <w:b/>
          <w:bCs/>
          <w:color w:val="2563EB"/>
          <w:sz w:val="28"/>
          <w:szCs w:val="28"/>
        </w:rPr>
        <w:t xml:space="preserve">2.2 Relación con ISO/IEC 27001</w:t>
      </w:r>
    </w:p>
    <w:p>
      <w:pPr>
        <w:spacing w:after="80" w:before="80"/>
      </w:pPr>
      <w:r>
        <w:rPr>
          <w:rFonts w:ascii="Arial" w:cs="Arial" w:eastAsia="Arial" w:hAnsi="Arial"/>
          <w:color w:val="374151"/>
          <w:sz w:val="22"/>
          <w:szCs w:val="22"/>
        </w:rPr>
        <w:t xml:space="preserve">La LFPDPPP y el estándar ISO/IEC 27001 son complementarios, no sustitutos. Mientras que ISO 27001 proporciona el marco de gestión de seguridad de la información aplicable a todos los activos, la LFPDPPP establece obligaciones específicas sobre los datos personales. Los controles del SGSI de NovaTech atienden simultáneamente a ambos marcos: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Principio LFPDPPP</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Correspondencia en ISO 27001</w:t>
            </w:r>
          </w:p>
        </w:tc>
        <w:tc>
          <w:tcPr>
            <w:tcW w:type="dxa" w:w="4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SGSI NovaTech que lo atiende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Licitud (Art. 8)</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A.5.12 Clasificación de información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CO-04 Clasificación | MOD-03 Capacitación LFPDPPP</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Consentimiento (Art. 8)</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A.5.34 Privacidad</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Aviso de privacidad publicado y mecanismo de consentimiento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Finalidad (Art. 12)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A.5.12 Clasificación de información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Políticas de uso de datos — POL-05</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Proporcionalidad (Art. 13)</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A.5.9 Inventario de activos</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Inventario de activos — Documento 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Responsabilidad (Art. 19)</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Cláusula 5 y A.5.1 Políticas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SGSI completo + POL-01 Política General</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Seguridad de datos (Art. 19)</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A.8 Controles tecnológicos</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Catálogo de controles — Documento 6 (CT-18, CT-19, CT-29...)</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Notificación de vulnerabilidades (Art. 20)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A.5.24 a A.5.28 Gestión de incidentes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Procedimiento de gestión de incidentes — Documento 8</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Derechos ARCO (Arts. 28-37)</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A.5.34 Privacidad | A.5.18 Derechos de acceso</w:t>
            </w:r>
          </w:p>
        </w:tc>
        <w:tc>
          <w:tcPr>
            <w:tcW w:type="dxa" w:w="4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Procedimiento de atención ARCO — Sección 6 de este documento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Inventario de Datos Personales Tratados</w:t>
      </w:r>
    </w:p>
    <w:p>
      <w:pPr>
        <w:spacing w:after="80" w:before="80"/>
      </w:pPr>
      <w:r>
        <w:rPr>
          <w:rFonts w:ascii="Arial" w:cs="Arial" w:eastAsia="Arial" w:hAnsi="Arial"/>
          <w:color w:val="374151"/>
          <w:sz w:val="22"/>
          <w:szCs w:val="22"/>
        </w:rPr>
        <w:t xml:space="preserve">El inventario de datos personales identifica todos los tipos de datos personales que NovaTech Solutions trata en calidad de responsable. Este inventario es el punto de partida para el cumplimiento de los principios de proporcionalidad y finalidad de la LFPDPPP.</w:t>
      </w:r>
    </w:p>
    <w:p>
      <w:pPr>
        <w:pStyle w:val="Heading2"/>
        <w:spacing w:after="140" w:before="280"/>
      </w:pPr>
      <w:r>
        <w:rPr>
          <w:rFonts w:ascii="Arial" w:cs="Arial" w:eastAsia="Arial" w:hAnsi="Arial"/>
          <w:b/>
          <w:bCs/>
          <w:color w:val="2563EB"/>
          <w:sz w:val="28"/>
          <w:szCs w:val="28"/>
        </w:rPr>
        <w:t xml:space="preserve">3.1 Datos personales de clientes (titulares externos)</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400"/>
        <w:gridCol w:w="2000"/>
        <w:gridCol w:w="11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dato personal</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Categoría</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Fuente de obtención</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Finalidad del tratamiento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 donde reside</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sensibilidad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Nombre completo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Formulario de registro / CRM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Identificación del cliente, comunicaciones, facturación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CRM / Base de datos de clientes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electrónico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Contacto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Formulario de registro / contratos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Comunicaciones, soporte técnico, notificaciones del servicio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CRM / Correo corporativo</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Número de teléfono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Contacto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Formulario de registro / contratos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Contacto directo, soporte, verificación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CRM</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Nombre y datos de la empresa</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Datos comerciales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Contratos / CRM</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Facturación, prestación del servicio, reportes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CRM / ERP</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RFC y datos fiscales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Fiscal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Contratos / proceso de facturación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Facturación electrónica, cumplimiento fiscal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Sistema de facturación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Historial de soporte técnico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Operativo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de tickets / CRM</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Prestación del servicio de soporte, trazabilidad</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CRM / Sistema de tickets</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Configuraciones técnicas del servicio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Técnico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Proceso de implementación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Configuración y mantenimiento del servicio contratado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CRM / Repositorios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Confidencial</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Información de pago / facturación</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Financiero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Proceso de facturación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Cobro del servicio, control financiero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w:t>
            </w:r>
          </w:p>
        </w:tc>
      </w:tr>
    </w:tbl>
    <w:p>
      <w:pPr>
        <w:spacing w:before="200"/>
      </w:pPr>
    </w:p>
    <w:p>
      <w:pPr>
        <w:pStyle w:val="Heading2"/>
        <w:spacing w:after="140" w:before="280"/>
      </w:pPr>
      <w:r>
        <w:rPr>
          <w:rFonts w:ascii="Arial" w:cs="Arial" w:eastAsia="Arial" w:hAnsi="Arial"/>
          <w:b/>
          <w:bCs/>
          <w:color w:val="2563EB"/>
          <w:sz w:val="28"/>
          <w:szCs w:val="28"/>
        </w:rPr>
        <w:t xml:space="preserve">3.2 Datos personales de empleados (titulares internos)</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400"/>
        <w:gridCol w:w="2000"/>
        <w:gridCol w:w="11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dato personal</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Categoría</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Fuente de obtención</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Finalidad del tratamiento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Sistema donde reside</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sensibilidad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Nombre completo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Contratación / RRHH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Identificación, nómina, comunicaciones internas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CURP</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Identificación oficial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 ante IMSS, trámites laborales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RFC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Fiscal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Nómina, retenciones fiscales, comprobantes de pago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SAT</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Domicilio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Contacto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Registros de RRHH, prestaciones, envío de documentos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Fecha de nacimiento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Identificación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Cálculo de prestaciones, registro ante IMSS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Datos bancarios (CLABE, banco)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Financiero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Pago de nómina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 / Sistema de nómina</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Número de Seguridad Social (NSS)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Seguridad social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Contratación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 ante IMSS, prestaciones de ley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electrónico corporativo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Contacto laboral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Asignación por NovaTech</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Comunicaciones laborales, acceso a sistemas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 de correo / Directorio</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de salud (incapacidades)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sensibles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Certificados médicos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Administración de incapacidades, IMSS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Crítico (dato sensible)</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Expediente laboral y evaluaciones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Laboral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Proceso de contratación y desempeño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Gestión de RRHH, promociones, historial laboral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ERP / RRHH</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Registros de asistencia y ubicación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Operativo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Sistemas de control de asistencia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Control de asistencia, nómina, cumplimiento laboral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Sistema de asistencia</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w:t>
            </w:r>
          </w:p>
        </w:tc>
      </w:tr>
    </w:tbl>
    <w:p>
      <w:pPr>
        <w:spacing w:before="200"/>
      </w:pPr>
    </w:p>
    <w:p>
      <w:pPr>
        <w:pStyle w:val="Heading2"/>
        <w:spacing w:after="140" w:before="280"/>
      </w:pPr>
      <w:r>
        <w:rPr>
          <w:rFonts w:ascii="Arial" w:cs="Arial" w:eastAsia="Arial" w:hAnsi="Arial"/>
          <w:b/>
          <w:bCs/>
          <w:color w:val="2563EB"/>
          <w:sz w:val="28"/>
          <w:szCs w:val="28"/>
        </w:rPr>
        <w:t xml:space="preserve">3.3 Datos personales de datos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8"/>
              <w:left w:val="single" w:color="991B1B" w:sz="8"/>
              <w:bottom w:val="single" w:color="991B1B" w:sz="8"/>
              <w:right w:val="single" w:color="991B1B" w:sz="8"/>
            </w:tcBorders>
            <w:shd w:fill="FEE2E2" w:val="clear"/>
            <w:tcMar>
              <w:top w:type="dxa" w:w="120"/>
              <w:left w:type="dxa" w:w="160"/>
              <w:bottom w:type="dxa" w:w="120"/>
              <w:right w:type="dxa" w:w="160"/>
            </w:tcMar>
          </w:tcPr>
          <w:p>
            <w:pPr>
              <w:spacing w:after="80" w:before="60"/>
            </w:pPr>
            <w:r>
              <w:rPr>
                <w:rFonts w:ascii="Arial" w:cs="Arial" w:eastAsia="Arial" w:hAnsi="Arial"/>
                <w:b/>
                <w:bCs/>
                <w:color w:val="991B1B"/>
                <w:sz w:val="22"/>
                <w:szCs w:val="22"/>
              </w:rPr>
              <w:t xml:space="preserve">Datos personales sensibles — Régimen especial (Art. 3, fracc. VI LFPDPPP)</w:t>
            </w:r>
          </w:p>
          <w:p>
            <w:pPr>
              <w:pStyle w:val="ListParagraph"/>
              <w:numPr>
                <w:ilvl w:val="0"/>
                <w:numId w:val="2"/>
              </w:numPr>
              <w:spacing w:after="40" w:before="40"/>
            </w:pPr>
            <w:r>
              <w:rPr>
                <w:rFonts w:ascii="Arial" w:cs="Arial" w:eastAsia="Arial" w:hAnsi="Arial"/>
                <w:color w:val="374151"/>
                <w:sz w:val="21"/>
                <w:szCs w:val="21"/>
              </w:rPr>
              <w:t xml:space="preserve">Los datos de salud de empleados (incapacidades, certificados médicos) constituyen datos personales sensibles bajo la LFPDPPP, ya que se refieren al estado de salud de las personas.</w:t>
            </w:r>
          </w:p>
          <w:p>
            <w:pPr>
              <w:pStyle w:val="ListParagraph"/>
              <w:numPr>
                <w:ilvl w:val="0"/>
                <w:numId w:val="2"/>
              </w:numPr>
              <w:spacing w:after="40" w:before="40"/>
            </w:pPr>
            <w:r>
              <w:rPr>
                <w:rFonts w:ascii="Arial" w:cs="Arial" w:eastAsia="Arial" w:hAnsi="Arial"/>
                <w:color w:val="374151"/>
                <w:sz w:val="21"/>
                <w:szCs w:val="21"/>
              </w:rPr>
              <w:t xml:space="preserve">Los datos sensibles requieren consentimiento expreso y escrito del titular para su tratamiento, no solo consentimiento tácito.</w:t>
            </w:r>
          </w:p>
          <w:p>
            <w:pPr>
              <w:pStyle w:val="ListParagraph"/>
              <w:numPr>
                <w:ilvl w:val="0"/>
                <w:numId w:val="2"/>
              </w:numPr>
              <w:spacing w:after="40" w:before="40"/>
            </w:pPr>
            <w:r>
              <w:rPr>
                <w:rFonts w:ascii="Arial" w:cs="Arial" w:eastAsia="Arial" w:hAnsi="Arial"/>
                <w:color w:val="374151"/>
                <w:sz w:val="21"/>
                <w:szCs w:val="21"/>
              </w:rPr>
              <w:t xml:space="preserve">NovaTech Solutions solo puede tratar estos datos cuando sea estrictamente necesario para el cumplimiento de obligaciones laborales y de seguridad social.</w:t>
            </w:r>
          </w:p>
          <w:p>
            <w:pPr>
              <w:pStyle w:val="ListParagraph"/>
              <w:numPr>
                <w:ilvl w:val="0"/>
                <w:numId w:val="2"/>
              </w:numPr>
              <w:spacing w:after="40" w:before="40"/>
            </w:pPr>
            <w:r>
              <w:rPr>
                <w:rFonts w:ascii="Arial" w:cs="Arial" w:eastAsia="Arial" w:hAnsi="Arial"/>
                <w:color w:val="374151"/>
                <w:sz w:val="21"/>
                <w:szCs w:val="21"/>
              </w:rPr>
              <w:t xml:space="preserve">Los datos sensibles deben tener controles de seguridad adicionales: acceso restringido solo al personal de RRHH estrictamente necesario, cifrado en reposo, y registro de accesos.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Obligaciones Legales y Estado de Cumplimiento</w:t>
      </w:r>
    </w:p>
    <w:p>
      <w:pPr>
        <w:spacing w:after="80" w:before="80"/>
      </w:pPr>
      <w:r>
        <w:rPr>
          <w:rFonts w:ascii="Arial" w:cs="Arial" w:eastAsia="Arial" w:hAnsi="Arial"/>
          <w:color w:val="374151"/>
          <w:sz w:val="22"/>
          <w:szCs w:val="22"/>
        </w:rPr>
        <w:t xml:space="preserve">La siguiente tabla presenta el análisis detallado de cada obligación de la LFPDPPP aplicable a NovaTech Solutions, el estado actual de cumplimiento y las acciones requeridas para alcanzarlo.</w:t>
      </w:r>
    </w:p>
    <w:p>
      <w:pPr>
        <w:spacing w:before="80"/>
      </w:pPr>
    </w:p>
    <w:p>
      <w:pPr>
        <w:pStyle w:val="Heading2"/>
        <w:spacing w:after="140" w:before="280"/>
      </w:pPr>
      <w:r>
        <w:rPr>
          <w:rFonts w:ascii="Arial" w:cs="Arial" w:eastAsia="Arial" w:hAnsi="Arial"/>
          <w:b/>
          <w:bCs/>
          <w:color w:val="2563EB"/>
          <w:sz w:val="28"/>
          <w:szCs w:val="28"/>
        </w:rPr>
        <w:t xml:space="preserve">4.1 Obligaciones de transparencia e información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100"/>
        <w:gridCol w:w="3100"/>
        <w:gridCol w:w="1300"/>
        <w:gridCol w:w="10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Artículo</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Obligación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3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implementada / Acción requerida</w:t>
            </w:r>
          </w:p>
        </w:tc>
        <w:tc>
          <w:tcPr>
            <w:tcW w:type="dxa" w:w="13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0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Recabar datos personales con consentimiento del titular, expreso o tácito según corresponda.</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todos los formularios de captación de datos (web, contratos, registro de empleados) y asegurar que incluyan el mecanismo de consentimiento adecuado. Implementar casilla de consentimiento en formularios web.</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Desarrollo</w:t>
            </w:r>
          </w:p>
        </w:tc>
        <w:tc>
          <w:tcPr>
            <w:tcW w:type="dxa" w:w="1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15</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Informar a los titulares sobre el tratamiento de sus datos mediante un Aviso de Privacidad.</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Elaborar y publicar el Aviso de Privacidad en el sitio web de NovaTech y en todos los puntos de captación de datos (contratos, formularios de empleados, correos de clientes).</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w:t>
            </w:r>
          </w:p>
        </w:tc>
        <w:tc>
          <w:tcPr>
            <w:tcW w:type="dxa" w:w="1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30 días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El Aviso de Privacidad debe contener: identidad y domicilio del responsable, finalidades, mecanismo para ejercer derechos ARCO, opciones para limitar el uso, y medios para comunicar cambios.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Redactar el Aviso de Privacidad conforme al artículo 16 y los Lineamientos del INAI. Incluir todos los elementos obligatorios (ver plantilla en Sección 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w:t>
            </w:r>
          </w:p>
        </w:tc>
        <w:tc>
          <w:tcPr>
            <w:tcW w:type="dxa" w:w="10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17</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Comunicar los cambios al Aviso de Privacidad al titular cuando se modifiquen las finalidades o condiciones del tratamiento.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1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procedimiento de notificación de cambios al Aviso de Privacidad (correo a titulares + actualización en sitio web).</w:t>
            </w:r>
          </w:p>
        </w:tc>
        <w:tc>
          <w:tcPr>
            <w:tcW w:type="dxa" w:w="13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w:t>
            </w:r>
          </w:p>
        </w:tc>
        <w:tc>
          <w:tcPr>
            <w:tcW w:type="dxa" w:w="10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60 días</w:t>
            </w:r>
          </w:p>
        </w:tc>
      </w:tr>
    </w:tbl>
    <w:p>
      <w:pPr>
        <w:spacing w:before="200"/>
      </w:pPr>
    </w:p>
    <w:p>
      <w:pPr>
        <w:pStyle w:val="Heading2"/>
        <w:spacing w:after="140" w:before="280"/>
      </w:pPr>
      <w:r>
        <w:rPr>
          <w:rFonts w:ascii="Arial" w:cs="Arial" w:eastAsia="Arial" w:hAnsi="Arial"/>
          <w:b/>
          <w:bCs/>
          <w:color w:val="2563EB"/>
          <w:sz w:val="28"/>
          <w:szCs w:val="28"/>
        </w:rPr>
        <w:t xml:space="preserve">4.2 Principios de 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3700"/>
        <w:gridCol w:w="1500"/>
        <w:gridCol w:w="86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Artículo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Principio</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37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implementada / Acción requerida</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8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Licitud: los datos deben obtenerse por medios lícitos, sin engaño ni violencia.</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Los datos de clientes y empleados se obtienen mediante contratos y formularios formales. Revisar que ninguna fuente de captación sea informal o no documentada.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RRHH</w:t>
            </w:r>
          </w:p>
        </w:tc>
        <w:tc>
          <w:tcPr>
            <w:tcW w:type="dxa" w:w="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7</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Consentimiento: datos personales no sensibles pueden tratarse con consentimiento tácito (no objeción). Sensibles requieren consentimiento expreso y escrito.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Identificar todos los datos sensibles tratados (datos de salud de empleados) e implementar mecanismo de consentimiento expreso y escrito para su tratamiento.</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RRHH</w:t>
            </w:r>
          </w:p>
        </w:tc>
        <w:tc>
          <w:tcPr>
            <w:tcW w:type="dxa" w:w="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45 días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Finalidad: los datos solo pueden usarse para los fines declarados en el Aviso de Privacidad.</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Mapear las finalidades del tratamiento de cada tipo de dato y verificar que estén declaradas en el Aviso de Privacidad. Prohibir usos de datos no declarados.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w:t>
            </w:r>
          </w:p>
        </w:tc>
        <w:tc>
          <w:tcPr>
            <w:tcW w:type="dxa" w:w="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13</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Proporcionalidad: solo deben recabarse los datos estrictamente necesarios para las finalidades declaradas.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los formularios de captación de datos para eliminar campos que recopilan información no necesaria para la prestación del servicio.</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Desarrollo + RRHH</w:t>
            </w:r>
          </w:p>
        </w:tc>
        <w:tc>
          <w:tcPr>
            <w:tcW w:type="dxa" w:w="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60 días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Calidad: los datos deben ser exactos, completos, pertinentes y actualizados según la finalidad de su tratamiento.</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procedimiento de actualización periódica de datos de clientes y empleados. Implementar mecanismo para que los titulares actualicen sus datos.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Atención Clientes + RRHH</w:t>
            </w:r>
          </w:p>
        </w:tc>
        <w:tc>
          <w:tcPr>
            <w:tcW w:type="dxa" w:w="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60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19</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Seguridad: el responsable debe implementar medidas de seguridad administrativas, físicas y técnicas para proteger los datos.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7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SGSI completo (Documentos 1-10) representa las medidas de seguridad. Documentar específicamente las medidas que protegen los datos personales.</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CISO + DPO</w:t>
            </w:r>
          </w:p>
        </w:tc>
        <w:tc>
          <w:tcPr>
            <w:tcW w:type="dxa" w:w="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Al completar el SGSI</w:t>
            </w:r>
          </w:p>
        </w:tc>
      </w:tr>
    </w:tbl>
    <w:p>
      <w:pPr>
        <w:spacing w:before="200"/>
      </w:pPr>
    </w:p>
    <w:p>
      <w:pPr>
        <w:pStyle w:val="Heading2"/>
        <w:spacing w:after="140" w:before="280"/>
      </w:pPr>
      <w:r>
        <w:rPr>
          <w:rFonts w:ascii="Arial" w:cs="Arial" w:eastAsia="Arial" w:hAnsi="Arial"/>
          <w:b/>
          <w:bCs/>
          <w:color w:val="2563EB"/>
          <w:sz w:val="28"/>
          <w:szCs w:val="28"/>
        </w:rPr>
        <w:t xml:space="preserve">4.3 Derechos 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1000"/>
        <w:gridCol w:w="2760"/>
        <w:gridCol w:w="100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Artículo</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Derecho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2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Procedimiento implementado</w:t>
            </w:r>
          </w:p>
        </w:tc>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 legal de atención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28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Acceso (A)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El titular tiene derecho a conocer qué datos personales posee NovaTech Solutions sobre él, de qué fuente se obtuvieron, la finalidad del tratamiento y las transferencias realizadas.</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el procedimiento de atención de solicitudes de Acceso (ver Sección 6). Canal: correo del DPO. Verificación de identidad del solicitante.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20 días hábiles para respuesta inicial</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29</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Rectificación (R)</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titular puede solicitar que se corrijan sus datos personales cuando sean inexactos, incompletos o desactualizados.</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el procedimiento de Rectificación. El DPO coordina con el área que custodia el dato para ejecutar la corrección.</w:t>
            </w:r>
          </w:p>
        </w:tc>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20 días hábiles para respuesta inicial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Cancelación (C)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El titular puede solicitar que NovaTech Solutions elimine sus datos personales cuando hayan dejado de ser necesarios para la finalidad declarada o cuando el titular revoque su consentimiento.</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el procedimiento de Cancelación con período de bloqueo antes de la eliminación definitiva. Excepciones: datos requeridos por obligación legal.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20 días hábiles para respuesta inicial</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31</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Oposición (O)</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titular puede oponerse al tratamiento de sus datos para finalidades específicas (ej. marketing), cuando exista causa legítima o cuando tenga intereses legítimos que prevalezcan.</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Establecer el procedimiento de Oposición. El DPO evalúa la solicitud y coordina con el área responsable.</w:t>
            </w:r>
          </w:p>
        </w:tc>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20 días hábiles para respuesta inicial</w:t>
            </w:r>
          </w:p>
        </w:tc>
      </w:tr>
    </w:tbl>
    <w:p>
      <w:pPr>
        <w:spacing w:before="200"/>
      </w:pPr>
    </w:p>
    <w:p>
      <w:pPr>
        <w:pStyle w:val="Heading2"/>
        <w:spacing w:after="140" w:before="280"/>
      </w:pPr>
      <w:r>
        <w:rPr>
          <w:rFonts w:ascii="Arial" w:cs="Arial" w:eastAsia="Arial" w:hAnsi="Arial"/>
          <w:b/>
          <w:bCs/>
          <w:color w:val="2563EB"/>
          <w:sz w:val="28"/>
          <w:szCs w:val="28"/>
        </w:rPr>
        <w:t xml:space="preserve">4.4 Obligaciones de seguridad y notificación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100"/>
        <w:gridCol w:w="3000"/>
        <w:gridCol w:w="1500"/>
        <w:gridCol w:w="800"/>
      </w:tblGrid>
      <w:tr>
        <w:trPr>
          <w:tblHeader/>
        </w:trPr>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Artículo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Obligación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implementada / Acción requerida</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19</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Implementar medidas de seguridad administrativas, físicas y técnicas proporcionales a los datos tratados.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El SGSI de NovaTech (Documentos 1-10) constituye las medidas de seguridad. El DPO documenta específicamente cómo estas medidas protegen los datos personales (ver Sección 7 de este documento).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CISO + DPO</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Al completar el SGSI</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20</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Notificar al INAI y a los titulares cuando se produzca una vulnerabilidad de seguridad que comprometa datos personales de manera significativa.</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El procedimiento de gestión de incidentes (Documento 8) incluye la fase de evaluación por el DPO y notificación al INAI. El DPO debe conocer los lineamientos actuales del INAI para notificaciones.</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CISO</w:t>
            </w:r>
          </w:p>
        </w:tc>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Procedimiento activo desde la implementación del SGSI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Art. 36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Transferencia de datos a terceros: si NovaTech transfiere datos personales a terceros (ej. proveedores de nube, subcontratistas), debe hacerlo conforme a los lineamientos del INAI y comunicarlo en el Aviso de Privacidad.</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Identificar todas las transferencias de datos personales a terceros (proveedores de nube, herramientas de CRM como SaaS). Incluirlas en el Aviso de Privacidad. Revisar contratos con terceros que procesen datos personales.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DPO + Administración</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60 días</w:t>
            </w:r>
          </w:p>
        </w:tc>
      </w:tr>
      <w:tr>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Arts. 43-48</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Procedimiento de verificación del INAI: NovaTech debe estar preparada para atender una visita de verificación del INAI, presentando sus políticas, registros y evidencias de cumplimiento.</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Organizar el expediente de cumplimiento normativo (este documento + evidencias del SGSI) de modo que pueda presentarse ante el INAI en caso de verificación.</w:t>
            </w:r>
          </w:p>
        </w:tc>
        <w:tc>
          <w:tcPr>
            <w:tcW w:type="dxa" w:w="1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DPO</w:t>
            </w:r>
          </w:p>
        </w:tc>
        <w:tc>
          <w:tcPr>
            <w:tcW w:type="dxa" w:w="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90 días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Aviso de Privacidad — Modelo para NovaTech Solutions</w:t>
      </w:r>
    </w:p>
    <w:p>
      <w:pPr>
        <w:spacing w:after="80" w:before="80"/>
      </w:pPr>
      <w:r>
        <w:rPr>
          <w:rFonts w:ascii="Arial" w:cs="Arial" w:eastAsia="Arial" w:hAnsi="Arial"/>
          <w:color w:val="374151"/>
          <w:sz w:val="22"/>
          <w:szCs w:val="22"/>
        </w:rPr>
        <w:t xml:space="preserve">El siguiente modelo de Aviso de Privacidad ha sido redactado conforme al artículo 16 de la LFPDPPP y los Lineamientos del INAI. Debe ser revisado y aprobado por el DPO y el área legal antes de su publicación. Este modelo cubre el tratamiento de datos de clientes; se requiere un Aviso separado para empleados.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AVISO DE PRIVACIDAD — CLIENTES DE NOVATECH SOLUTIONS</w:t>
            </w:r>
          </w:p>
          <w:p>
            <w:pPr>
              <w:pStyle w:val="ListParagraph"/>
              <w:numPr>
                <w:ilvl w:val="0"/>
                <w:numId w:val="2"/>
              </w:numPr>
              <w:spacing w:after="40" w:before="40"/>
            </w:pPr>
            <w:r>
              <w:rPr>
                <w:rFonts w:ascii="Arial" w:cs="Arial" w:eastAsia="Arial" w:hAnsi="Arial"/>
                <w:color w:val="374151"/>
                <w:sz w:val="21"/>
                <w:szCs w:val="21"/>
              </w:rPr>
              <w:t xml:space="preserve">Responsable del tratamiento: NovaTech Solutions, S.A. de C.V., con domicilio en [Dirección completa], Monterrey, Nuevo León, México. Correo de contacto: [correo del DPO].</w:t>
            </w:r>
          </w:p>
          <w:p>
            <w:pPr>
              <w:pStyle w:val="ListParagraph"/>
              <w:numPr>
                <w:ilvl w:val="0"/>
                <w:numId w:val="2"/>
              </w:numPr>
              <w:spacing w:after="40" w:before="40"/>
            </w:pPr>
            <w:r>
              <w:rPr>
                <w:rFonts w:ascii="Arial" w:cs="Arial" w:eastAsia="Arial" w:hAnsi="Arial"/>
                <w:color w:val="374151"/>
                <w:sz w:val="21"/>
                <w:szCs w:val="21"/>
              </w:rPr>
              <w:t xml:space="preserve">Datos personales recabados: nombre completo, correo electrónico, número de teléfono, datos de la empresa, RFC, historial de soporte técnico y datos de facturación. Para los contratos con personas físicas: datos adicionales de identificación conforme a los requisitos del servicio contratado.</w:t>
            </w:r>
          </w:p>
          <w:p>
            <w:pPr>
              <w:pStyle w:val="ListParagraph"/>
              <w:numPr>
                <w:ilvl w:val="0"/>
                <w:numId w:val="2"/>
              </w:numPr>
              <w:spacing w:after="40" w:before="40"/>
            </w:pPr>
            <w:r>
              <w:rPr>
                <w:rFonts w:ascii="Arial" w:cs="Arial" w:eastAsia="Arial" w:hAnsi="Arial"/>
                <w:color w:val="374151"/>
                <w:sz w:val="21"/>
                <w:szCs w:val="21"/>
              </w:rPr>
              <w:t xml:space="preserve">Finalidades primarias (necesarias para la prestación del servicio): identificación del cliente, comunicación para la prestación del servicio, soporte técnico, facturación, cumplimiento de obligaciones contractuales y fiscales.</w:t>
            </w:r>
          </w:p>
          <w:p>
            <w:pPr>
              <w:pStyle w:val="ListParagraph"/>
              <w:numPr>
                <w:ilvl w:val="0"/>
                <w:numId w:val="2"/>
              </w:numPr>
              <w:spacing w:after="40" w:before="40"/>
            </w:pPr>
            <w:r>
              <w:rPr>
                <w:rFonts w:ascii="Arial" w:cs="Arial" w:eastAsia="Arial" w:hAnsi="Arial"/>
                <w:color w:val="374151"/>
                <w:sz w:val="21"/>
                <w:szCs w:val="21"/>
              </w:rPr>
              <w:t xml:space="preserve">Finalidades secundarias (opcionales): envío de boletines informativos sobre nuevos productos y servicios de NovaTech Solutions. Si no desea que sus datos sean usados para estas finalidades, puede manifestarlo a través del correo [correo del DPO] dentro de los 5 días hábiles siguientes a la recepción de este aviso.</w:t>
            </w:r>
          </w:p>
          <w:p>
            <w:pPr>
              <w:pStyle w:val="ListParagraph"/>
              <w:numPr>
                <w:ilvl w:val="0"/>
                <w:numId w:val="2"/>
              </w:numPr>
              <w:spacing w:after="40" w:before="40"/>
            </w:pPr>
            <w:r>
              <w:rPr>
                <w:rFonts w:ascii="Arial" w:cs="Arial" w:eastAsia="Arial" w:hAnsi="Arial"/>
                <w:color w:val="374151"/>
                <w:sz w:val="21"/>
                <w:szCs w:val="21"/>
              </w:rPr>
              <w:t xml:space="preserve">Transferencias: sus datos personales pueden ser compartidos con proveedores de servicios tecnológicos que colaboran en la prestación del servicio (proveedor de nube, sistema de CRM), quienes actúan como encargados del tratamiento bajo las condiciones de confidencialidad establecidas contractualmente. No se realizarán transferencias que requieran su consentimiento sin informárselo previamente.</w:t>
            </w:r>
          </w:p>
          <w:p>
            <w:pPr>
              <w:pStyle w:val="ListParagraph"/>
              <w:numPr>
                <w:ilvl w:val="0"/>
                <w:numId w:val="2"/>
              </w:numPr>
              <w:spacing w:after="40" w:before="40"/>
            </w:pPr>
            <w:r>
              <w:rPr>
                <w:rFonts w:ascii="Arial" w:cs="Arial" w:eastAsia="Arial" w:hAnsi="Arial"/>
                <w:color w:val="374151"/>
                <w:sz w:val="21"/>
                <w:szCs w:val="21"/>
              </w:rPr>
              <w:t xml:space="preserve">Derechos ARCO: usted tiene derecho de Acceder, Rectificar, Cancelar u Oponerse al tratamiento de sus datos personales. Para ejercer sus derechos, envíe su solicitud al correo [correo del DPO] con identificación oficial adjunta. Responderemos dentro de los 20 días hábiles.</w:t>
            </w:r>
          </w:p>
          <w:p>
            <w:pPr>
              <w:pStyle w:val="ListParagraph"/>
              <w:numPr>
                <w:ilvl w:val="0"/>
                <w:numId w:val="2"/>
              </w:numPr>
              <w:spacing w:after="40" w:before="40"/>
            </w:pPr>
            <w:r>
              <w:rPr>
                <w:rFonts w:ascii="Arial" w:cs="Arial" w:eastAsia="Arial" w:hAnsi="Arial"/>
                <w:color w:val="374151"/>
                <w:sz w:val="21"/>
                <w:szCs w:val="21"/>
              </w:rPr>
              <w:t xml:space="preserve">Cambios al aviso: cualquier modificación a este Aviso de Privacidad será comunicada a través de nuestro sitio web [URL] y/o por correo electrónico.</w:t>
            </w:r>
          </w:p>
          <w:p>
            <w:pPr>
              <w:pStyle w:val="ListParagraph"/>
              <w:numPr>
                <w:ilvl w:val="0"/>
                <w:numId w:val="2"/>
              </w:numPr>
              <w:spacing w:after="40" w:before="40"/>
            </w:pPr>
            <w:r>
              <w:rPr>
                <w:rFonts w:ascii="Arial" w:cs="Arial" w:eastAsia="Arial" w:hAnsi="Arial"/>
                <w:color w:val="374151"/>
                <w:sz w:val="21"/>
                <w:szCs w:val="21"/>
              </w:rPr>
              <w:t xml:space="preserve">Fecha de última actualización: [Fecha].</w:t>
            </w:r>
          </w:p>
        </w:tc>
      </w:tr>
    </w:tbl>
    <w:p>
      <w:pPr>
        <w:spacing w:before="200"/>
      </w:pPr>
    </w:p>
    <w:p>
      <w:pPr>
        <w:pStyle w:val="Heading2"/>
        <w:spacing w:after="140" w:before="280"/>
      </w:pPr>
      <w:r>
        <w:rPr>
          <w:rFonts w:ascii="Arial" w:cs="Arial" w:eastAsia="Arial" w:hAnsi="Arial"/>
          <w:b/>
          <w:bCs/>
          <w:color w:val="2563EB"/>
          <w:sz w:val="28"/>
          <w:szCs w:val="28"/>
        </w:rPr>
        <w:t xml:space="preserve">5.1 Aviso de Privacidad para empleados</w:t>
      </w:r>
    </w:p>
    <w:p>
      <w:pPr>
        <w:spacing w:after="80" w:before="80"/>
      </w:pPr>
      <w:r>
        <w:rPr>
          <w:rFonts w:ascii="Arial" w:cs="Arial" w:eastAsia="Arial" w:hAnsi="Arial"/>
          <w:color w:val="374151"/>
          <w:sz w:val="22"/>
          <w:szCs w:val="22"/>
        </w:rPr>
        <w:t xml:space="preserve">Los empleados de NovaTech Solutions también son titulares de datos personales. Se requiere un Aviso de Privacidad específico para empleados que cubra el tratamiento de sus datos laborales, incluyendo datos sensibles (salud). Este aviso debe entregarse al empleado al inicio de la relación laboral y debe incluir:</w:t>
      </w:r>
    </w:p>
    <w:p>
      <w:pPr>
        <w:pStyle w:val="ListParagraph"/>
        <w:numPr>
          <w:ilvl w:val="0"/>
          <w:numId w:val="2"/>
        </w:numPr>
        <w:spacing w:after="60" w:before="60"/>
      </w:pPr>
      <w:r>
        <w:rPr>
          <w:rFonts w:ascii="Arial" w:cs="Arial" w:eastAsia="Arial" w:hAnsi="Arial"/>
          <w:color w:val="374151"/>
          <w:sz w:val="22"/>
          <w:szCs w:val="22"/>
        </w:rPr>
        <w:t xml:space="preserve">Datos personales tratados: los enumerados en la Sección 3.2 de este documento, incluyendo datos sensibles de salud.</w:t>
      </w:r>
    </w:p>
    <w:p>
      <w:pPr>
        <w:pStyle w:val="ListParagraph"/>
        <w:numPr>
          <w:ilvl w:val="0"/>
          <w:numId w:val="2"/>
        </w:numPr>
        <w:spacing w:after="60" w:before="60"/>
      </w:pPr>
      <w:r>
        <w:rPr>
          <w:rFonts w:ascii="Arial" w:cs="Arial" w:eastAsia="Arial" w:hAnsi="Arial"/>
          <w:color w:val="374151"/>
          <w:sz w:val="22"/>
          <w:szCs w:val="22"/>
        </w:rPr>
        <w:t xml:space="preserve">Finalidades del tratamiento: nómina, cumplimiento de obligaciones laborales y fiscales, seguridad social (IMSS, Afore, Infonavit), evaluación de desempeño, control de asistencia.</w:t>
      </w:r>
    </w:p>
    <w:p>
      <w:pPr>
        <w:pStyle w:val="ListParagraph"/>
        <w:numPr>
          <w:ilvl w:val="0"/>
          <w:numId w:val="2"/>
        </w:numPr>
        <w:spacing w:after="60" w:before="60"/>
      </w:pPr>
      <w:r>
        <w:rPr>
          <w:rFonts w:ascii="Arial" w:cs="Arial" w:eastAsia="Arial" w:hAnsi="Arial"/>
          <w:color w:val="374151"/>
          <w:sz w:val="22"/>
          <w:szCs w:val="22"/>
        </w:rPr>
        <w:t xml:space="preserve">Transferencias necesarias: SAT (obligaciones fiscales), IMSS (seguridad social), Afore (retiro), Infonavit (vivienda).</w:t>
      </w:r>
    </w:p>
    <w:p>
      <w:pPr>
        <w:pStyle w:val="ListParagraph"/>
        <w:numPr>
          <w:ilvl w:val="0"/>
          <w:numId w:val="2"/>
        </w:numPr>
        <w:spacing w:after="60" w:before="60"/>
      </w:pPr>
      <w:r>
        <w:rPr>
          <w:rFonts w:ascii="Arial" w:cs="Arial" w:eastAsia="Arial" w:hAnsi="Arial"/>
          <w:color w:val="374151"/>
          <w:sz w:val="22"/>
          <w:szCs w:val="22"/>
        </w:rPr>
        <w:t xml:space="preserve">Para datos sensibles (salud): consentimiento expreso y escrito en documento separado, indicando la finalidad específica (administración de incapacidades).</w:t>
      </w:r>
    </w:p>
    <w:p>
      <w:pPr>
        <w:pStyle w:val="ListParagraph"/>
        <w:numPr>
          <w:ilvl w:val="0"/>
          <w:numId w:val="2"/>
        </w:numPr>
        <w:spacing w:after="60" w:before="60"/>
      </w:pPr>
      <w:r>
        <w:rPr>
          <w:rFonts w:ascii="Arial" w:cs="Arial" w:eastAsia="Arial" w:hAnsi="Arial"/>
          <w:color w:val="374151"/>
          <w:sz w:val="22"/>
          <w:szCs w:val="22"/>
        </w:rPr>
        <w:t xml:space="preserve">Derechos ARCO aplicables: los empleados tienen los mismos derechos ARCO que cualquier titular. El DPO es el punto de contacto.</w:t>
      </w:r>
    </w:p>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Procedimiento de Atención de Derechos ARCO</w:t>
      </w:r>
    </w:p>
    <w:p>
      <w:pPr>
        <w:pStyle w:val="Heading2"/>
        <w:spacing w:after="140" w:before="280"/>
      </w:pPr>
      <w:r>
        <w:rPr>
          <w:rFonts w:ascii="Arial" w:cs="Arial" w:eastAsia="Arial" w:hAnsi="Arial"/>
          <w:b/>
          <w:bCs/>
          <w:color w:val="2563EB"/>
          <w:sz w:val="28"/>
          <w:szCs w:val="28"/>
        </w:rPr>
        <w:t xml:space="preserve">6.1 Canal y requisitos para la solicitud</w:t>
      </w:r>
    </w:p>
    <w:p>
      <w:pPr>
        <w:spacing w:after="80" w:before="80"/>
      </w:pPr>
      <w:r>
        <w:rPr>
          <w:rFonts w:ascii="Arial" w:cs="Arial" w:eastAsia="Arial" w:hAnsi="Arial"/>
          <w:color w:val="374151"/>
          <w:sz w:val="22"/>
          <w:szCs w:val="22"/>
        </w:rPr>
        <w:t xml:space="preserve">Los titulares pueden ejercer sus derechos ARCO a través del siguiente canal oficial: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Elemento</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Detalle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Canal oficial de solicitudes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 electrónico: [correo del DPO — ej. privacidad@novatech.mx]</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Responsable de atender</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(Oficial de Protección de Datos)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Horario de atención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Lunes a viernes, 9:00 a 18:00 horas (horario de Monterrey, Nuevo León)</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Acuse de recibo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emitirá un acuse de recibo de la solicitud dentro de los 2 días hábiles de su recepción.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Verificación de identidad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titular debe acompañar su solicitud con una copia de identificación oficial vigente (INE, pasaporte).</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Para representantes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 la solicitud la presenta un representante legal, debe adjuntar poder notarial o instrumento equivalente.</w:t>
            </w:r>
          </w:p>
        </w:tc>
      </w:tr>
    </w:tbl>
    <w:p>
      <w:pPr>
        <w:spacing w:before="200"/>
      </w:pPr>
    </w:p>
    <w:p>
      <w:pPr>
        <w:pStyle w:val="Heading2"/>
        <w:spacing w:after="140" w:before="280"/>
      </w:pPr>
      <w:r>
        <w:rPr>
          <w:rFonts w:ascii="Arial" w:cs="Arial" w:eastAsia="Arial" w:hAnsi="Arial"/>
          <w:b/>
          <w:bCs/>
          <w:color w:val="2563EB"/>
          <w:sz w:val="28"/>
          <w:szCs w:val="28"/>
        </w:rPr>
        <w:t xml:space="preserve">6.2 Requisitos de la solicitud ARCO</w:t>
      </w:r>
    </w:p>
    <w:p>
      <w:pPr>
        <w:spacing w:after="80" w:before="80"/>
      </w:pPr>
      <w:r>
        <w:rPr>
          <w:rFonts w:ascii="Arial" w:cs="Arial" w:eastAsia="Arial" w:hAnsi="Arial"/>
          <w:color w:val="374151"/>
          <w:sz w:val="22"/>
          <w:szCs w:val="22"/>
        </w:rPr>
        <w:t xml:space="preserve">La solicitud de derechos ARCO debe contener como mínimo:</w:t>
      </w:r>
    </w:p>
    <w:p>
      <w:pPr>
        <w:pStyle w:val="ListParagraph"/>
        <w:numPr>
          <w:ilvl w:val="0"/>
          <w:numId w:val="3"/>
        </w:numPr>
        <w:spacing w:after="60" w:before="60"/>
      </w:pPr>
      <w:r>
        <w:rPr>
          <w:rFonts w:ascii="Arial" w:cs="Arial" w:eastAsia="Arial" w:hAnsi="Arial"/>
          <w:color w:val="374151"/>
          <w:sz w:val="22"/>
          <w:szCs w:val="22"/>
        </w:rPr>
        <w:t xml:space="preserve">Nombre completo del titular y domicilio o correo para recibir la respuesta.</w:t>
      </w:r>
    </w:p>
    <w:p>
      <w:pPr>
        <w:pStyle w:val="ListParagraph"/>
        <w:numPr>
          <w:ilvl w:val="0"/>
          <w:numId w:val="3"/>
        </w:numPr>
        <w:spacing w:after="60" w:before="60"/>
      </w:pPr>
      <w:r>
        <w:rPr>
          <w:rFonts w:ascii="Arial" w:cs="Arial" w:eastAsia="Arial" w:hAnsi="Arial"/>
          <w:color w:val="374151"/>
          <w:sz w:val="22"/>
          <w:szCs w:val="22"/>
        </w:rPr>
        <w:t xml:space="preserve">Copia de identificación oficial del titular o, en su caso, del representante legal y el instrumento que acredite su representación.</w:t>
      </w:r>
    </w:p>
    <w:p>
      <w:pPr>
        <w:pStyle w:val="ListParagraph"/>
        <w:numPr>
          <w:ilvl w:val="0"/>
          <w:numId w:val="3"/>
        </w:numPr>
        <w:spacing w:after="60" w:before="60"/>
      </w:pPr>
      <w:r>
        <w:rPr>
          <w:rFonts w:ascii="Arial" w:cs="Arial" w:eastAsia="Arial" w:hAnsi="Arial"/>
          <w:color w:val="374151"/>
          <w:sz w:val="22"/>
          <w:szCs w:val="22"/>
        </w:rPr>
        <w:t xml:space="preserve">Descripción clara del derecho que desea ejercer (Acceso, Rectificación, Cancelación u Oposición) y los datos personales sobre los que se ejerce el derecho.</w:t>
      </w:r>
    </w:p>
    <w:p>
      <w:pPr>
        <w:pStyle w:val="ListParagraph"/>
        <w:numPr>
          <w:ilvl w:val="0"/>
          <w:numId w:val="3"/>
        </w:numPr>
        <w:spacing w:after="60" w:before="60"/>
      </w:pPr>
      <w:r>
        <w:rPr>
          <w:rFonts w:ascii="Arial" w:cs="Arial" w:eastAsia="Arial" w:hAnsi="Arial"/>
          <w:color w:val="374151"/>
          <w:sz w:val="22"/>
          <w:szCs w:val="22"/>
        </w:rPr>
        <w:t xml:space="preserve">Para Rectificación: indicar los datos incorrectos y los datos correctos, con documentos de soporte si aplica.</w:t>
      </w:r>
    </w:p>
    <w:p>
      <w:pPr>
        <w:pStyle w:val="ListParagraph"/>
        <w:numPr>
          <w:ilvl w:val="0"/>
          <w:numId w:val="3"/>
        </w:numPr>
        <w:spacing w:after="60" w:before="60"/>
      </w:pPr>
      <w:r>
        <w:rPr>
          <w:rFonts w:ascii="Arial" w:cs="Arial" w:eastAsia="Arial" w:hAnsi="Arial"/>
          <w:color w:val="374151"/>
          <w:sz w:val="22"/>
          <w:szCs w:val="22"/>
        </w:rPr>
        <w:t xml:space="preserve">Para Cancelación: indicar el motivo por el que desea cancelar sus datos.</w:t>
      </w:r>
    </w:p>
    <w:p>
      <w:pPr>
        <w:pStyle w:val="ListParagraph"/>
        <w:numPr>
          <w:ilvl w:val="0"/>
          <w:numId w:val="3"/>
        </w:numPr>
        <w:spacing w:after="60" w:before="60"/>
      </w:pPr>
      <w:r>
        <w:rPr>
          <w:rFonts w:ascii="Arial" w:cs="Arial" w:eastAsia="Arial" w:hAnsi="Arial"/>
          <w:color w:val="374151"/>
          <w:sz w:val="22"/>
          <w:szCs w:val="22"/>
        </w:rPr>
        <w:t xml:space="preserve">Para Oposición: indicar el motivo y la finalidad específica a la que se opone.</w:t>
      </w:r>
    </w:p>
    <w:p>
      <w:pPr>
        <w:spacing w:before="120"/>
      </w:pPr>
    </w:p>
    <w:p>
      <w:pPr>
        <w:pStyle w:val="Heading2"/>
        <w:spacing w:after="140" w:before="280"/>
      </w:pPr>
      <w:r>
        <w:rPr>
          <w:rFonts w:ascii="Arial" w:cs="Arial" w:eastAsia="Arial" w:hAnsi="Arial"/>
          <w:b/>
          <w:bCs/>
          <w:color w:val="2563EB"/>
          <w:sz w:val="28"/>
          <w:szCs w:val="28"/>
        </w:rPr>
        <w:t xml:space="preserve">6.3 Proceso de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326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Paso</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32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Recepción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DPO recibe la solicitud por correo electrónico y verifica que esté completa y que incluya identificación del titular.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Acuse de recibo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emite un acuse de recibo formal con el número de folio de la solicitud y el plazo estimado de respuesta.</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 días hábiles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Verificación de identidad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DPO verifica que la identidad del solicitante corresponde con el titular de los datos. En caso de duda, solicita información adicional.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T+2 a T+5 días hábiles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Localización de datos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coordina con las áreas correspondientes (Atención a Clientes, RRHH, Administración) para localizar todos los datos personales del titular en los sistemas de NovaTech.</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Áreas responsables</w:t>
            </w:r>
          </w:p>
        </w:tc>
        <w:tc>
          <w:tcPr>
            <w:tcW w:type="dxa" w:w="3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T+5 a T+15 días hábiles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Evaluación de la solicitud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DPO evalúa la procedencia del derecho: ¿los datos existen?, ¿la solicitud es procedente conforme a la ley?, ¿existen excepciones aplicables?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Área legal si necesario</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T+10 a T+18 días hábiles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Respuesta formal</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emite la respuesta formal dentro del plazo legal (20 días hábiles). Si se requiere más tiempo, notifica al titular dentro del plazo legal para solicitar una prórroga de 20 días adicionales.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T+20 días hábiles (máximo)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 Ejecución del derecho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Una vez aprobada la solicitud, el DPO coordina con las áreas la ejecución del derecho (entregar información de acceso, corregir datos, bloquear/eliminar datos, suspender uso para finalidad específica).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Áreas responsables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T+15 días hábiles desde la aprobación</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 Registro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registra la solicitud, el proceso y la resolución en el Registro de Solicitudes ARCO.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2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 cerrar la solicitud</w:t>
            </w:r>
          </w:p>
        </w:tc>
      </w:tr>
    </w:tbl>
    <w:p>
      <w:pPr>
        <w:spacing w:before="200"/>
      </w:pPr>
    </w:p>
    <w:p>
      <w:pPr>
        <w:pStyle w:val="Heading2"/>
        <w:spacing w:after="140" w:before="280"/>
      </w:pPr>
      <w:r>
        <w:rPr>
          <w:rFonts w:ascii="Arial" w:cs="Arial" w:eastAsia="Arial" w:hAnsi="Arial"/>
          <w:b/>
          <w:bCs/>
          <w:color w:val="2563EB"/>
          <w:sz w:val="28"/>
          <w:szCs w:val="28"/>
        </w:rPr>
        <w:t xml:space="preserve">6.4 Excepciones al ejercicio de derechos ARCO</w:t>
      </w:r>
    </w:p>
    <w:p>
      <w:pPr>
        <w:spacing w:after="80" w:before="80"/>
      </w:pPr>
      <w:r>
        <w:rPr>
          <w:rFonts w:ascii="Arial" w:cs="Arial" w:eastAsia="Arial" w:hAnsi="Arial"/>
          <w:color w:val="374151"/>
          <w:sz w:val="22"/>
          <w:szCs w:val="22"/>
        </w:rPr>
        <w:t xml:space="preserve">Conforme al artículo 34 de la LFPDPPP, NovaTech Solutions puede negar el ejercicio de los derechos ARCO cuando:</w:t>
      </w:r>
    </w:p>
    <w:p>
      <w:pPr>
        <w:pStyle w:val="ListParagraph"/>
        <w:numPr>
          <w:ilvl w:val="0"/>
          <w:numId w:val="2"/>
        </w:numPr>
        <w:spacing w:after="60" w:before="60"/>
      </w:pPr>
      <w:r>
        <w:rPr>
          <w:rFonts w:ascii="Arial" w:cs="Arial" w:eastAsia="Arial" w:hAnsi="Arial"/>
          <w:color w:val="374151"/>
          <w:sz w:val="22"/>
          <w:szCs w:val="22"/>
        </w:rPr>
        <w:t xml:space="preserve">La identidad del solicitante no pueda ser verificada.</w:t>
      </w:r>
    </w:p>
    <w:p>
      <w:pPr>
        <w:pStyle w:val="ListParagraph"/>
        <w:numPr>
          <w:ilvl w:val="0"/>
          <w:numId w:val="2"/>
        </w:numPr>
        <w:spacing w:after="60" w:before="60"/>
      </w:pPr>
      <w:r>
        <w:rPr>
          <w:rFonts w:ascii="Arial" w:cs="Arial" w:eastAsia="Arial" w:hAnsi="Arial"/>
          <w:color w:val="374151"/>
          <w:sz w:val="22"/>
          <w:szCs w:val="22"/>
        </w:rPr>
        <w:t xml:space="preserve">Los datos personales del solicitante no obren en los sistemas de NovaTech.</w:t>
      </w:r>
    </w:p>
    <w:p>
      <w:pPr>
        <w:pStyle w:val="ListParagraph"/>
        <w:numPr>
          <w:ilvl w:val="0"/>
          <w:numId w:val="2"/>
        </w:numPr>
        <w:spacing w:after="60" w:before="60"/>
      </w:pPr>
      <w:r>
        <w:rPr>
          <w:rFonts w:ascii="Arial" w:cs="Arial" w:eastAsia="Arial" w:hAnsi="Arial"/>
          <w:color w:val="374151"/>
          <w:sz w:val="22"/>
          <w:szCs w:val="22"/>
        </w:rPr>
        <w:t xml:space="preserve">Se lesionen los derechos de un tercero.</w:t>
      </w:r>
    </w:p>
    <w:p>
      <w:pPr>
        <w:pStyle w:val="ListParagraph"/>
        <w:numPr>
          <w:ilvl w:val="0"/>
          <w:numId w:val="2"/>
        </w:numPr>
        <w:spacing w:after="60" w:before="60"/>
      </w:pPr>
      <w:r>
        <w:rPr>
          <w:rFonts w:ascii="Arial" w:cs="Arial" w:eastAsia="Arial" w:hAnsi="Arial"/>
          <w:color w:val="374151"/>
          <w:sz w:val="22"/>
          <w:szCs w:val="22"/>
        </w:rPr>
        <w:t xml:space="preserve">Exista un impedimento legal o resolución judicial que lo prohíba.</w:t>
      </w:r>
    </w:p>
    <w:p>
      <w:pPr>
        <w:pStyle w:val="ListParagraph"/>
        <w:numPr>
          <w:ilvl w:val="0"/>
          <w:numId w:val="2"/>
        </w:numPr>
        <w:spacing w:after="60" w:before="60"/>
      </w:pPr>
      <w:r>
        <w:rPr>
          <w:rFonts w:ascii="Arial" w:cs="Arial" w:eastAsia="Arial" w:hAnsi="Arial"/>
          <w:color w:val="374151"/>
          <w:sz w:val="22"/>
          <w:szCs w:val="22"/>
        </w:rPr>
        <w:t xml:space="preserve">La cancelación impida el cumplimiento de obligaciones legales o contractuales vigentes (ej. datos necesarios para facturación o cumplimiento fiscal durante el período de conservación legal).</w:t>
      </w:r>
    </w:p>
    <w:p>
      <w:pPr>
        <w:spacing w:before="80"/>
      </w:pPr>
    </w:p>
    <w:p>
      <w:pPr>
        <w:spacing w:after="80" w:before="80"/>
      </w:pPr>
      <w:r>
        <w:rPr>
          <w:rFonts w:ascii="Arial" w:cs="Arial" w:eastAsia="Arial" w:hAnsi="Arial"/>
          <w:color w:val="374151"/>
          <w:sz w:val="22"/>
          <w:szCs w:val="22"/>
        </w:rPr>
        <w:t xml:space="preserve">En todos los casos de negativa, el DPO debe comunicar al titular los motivos de la negativa dentro del plazo legal, indicando el fundamento jurídico y el derecho del titular de interponer una queja ante el INAI.</w:t>
      </w:r>
    </w:p>
    <w:p>
      <w:pPr>
        <w:spacing w:before="120"/>
      </w:pPr>
    </w:p>
    <w:p>
      <w:pPr>
        <w:pStyle w:val="Heading2"/>
        <w:spacing w:after="140" w:before="280"/>
      </w:pPr>
      <w:r>
        <w:rPr>
          <w:rFonts w:ascii="Arial" w:cs="Arial" w:eastAsia="Arial" w:hAnsi="Arial"/>
          <w:b/>
          <w:bCs/>
          <w:color w:val="2563EB"/>
          <w:sz w:val="28"/>
          <w:szCs w:val="28"/>
        </w:rPr>
        <w:t xml:space="preserve">6.5 Registro de solicitudes ARCO</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600"/>
        <w:gridCol w:w="1400"/>
        <w:gridCol w:w="1600"/>
        <w:gridCol w:w="2560"/>
      </w:tblGrid>
      <w:tr>
        <w:trPr>
          <w:tblHeader/>
        </w:trPr>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Folio</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 de recepción</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derecho</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Titular (codificado)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 de respuesta</w:t>
            </w:r>
          </w:p>
        </w:tc>
        <w:tc>
          <w:tcPr>
            <w:tcW w:type="dxa" w:w="2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Resolución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ARCO-2026-001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[Fecha]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[A/R/C/O]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del titular]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[Pendiente/En proceso/Resuelto]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[Fecha]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[Procedente/Improcedente]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Medidas de Seguridad para la Protección de Datos Personales</w:t>
      </w:r>
    </w:p>
    <w:p>
      <w:pPr>
        <w:spacing w:after="80" w:before="80"/>
      </w:pPr>
      <w:r>
        <w:rPr>
          <w:rFonts w:ascii="Arial" w:cs="Arial" w:eastAsia="Arial" w:hAnsi="Arial"/>
          <w:color w:val="374151"/>
          <w:sz w:val="22"/>
          <w:szCs w:val="22"/>
        </w:rPr>
        <w:t xml:space="preserve">El artículo 19 de la LFPDPPP establece que el responsable del tratamiento debe implementar medidas de seguridad administrativas, físicas y técnicas. Las siguientes tablas documentan las medidas implementadas por NovaTech Solutions en cada categoría, con referencia a los controles del SGSI.</w:t>
      </w:r>
    </w:p>
    <w:p>
      <w:pPr>
        <w:pStyle w:val="Heading2"/>
        <w:spacing w:after="140" w:before="280"/>
      </w:pPr>
      <w:r>
        <w:rPr>
          <w:rFonts w:ascii="Arial" w:cs="Arial" w:eastAsia="Arial" w:hAnsi="Arial"/>
          <w:b/>
          <w:bCs/>
          <w:color w:val="2563EB"/>
          <w:sz w:val="28"/>
          <w:szCs w:val="28"/>
        </w:rPr>
        <w:t xml:space="preserve">7.1 Medidas administrativas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100"/>
        <w:gridCol w:w="28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administrativa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28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SGSI relacionado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Política de protección de datos personales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Políticas formales de clasificación, manejo y protección de datos personales.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POL-05 (Clasificación), POL-03 (Uso Aceptable) — Documento 5</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Designación de un DPO (Oficial de Privacidad)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Persona responsable de supervisar el cumplimiento de la LFPDPPP y gestionar los derechos ARCO.</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Rol DPO definido en Documento 1 (Marco del SGSI)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Acuerdos de confidencialidad con empleados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Cláusulas de confidencialidad y manejo de datos personales en contratos laborales.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CP-02 (Contratos)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Cláusulas de privacidad con proveedores de nube</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Contratos con proveedores que procesan datos personales incluyen obligaciones de protección de datos.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CO-06 (Gestión de terceros) — Documento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Capacitación en protección de datos al personal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Programa formal de capacitación sobre LFPDPPP para empleados que manejan datos personales.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MOD-03 — Documento 9</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Procedimiento de atención de derechos ARCO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Proceso documentado para atender solicitudes de titulares en plazo legal.</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Sección 6 de este documento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Procedimiento de notificación de vulnerabilidades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Proceso para notificar al INAI y titulares ante incidentes que comprometan datos personales.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Documento 8 — Respuesta a Incidentes</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Análisis de impacto en privacidad (PIA)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Evaluación del impacto en privacidad para nuevos proyectos o sistemas que traten datos personales.</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 implementar en el siguiente ciclo del SGSI</w:t>
            </w:r>
          </w:p>
        </w:tc>
      </w:tr>
    </w:tbl>
    <w:p>
      <w:pPr>
        <w:spacing w:before="200"/>
      </w:pPr>
    </w:p>
    <w:p>
      <w:pPr>
        <w:pStyle w:val="Heading2"/>
        <w:spacing w:after="140" w:before="280"/>
      </w:pPr>
      <w:r>
        <w:rPr>
          <w:rFonts w:ascii="Arial" w:cs="Arial" w:eastAsia="Arial" w:hAnsi="Arial"/>
          <w:b/>
          <w:bCs/>
          <w:color w:val="2563EB"/>
          <w:sz w:val="28"/>
          <w:szCs w:val="28"/>
        </w:rPr>
        <w:t xml:space="preserve">7.2 Medidas físicas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100"/>
        <w:gridCol w:w="28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física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28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SGSI relacionado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Control de acceso físico a instalaciones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Acceso a las oficinas de NovaTech restringido a personal autorizado.</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CF-01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Política de escritorios limpios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Documentos físicos con datos personales no deben dejarse sin supervisión. Destrucción segura con trituradora.</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CF-02, POL-08 — Documentos 5 y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Control de dispositivos de almacenamiento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Uso de USB y medios externos con información de datos personales restringido y documentado.</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CF-05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Destrucción segura de documentos físicos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Los documentos con datos personales deben destruirse mediante trituradora al término de su período de conservación.</w:t>
            </w:r>
          </w:p>
        </w:tc>
        <w:tc>
          <w:tcPr>
            <w:tcW w:type="dxa" w:w="11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CF-06 — Documento 6</w:t>
            </w:r>
          </w:p>
        </w:tc>
      </w:tr>
    </w:tbl>
    <w:p>
      <w:pPr>
        <w:spacing w:before="200"/>
      </w:pPr>
    </w:p>
    <w:p>
      <w:pPr>
        <w:pStyle w:val="Heading2"/>
        <w:spacing w:after="140" w:before="280"/>
      </w:pPr>
      <w:r>
        <w:rPr>
          <w:rFonts w:ascii="Arial" w:cs="Arial" w:eastAsia="Arial" w:hAnsi="Arial"/>
          <w:b/>
          <w:bCs/>
          <w:color w:val="2563EB"/>
          <w:sz w:val="28"/>
          <w:szCs w:val="28"/>
        </w:rPr>
        <w:t xml:space="preserve">7.3 Medidas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100"/>
        <w:gridCol w:w="28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Medida técnica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11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w:t>
            </w:r>
          </w:p>
        </w:tc>
        <w:tc>
          <w:tcPr>
            <w:tcW w:type="dxa" w:w="28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 SGSI relacionado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Cifrado de datos en tránsito (TLS)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Todas las comunicaciones de datos personales entre sistemas usan TLS 1.2 o superior.</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CT-18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Cifrado de datos en reposo</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Bases de datos con datos personales cifradas en el proveedor de nube.</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CT-19 — Documento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Control de acceso basado en roles (RBAC)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Solo el personal autorizado tiene acceso a sistemas que contienen datos personales.</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CT-03, CO-05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Autenticación multifactor (MFA)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MFA obligatorio en sistemas que almacenan datos personales (CRM, ERP/RRHH).</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CT-01 — Documento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Registros de acceso (logs)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Registro de todos los accesos a sistemas que contienen datos personales para trazabilidad.</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CT-13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Backups cifrados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Respaldos de datos personales almacenados cifrados en zona geográfica separada.</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CT-20, CT-29 — Documento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DLP en correo electrónico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Controles para prevenir el envío de datos personales fuera de la organización sin autorización.</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CT-34 — Documento 6</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de contraseñas robustas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Contraseñas de sistemas que acceden a datos personales cumplen la política de complejidad y el gestor corporativo.</w:t>
            </w:r>
          </w:p>
        </w:tc>
        <w:tc>
          <w:tcPr>
            <w:tcW w:type="dxa" w:w="110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c>
          <w:tcPr>
            <w:tcW w:type="dxa" w:w="2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CT-04, CT-05 — Documento 6</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Transferencias de Datos Personales a Terceros</w:t>
      </w:r>
    </w:p>
    <w:p>
      <w:pPr>
        <w:spacing w:after="80" w:before="80"/>
      </w:pPr>
      <w:r>
        <w:rPr>
          <w:rFonts w:ascii="Arial" w:cs="Arial" w:eastAsia="Arial" w:hAnsi="Arial"/>
          <w:color w:val="374151"/>
          <w:sz w:val="22"/>
          <w:szCs w:val="22"/>
        </w:rPr>
        <w:t xml:space="preserve">Conforme al artículo 36 de la LFPDPPP, NovaTech Solutions puede transferir datos personales a terceros cuando sea necesario para la prestación del servicio contratado. La siguiente tabla documenta todas las transferencias realizadas:</w:t>
      </w:r>
    </w:p>
    <w:p>
      <w:pPr>
        <w:spacing w:before="8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800"/>
        <w:gridCol w:w="1600"/>
        <w:gridCol w:w="1400"/>
        <w:gridCol w:w="11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Destinatario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Datos personales transferidos</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Finalidad</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Base legal</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Inclusión en Aviso</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 contractual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Proveedor de nube (AWS/GCP/Azure)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Encargado del tratamiento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Datos de clientes y empleados almacenados en la nube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Hospedaje de sistemas e infraestructura para la prestación del servicio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Necesario para la prestación del servicio (Art. 36 fracc. 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incluir en Aviso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DPA en contrato</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Proveedor de CRM (SaaS)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Encargado del tratamiento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Datos de clientes: nombre, correo, historial de soporte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Gestión de relaciones con clientes y soporte técnico</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Necesario para la prestación del servicio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incluir en Aviso</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DPA en contrato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Proveedor de nómina / ERP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Encargado del tratamiento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Datos de empleados: nombre, CURP, RFC, datos bancarios, NSS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Procesamiento de nómina y gestión de RRHH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Necesario para el cumplimiento de obligaciones laborales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incluir en Aviso en empleados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DPA en contrato</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SAT</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Transferencia legal obligatoria</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RFC, datos fiscales de clientes y empleados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Cumplimiento de obligaciones fiscales (CFDI, retenciones)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Obligación legal (Código Fiscal)</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Incluir en Aviso (excepción legal)</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No requiere contrato adicional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IMSS / INFONAVIT / Afore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Transferencia legal obligatoria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Datos de empleados: NSS, salario, datos de afiliación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Cumplimiento de obligaciones de seguridad social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Obligación legal (Ley del IMSS, Ley del INFONAVIT)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Incluir en Aviso empleados (excepción legal)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No requiere contrato adicional</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Google Workspace / Microsoft 365</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Encargado del tratamiento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Comunicaciones por correo con datos de clientes y empleados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Prestación del servicio de correo corporativo</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Necesario para la prestación del servicio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Pendiente incluir en Aviso</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Revisar DPA / Términos de servicio</w:t>
            </w:r>
          </w:p>
        </w:tc>
      </w:tr>
    </w:tbl>
    <w:p>
      <w:pPr>
        <w:spacing w:before="200"/>
      </w:pPr>
    </w:p>
    <w:p>
      <w:pPr>
        <w:pStyle w:val="Heading2"/>
        <w:spacing w:after="140" w:before="280"/>
      </w:pPr>
      <w:r>
        <w:rPr>
          <w:rFonts w:ascii="Arial" w:cs="Arial" w:eastAsia="Arial" w:hAnsi="Arial"/>
          <w:b/>
          <w:bCs/>
          <w:color w:val="2563EB"/>
          <w:sz w:val="28"/>
          <w:szCs w:val="28"/>
        </w:rPr>
        <w:t xml:space="preserve">8.1 Contratos con encargados del tratamiento</w:t>
      </w:r>
    </w:p>
    <w:p>
      <w:pPr>
        <w:spacing w:after="80" w:before="80"/>
      </w:pPr>
      <w:r>
        <w:rPr>
          <w:rFonts w:ascii="Arial" w:cs="Arial" w:eastAsia="Arial" w:hAnsi="Arial"/>
          <w:color w:val="374151"/>
          <w:sz w:val="22"/>
          <w:szCs w:val="22"/>
        </w:rPr>
        <w:t xml:space="preserve">Conforme al artículo 50 del Reglamento de la LFPDPPP, cuando NovaTech Solutions transmite datos personales a un tercero para que éste los trate en su nombre (encargado del tratamiento), debe suscribir un contrato que incluya:</w:t>
      </w:r>
    </w:p>
    <w:p>
      <w:pPr>
        <w:pStyle w:val="ListParagraph"/>
        <w:numPr>
          <w:ilvl w:val="0"/>
          <w:numId w:val="3"/>
        </w:numPr>
        <w:spacing w:after="60" w:before="60"/>
      </w:pPr>
      <w:r>
        <w:rPr>
          <w:rFonts w:ascii="Arial" w:cs="Arial" w:eastAsia="Arial" w:hAnsi="Arial"/>
          <w:color w:val="374151"/>
          <w:sz w:val="22"/>
          <w:szCs w:val="22"/>
        </w:rPr>
        <w:t xml:space="preserve">Las actividades que el encargado puede realizar con los datos personales.</w:t>
      </w:r>
    </w:p>
    <w:p>
      <w:pPr>
        <w:pStyle w:val="ListParagraph"/>
        <w:numPr>
          <w:ilvl w:val="0"/>
          <w:numId w:val="3"/>
        </w:numPr>
        <w:spacing w:after="60" w:before="60"/>
      </w:pPr>
      <w:r>
        <w:rPr>
          <w:rFonts w:ascii="Arial" w:cs="Arial" w:eastAsia="Arial" w:hAnsi="Arial"/>
          <w:color w:val="374151"/>
          <w:sz w:val="22"/>
          <w:szCs w:val="22"/>
        </w:rPr>
        <w:t xml:space="preserve">La prohibición de transferir los datos a terceros sin autorización del responsable.</w:t>
      </w:r>
    </w:p>
    <w:p>
      <w:pPr>
        <w:pStyle w:val="ListParagraph"/>
        <w:numPr>
          <w:ilvl w:val="0"/>
          <w:numId w:val="3"/>
        </w:numPr>
        <w:spacing w:after="60" w:before="60"/>
      </w:pPr>
      <w:r>
        <w:rPr>
          <w:rFonts w:ascii="Arial" w:cs="Arial" w:eastAsia="Arial" w:hAnsi="Arial"/>
          <w:color w:val="374151"/>
          <w:sz w:val="22"/>
          <w:szCs w:val="22"/>
        </w:rPr>
        <w:t xml:space="preserve">La obligación de guardar confidencialidad respecto de los datos personales.</w:t>
      </w:r>
    </w:p>
    <w:p>
      <w:pPr>
        <w:pStyle w:val="ListParagraph"/>
        <w:numPr>
          <w:ilvl w:val="0"/>
          <w:numId w:val="3"/>
        </w:numPr>
        <w:spacing w:after="60" w:before="60"/>
      </w:pPr>
      <w:r>
        <w:rPr>
          <w:rFonts w:ascii="Arial" w:cs="Arial" w:eastAsia="Arial" w:hAnsi="Arial"/>
          <w:color w:val="374151"/>
          <w:sz w:val="22"/>
          <w:szCs w:val="22"/>
        </w:rPr>
        <w:t xml:space="preserve">Las medidas de seguridad que el encargado debe adoptar.</w:t>
      </w:r>
    </w:p>
    <w:p>
      <w:pPr>
        <w:pStyle w:val="ListParagraph"/>
        <w:numPr>
          <w:ilvl w:val="0"/>
          <w:numId w:val="3"/>
        </w:numPr>
        <w:spacing w:after="60" w:before="60"/>
      </w:pPr>
      <w:r>
        <w:rPr>
          <w:rFonts w:ascii="Arial" w:cs="Arial" w:eastAsia="Arial" w:hAnsi="Arial"/>
          <w:color w:val="374151"/>
          <w:sz w:val="22"/>
          <w:szCs w:val="22"/>
        </w:rPr>
        <w:t xml:space="preserve">La obligación de eliminar los datos al término de la relación.</w:t>
      </w:r>
    </w:p>
    <w:p>
      <w:pPr>
        <w:spacing w:before="80"/>
      </w:pPr>
    </w:p>
    <w:p>
      <w:pPr>
        <w:spacing w:after="80" w:before="80"/>
      </w:pPr>
      <w:r>
        <w:rPr>
          <w:rFonts w:ascii="Arial" w:cs="Arial" w:eastAsia="Arial" w:hAnsi="Arial"/>
          <w:color w:val="374151"/>
          <w:sz w:val="22"/>
          <w:szCs w:val="22"/>
        </w:rPr>
        <w:t xml:space="preserve">El DPO deberá revisar los contratos actuales con los proveedores identificados en la tabla anterior y asegurarse de que incluyan estas cláusulas o suscribir un Acuerdo de Procesamiento de Datos (DPA — Data Processing Agreement) donde sea necesario.</w:t>
      </w:r>
    </w:p>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Procedimiento de Notificación al INAI</w:t>
      </w:r>
    </w:p>
    <w:p>
      <w:pPr>
        <w:spacing w:after="80" w:before="80"/>
      </w:pPr>
      <w:r>
        <w:rPr>
          <w:rFonts w:ascii="Arial" w:cs="Arial" w:eastAsia="Arial" w:hAnsi="Arial"/>
          <w:color w:val="374151"/>
          <w:sz w:val="22"/>
          <w:szCs w:val="22"/>
        </w:rPr>
        <w:t xml:space="preserve">El artículo 20 de la LFPDPPP establece que cuando se vulnere la seguridad de los datos personales, NovaTech Solutions debe informar al titular de forma inmediata para que éste adopte las medidas correspondientes. Adicionalmente, el INAI puede emitir lineamientos sobre cuándo y cómo notificarle directamente.</w:t>
      </w:r>
    </w:p>
    <w:p>
      <w:pPr>
        <w:spacing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3460"/>
      </w:tblGrid>
      <w:tr>
        <w:trPr>
          <w:tblHeader/>
        </w:trPr>
        <w:tc>
          <w:tcPr>
            <w:tcW w:type="dxa" w:w="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Etapa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34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Plazo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Detección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CISO o el CSIRT detecta un incidente que puede involucrar datos personales. Activa el proceso de respuesta a incidentes (Documento 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CSIRT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T+0 (inmediato)</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Evaluación del DPO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evalúa si el incidente constituye una 'vulnerabilidad de seguridad de datos personales' bajo la LFPDPPP: ¿se comprometió la confidencialidad, integridad o disponibilidad de datos personales?, ¿el daño potencial para los titulares es significativo?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CISO</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 a T+4 horas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 Determinación del alcance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la respuesta a la evaluación es afirmativa, el DPO identifica: qué datos personales se vieron afectados, cuántos titulares están involucrados y qué impacto potencial tienen en sus derechos.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T+4 a T+8 horas</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Preparación de la notificación a titulares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prepara la comunicación a los titulares afectados con: descripción del incidente, datos comprometidos, medidas tomadas por NovaTech y recomendaciones al titular. Coordina con el Responsable de Comunicaciones.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Responsable Comunicaciones</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T+8 a T+24 horas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5. Notificación a titulares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Notificar directamente a los titulares afectados cuando el riesgo sea significativo para sus derechos. Usar el canal habitual de comunicación con el titular (correo electrónico).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Responsable Comunicaciones</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Tan pronto como sea factible — objetivo: dentro de las 72 horas si es posible</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6. Evaluación de notificación al INAI</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revisa los lineamientos vigentes del INAI para determinar si el incidente requiere notificación formal al regulador (el INAI puede emitir lineamientos específicos sobre umbrales de notificación).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 + Área legal</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T+24 a T+48 horas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7. Notificación al INAI (si aplica)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 el incidente supera el umbral de notificación obligatoria, el DPO presenta el reporte al INAI a través de los canales oficiales, incluyendo: descripción del incidente, datos afectados, medidas adoptadas y acciones de mejora.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Conforme al plazo establecido en los lineamientos vigentes del INAI</w:t>
            </w:r>
          </w:p>
        </w:tc>
      </w:tr>
      <w:tr>
        <w:tc>
          <w:tcPr>
            <w:tcW w:type="dxa" w:w="5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8. Seguimiento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DPO monitorea las comunicaciones del INAI y atiende cualquier requerimiento adicional de información.</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DPO</w:t>
            </w:r>
          </w:p>
        </w:tc>
        <w:tc>
          <w:tcPr>
            <w:tcW w:type="dxa" w:w="34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Continuo hasta el cierre del expediente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Períodos de Conservación y Eliminación de Datos Personales</w:t>
      </w:r>
    </w:p>
    <w:p>
      <w:pPr>
        <w:spacing w:after="80" w:before="80"/>
      </w:pPr>
      <w:r>
        <w:rPr>
          <w:rFonts w:ascii="Arial" w:cs="Arial" w:eastAsia="Arial" w:hAnsi="Arial"/>
          <w:color w:val="374151"/>
          <w:sz w:val="22"/>
          <w:szCs w:val="22"/>
        </w:rPr>
        <w:t xml:space="preserve">Los datos personales deben conservarse únicamente durante el tiempo necesario para el cumplimiento de la finalidad que motivó su obtención, y no más allá de los períodos establecidos por las disposiciones legales aplicables.</w:t>
      </w:r>
    </w:p>
    <w:p>
      <w:pPr>
        <w:spacing w:before="8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000"/>
        <w:gridCol w:w="11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dato personal</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Período mínimo de conservación</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Base legal o fundamento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Período de conservación en NovaTech</w:t>
            </w:r>
          </w:p>
        </w:tc>
        <w:tc>
          <w:tcPr>
            <w:tcW w:type="dxa" w:w="1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Proceso de eliminación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de clientes (nombre, correo, contacto)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Durante la vigencia del contrato + 3 años para posibles reclamaciones.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Código de Comercio Art. 46 (5 años para registros comerciales). Criterio de prescripción de acciones contractuales.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Vigencia del contrato + 5 años (para alinear con obligaciones comerciales).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Eliminación definitiva del CRM y sistemas relacionados. Destrucción de copias físicas si existieran.</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Información financiera y contratos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años desde la fecha del último registro o documento.</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Código Fiscal de la Federación Art. 30 (5 años para registros contables y fiscales).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años desde el cierre del ejercicio fiscal correspondiente.</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Eliminación digital certificada + destrucción física si aplica. El DPO coordina con Administración.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personales de empleados (activos)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Durante la vigencia de la relación laboral.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Ley Federal del Trabajo + IMSS.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Vigencia de la relación laboral. Datos en uso activo.</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 aplica — datos activos.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Datos personales de exempleados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3-5 años después del cese de la relación laboral para posibles reclamaciones laborales o fiscales.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Ley Federal del Trabajo Art. 516 (prescripción de acciones laborales: 1 año para las personales, hasta 2 años para indemnización). IMSS.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5 años desde el cese para alinear con obligaciones fiscales del CFDI de nómina.</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Eliminación de sistemas activos; mantener en archivo con acceso restringido durante el período de conservación.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Datos sensibles de salud (empleados)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Solo durante el tiempo estrictamente necesario para la finalidad declarada (gestión de incapacidades).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LFPDPPP Art. 9 (datos sensibles — tratamiento solo cuando sea estrictamente necesario).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Hasta el cierre de la incapacidad. Eliminar una vez procesada la incapacidad ante el IMSS.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Eliminación inmediata tras el procesamiento. No se conservan registros históricos de salud más allá de lo necesario.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Datos de visitantes / prospectos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 existe relación contractual — datos solo para el proceso de venta.</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LFPDPPP principio de proporcionalidad.</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12 meses desde la última interacción o hasta que el prospecto solicite la cancelación de sus datos.</w:t>
            </w:r>
          </w:p>
        </w:tc>
        <w:tc>
          <w:tcPr>
            <w:tcW w:type="dxa" w:w="1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Eliminación del CRM o sistema de marketing. Notificación opcional al prospecto.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Resumen Ejecutivo del Estado de Cumplimiento</w:t>
      </w:r>
    </w:p>
    <w:p>
      <w:pPr>
        <w:spacing w:after="80" w:before="80"/>
      </w:pPr>
      <w:r>
        <w:rPr>
          <w:rFonts w:ascii="Arial" w:cs="Arial" w:eastAsia="Arial" w:hAnsi="Arial"/>
          <w:color w:val="374151"/>
          <w:sz w:val="22"/>
          <w:szCs w:val="22"/>
        </w:rPr>
        <w:t xml:space="preserve">El siguiente cuadro consolida el estado de cumplimiento de NovaTech Solutions con las obligaciones de la LFPDPPP al momento del diseño del SGSI. Este resumen debe actualizarse tras cada auditoría de cumplimiento normativo.</w:t>
      </w:r>
    </w:p>
    <w:p>
      <w:pPr>
        <w:spacing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400"/>
        <w:gridCol w:w="1400"/>
        <w:gridCol w:w="1760"/>
      </w:tblGrid>
      <w:tr>
        <w:trPr>
          <w:tblHeader/>
        </w:trPr>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 de cumplimiento</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Obligaciones identificadas</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Cumplidas</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 progreso</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Pendientes</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Estado general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Transparencia e información (Arts. 8, 15-17)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w:t>
            </w:r>
          </w:p>
        </w:tc>
        <w:tc>
          <w:tcPr>
            <w:tcW w:type="dxa" w:w="17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Principios de tratamiento (Arts. 6, 7, 12-14, 19)</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6</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5</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1</w:t>
            </w:r>
          </w:p>
        </w:tc>
        <w:tc>
          <w:tcPr>
            <w:tcW w:type="dxa" w:w="17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Derechos ARCO (Arts. 28-37)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4</w:t>
            </w:r>
          </w:p>
        </w:tc>
        <w:tc>
          <w:tcPr>
            <w:tcW w:type="dxa" w:w="17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19"/>
                <w:szCs w:val="19"/>
              </w:rPr>
              <w:t xml:space="preserve">Pendiente</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Medidas de seguridad (Art. 19)</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20</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16</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4</w:t>
            </w:r>
          </w:p>
        </w:tc>
        <w:tc>
          <w:tcPr>
            <w:tcW w:type="dxa" w:w="17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Notificación de vulnerabilidades (Art. 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7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Transferencias a terceros (Art. 36)</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6</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4</w:t>
            </w:r>
          </w:p>
        </w:tc>
        <w:tc>
          <w:tcPr>
            <w:tcW w:type="dxa" w:w="1760"/>
            <w:tcBorders>
              <w:top w:val="single" w:color="CCCCCC" w:sz="4"/>
              <w:left w:val="single" w:color="CCCCCC" w:sz="4"/>
              <w:bottom w:val="single" w:color="CCCCCC" w:sz="4"/>
              <w:right w:val="single" w:color="CCCCCC" w:sz="4"/>
            </w:tcBorders>
            <w:shd w:fill="FFEDD5" w:val="clear"/>
            <w:tcMar>
              <w:top w:type="dxa" w:w="80"/>
              <w:left w:type="dxa" w:w="130"/>
              <w:bottom w:type="dxa" w:w="80"/>
              <w:right w:type="dxa" w:w="130"/>
            </w:tcMar>
            <w:vAlign w:val="center"/>
          </w:tcPr>
          <w:p>
            <w:pPr>
              <w:jc w:val="center"/>
            </w:pPr>
            <w:r>
              <w:rPr>
                <w:rFonts w:ascii="Arial" w:cs="Arial" w:eastAsia="Arial" w:hAnsi="Arial"/>
                <w:b/>
                <w:bCs/>
                <w:color w:val="9A3412"/>
                <w:sz w:val="19"/>
                <w:szCs w:val="19"/>
              </w:rPr>
              <w:t xml:space="preserve">Parcial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Conservación y eliminación de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374151"/>
                <w:sz w:val="19"/>
                <w:szCs w:val="19"/>
              </w:rPr>
              <w:t xml:space="preserve">3</w:t>
            </w:r>
          </w:p>
        </w:tc>
        <w:tc>
          <w:tcPr>
            <w:tcW w:type="dxa" w:w="17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TOTAL</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47</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 (4%)</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26 (55%)</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b w:val="false"/>
                <w:bCs w:val="false"/>
                <w:color w:val="374151"/>
                <w:sz w:val="19"/>
                <w:szCs w:val="19"/>
              </w:rPr>
              <w:t xml:space="preserve">19 (40%)</w:t>
            </w:r>
          </w:p>
        </w:tc>
        <w:tc>
          <w:tcPr>
            <w:tcW w:type="dxa" w:w="1760"/>
            <w:tcBorders>
              <w:top w:val="single" w:color="CCCCCC" w:sz="4"/>
              <w:left w:val="single" w:color="CCCCCC" w:sz="4"/>
              <w:bottom w:val="single" w:color="CCCCCC" w:sz="4"/>
              <w:right w:val="single" w:color="CCCCCC" w:sz="4"/>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19"/>
                <w:szCs w:val="19"/>
              </w:rPr>
              <w:t xml:space="preserve">En progreso</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92400E" w:sz="8"/>
              <w:right w:val="single" w:color="92400E" w:sz="8"/>
            </w:tcBorders>
            <w:shd w:fill="FEF3C7" w:val="clear"/>
            <w:tcMar>
              <w:top w:type="dxa" w:w="120"/>
              <w:left w:type="dxa" w:w="160"/>
              <w:bottom w:type="dxa" w:w="120"/>
              <w:right w:type="dxa" w:w="160"/>
            </w:tcMar>
          </w:tcPr>
          <w:p>
            <w:pPr>
              <w:spacing w:after="80" w:before="60"/>
            </w:pPr>
            <w:r>
              <w:rPr>
                <w:rFonts w:ascii="Arial" w:cs="Arial" w:eastAsia="Arial" w:hAnsi="Arial"/>
                <w:b/>
                <w:bCs/>
                <w:color w:val="92400E"/>
                <w:sz w:val="22"/>
                <w:szCs w:val="22"/>
              </w:rPr>
              <w:t xml:space="preserve">Hoja de ruta para el cumplimiento completo de la LFPDPPP</w:t>
            </w:r>
          </w:p>
          <w:p>
            <w:pPr>
              <w:pStyle w:val="ListParagraph"/>
              <w:numPr>
                <w:ilvl w:val="0"/>
                <w:numId w:val="2"/>
              </w:numPr>
              <w:spacing w:after="40" w:before="40"/>
            </w:pPr>
            <w:r>
              <w:rPr>
                <w:rFonts w:ascii="Arial" w:cs="Arial" w:eastAsia="Arial" w:hAnsi="Arial"/>
                <w:color w:val="374151"/>
                <w:sz w:val="21"/>
                <w:szCs w:val="21"/>
              </w:rPr>
              <w:t xml:space="preserve">Prioridad 1 (primeros 30 días): Elaborar y publicar el Aviso de Privacidad para clientes y el Aviso de Privacidad para empleados. Sin Aviso de Privacidad publicado, NovaTech ya está en incumplimiento de la LFPDPPP.</w:t>
            </w:r>
          </w:p>
          <w:p>
            <w:pPr>
              <w:pStyle w:val="ListParagraph"/>
              <w:numPr>
                <w:ilvl w:val="0"/>
                <w:numId w:val="2"/>
              </w:numPr>
              <w:spacing w:after="40" w:before="40"/>
            </w:pPr>
            <w:r>
              <w:rPr>
                <w:rFonts w:ascii="Arial" w:cs="Arial" w:eastAsia="Arial" w:hAnsi="Arial"/>
                <w:color w:val="374151"/>
                <w:sz w:val="21"/>
                <w:szCs w:val="21"/>
              </w:rPr>
              <w:t xml:space="preserve">Prioridad 2 (primeros 30 días): Activar el procedimiento de atención de Derechos ARCO y designar formalmente al DPO con canal de contacto público.</w:t>
            </w:r>
          </w:p>
          <w:p>
            <w:pPr>
              <w:pStyle w:val="ListParagraph"/>
              <w:numPr>
                <w:ilvl w:val="0"/>
                <w:numId w:val="2"/>
              </w:numPr>
              <w:spacing w:after="40" w:before="40"/>
            </w:pPr>
            <w:r>
              <w:rPr>
                <w:rFonts w:ascii="Arial" w:cs="Arial" w:eastAsia="Arial" w:hAnsi="Arial"/>
                <w:color w:val="374151"/>
                <w:sz w:val="21"/>
                <w:szCs w:val="21"/>
              </w:rPr>
              <w:t xml:space="preserve">Prioridad 3 (primeros 60 días): Revisar y firmar Acuerdos de Procesamiento de Datos (DPA) con los proveedores de nube, CRM y ERP que procesan datos personales.</w:t>
            </w:r>
          </w:p>
          <w:p>
            <w:pPr>
              <w:pStyle w:val="ListParagraph"/>
              <w:numPr>
                <w:ilvl w:val="0"/>
                <w:numId w:val="2"/>
              </w:numPr>
              <w:spacing w:after="40" w:before="40"/>
            </w:pPr>
            <w:r>
              <w:rPr>
                <w:rFonts w:ascii="Arial" w:cs="Arial" w:eastAsia="Arial" w:hAnsi="Arial"/>
                <w:color w:val="374151"/>
                <w:sz w:val="21"/>
                <w:szCs w:val="21"/>
              </w:rPr>
              <w:t xml:space="preserve">Prioridad 4 (primeros 60 días): Implementar el consentimiento expreso para datos sensibles de salud de empleados.</w:t>
            </w:r>
          </w:p>
          <w:p>
            <w:pPr>
              <w:pStyle w:val="ListParagraph"/>
              <w:numPr>
                <w:ilvl w:val="0"/>
                <w:numId w:val="2"/>
              </w:numPr>
              <w:spacing w:after="40" w:before="40"/>
            </w:pPr>
            <w:r>
              <w:rPr>
                <w:rFonts w:ascii="Arial" w:cs="Arial" w:eastAsia="Arial" w:hAnsi="Arial"/>
                <w:color w:val="374151"/>
                <w:sz w:val="21"/>
                <w:szCs w:val="21"/>
              </w:rPr>
              <w:t xml:space="preserve">Prioridad 5 (primeros 90 días): Establecer el procedimiento de conservación y eliminación de datos con períodos definidos. Ejecutar la primera eliminación de datos fuera del período.</w:t>
            </w:r>
          </w:p>
          <w:p>
            <w:pPr>
              <w:pStyle w:val="ListParagraph"/>
              <w:numPr>
                <w:ilvl w:val="0"/>
                <w:numId w:val="2"/>
              </w:numPr>
              <w:spacing w:after="40" w:before="40"/>
            </w:pPr>
            <w:r>
              <w:rPr>
                <w:rFonts w:ascii="Arial" w:cs="Arial" w:eastAsia="Arial" w:hAnsi="Arial"/>
                <w:color w:val="374151"/>
                <w:sz w:val="21"/>
                <w:szCs w:val="21"/>
              </w:rPr>
              <w:t xml:space="preserve">Objetivo a 6 meses: alcanzar un nivel de cumplimiento del 80% o superior en todas las categorías.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12.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DPO / 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marco de cumplimiento normativo LFPDPPP de NovaTech Solutions — documento final del repositorio SGSI_NovaTech/</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Cierre del repositorio SGSI_NovaTech/</w:t>
            </w:r>
          </w:p>
          <w:p>
            <w:pPr>
              <w:pStyle w:val="ListParagraph"/>
              <w:numPr>
                <w:ilvl w:val="0"/>
                <w:numId w:val="2"/>
              </w:numPr>
              <w:spacing w:after="40" w:before="40"/>
            </w:pPr>
            <w:r>
              <w:rPr>
                <w:rFonts w:ascii="Arial" w:cs="Arial" w:eastAsia="Arial" w:hAnsi="Arial"/>
                <w:color w:val="374151"/>
                <w:sz w:val="21"/>
                <w:szCs w:val="21"/>
              </w:rPr>
              <w:t xml:space="preserve">Este documento constituye el undécimo y último componente del repositorio SGSI_NovaTech/, completando el Sistema de Gestión de Seguridad de la Información de NovaTech Solutions.</w:t>
            </w:r>
          </w:p>
          <w:p>
            <w:pPr>
              <w:pStyle w:val="ListParagraph"/>
              <w:numPr>
                <w:ilvl w:val="0"/>
                <w:numId w:val="2"/>
              </w:numPr>
              <w:spacing w:after="40" w:before="40"/>
            </w:pPr>
            <w:r>
              <w:rPr>
                <w:rFonts w:ascii="Arial" w:cs="Arial" w:eastAsia="Arial" w:hAnsi="Arial"/>
                <w:color w:val="374151"/>
                <w:sz w:val="21"/>
                <w:szCs w:val="21"/>
              </w:rPr>
              <w:t xml:space="preserve">El SGSI no es un punto de llegada — es un punto de partida. Su valor se realiza en la implementación, en la operación cotidiana y en la mejora continua que se produce cada vez que se mide, se audita y se actúa sobre los resultados.</w:t>
            </w:r>
          </w:p>
          <w:p>
            <w:pPr>
              <w:pStyle w:val="ListParagraph"/>
              <w:numPr>
                <w:ilvl w:val="0"/>
                <w:numId w:val="2"/>
              </w:numPr>
              <w:spacing w:after="40" w:before="40"/>
            </w:pPr>
            <w:r>
              <w:rPr>
                <w:rFonts w:ascii="Arial" w:cs="Arial" w:eastAsia="Arial" w:hAnsi="Arial"/>
                <w:color w:val="374151"/>
                <w:sz w:val="21"/>
                <w:szCs w:val="21"/>
              </w:rPr>
              <w:t xml:space="preserve">Los 11 documentos del repositorio forman un sistema coherente: cada uno alimenta a los demás y todos responden a los mismos 3 incidentes que dieron origen al SGSI de NovaTech Solutions.</w:t>
            </w:r>
          </w:p>
          <w:p>
            <w:pPr>
              <w:pStyle w:val="ListParagraph"/>
              <w:numPr>
                <w:ilvl w:val="0"/>
                <w:numId w:val="2"/>
              </w:numPr>
              <w:spacing w:after="40" w:before="40"/>
            </w:pPr>
            <w:r>
              <w:rPr>
                <w:rFonts w:ascii="Arial" w:cs="Arial" w:eastAsia="Arial" w:hAnsi="Arial"/>
                <w:color w:val="374151"/>
                <w:sz w:val="21"/>
                <w:szCs w:val="21"/>
              </w:rPr>
              <w:t xml:space="preserve">El próximo paso es la implementación. El primer hito: implementar los controles de prioridad inmediata (CT-01, CT-06, CT-22, CT-13, CT-29) y publicar el Aviso de Privacidad en los próximos 30 días.</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Cumplimiento Normativo — LFPDPPP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2026-04-05T19:36:40.071Z</dcterms:created>
  <dcterms:modified xsi:type="dcterms:W3CDTF">2026-04-05T19:36:40.073Z</dcterms:modified>
</cp:coreProperties>
</file>

<file path=docProps/custom.xml><?xml version="1.0" encoding="utf-8"?>
<Properties xmlns="http://schemas.openxmlformats.org/officeDocument/2006/custom-properties" xmlns:vt="http://schemas.openxmlformats.org/officeDocument/2006/docPropsVTypes"/>
</file>