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60" w:space="0"/>
        </w:pBdr>
        <w:spacing w:after="0" w:before="0"/>
      </w:pPr>
    </w:p>
    <w:p>
      <w:pPr>
        <w:spacing w:before="1440"/>
      </w:pPr>
    </w:p>
    <w:p>
      <w:pPr>
        <w:spacing w:after="240" w:before="0"/>
        <w:jc w:val="center"/>
      </w:pPr>
      <w:r>
        <w:rPr>
          <w:rFonts w:ascii="Arial" w:cs="Arial" w:eastAsia="Arial" w:hAnsi="Arial"/>
          <w:b/>
          <w:bCs/>
          <w:caps/>
          <w:color w:val="1B3A6B"/>
          <w:sz w:val="44"/>
          <w:szCs w:val="44"/>
        </w:rPr>
        <w:t xml:space="preserve">SISTEMA DE GESTIÓN DE SEGURIDAD DE LA INFORMACIÓN</w:t>
      </w:r>
    </w:p>
    <w:p>
      <w:pPr>
        <w:spacing w:after="480" w:before="0"/>
        <w:jc w:val="center"/>
      </w:pPr>
      <w:r>
        <w:rPr>
          <w:rFonts w:ascii="Arial" w:cs="Arial" w:eastAsia="Arial" w:hAnsi="Arial"/>
          <w:b/>
          <w:bCs/>
          <w:color w:val="2563EB"/>
          <w:sz w:val="52"/>
          <w:szCs w:val="52"/>
        </w:rPr>
        <w:t xml:space="preserve">DOCUMENTO MARCO DEL SGSI</w:t>
      </w:r>
    </w:p>
    <w:p>
      <w:pPr>
        <w:spacing w:after="120" w:before="0"/>
        <w:jc w:val="center"/>
      </w:pPr>
      <w:r>
        <w:rPr>
          <w:rFonts w:ascii="Arial" w:cs="Arial" w:eastAsia="Arial" w:hAnsi="Arial"/>
          <w:b/>
          <w:bCs/>
          <w:color w:val="374151"/>
          <w:sz w:val="36"/>
          <w:szCs w:val="36"/>
        </w:rPr>
        <w:t xml:space="preserve">NovaTech Solutions</w:t>
      </w:r>
    </w:p>
    <w:p>
      <w:pPr>
        <w:spacing w:after="720" w:before="0"/>
        <w:jc w:val="center"/>
      </w:pPr>
      <w:r>
        <w:rPr>
          <w:rFonts w:ascii="Arial" w:cs="Arial" w:eastAsia="Arial" w:hAnsi="Arial"/>
          <w:color w:val="374151"/>
          <w:sz w:val="24"/>
          <w:szCs w:val="24"/>
        </w:rPr>
        <w:t xml:space="preserve">Monterrey, Nuevo León, México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Inicial</w:t>
            </w:r>
          </w:p>
        </w:tc>
      </w:tr>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Confidencial</w:t>
            </w:r>
          </w:p>
        </w:tc>
      </w:tr>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Borrador para revisión</w:t>
            </w:r>
          </w:p>
        </w:tc>
      </w:tr>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Elaborado por</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Comité de Seguridad de la Información</w:t>
            </w:r>
          </w:p>
        </w:tc>
      </w:tr>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Fecha de elaboración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2026</w:t>
            </w:r>
          </w:p>
        </w:tc>
      </w:tr>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Basado en</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ISO/IEC 27001 | OCTAVE Allegro | LFPDPPP</w:t>
            </w:r>
          </w:p>
        </w:tc>
      </w:tr>
    </w:tbl>
    <w:p>
      <w:pPr>
        <w:spacing w:before="1440"/>
      </w:pPr>
    </w:p>
    <w:p>
      <w:pPr>
        <w:pBdr>
          <w:top w:val="single" w:color="2563EB" w:sz="8" w:space="4"/>
        </w:pBdr>
        <w:spacing w:before="120"/>
        <w:jc w:val="center"/>
      </w:pPr>
      <w:r>
        <w:rPr>
          <w:rFonts w:ascii="Arial" w:cs="Arial" w:eastAsia="Arial" w:hAnsi="Arial"/>
          <w:i/>
          <w:iCs/>
          <w:color w:val="374151"/>
          <w:sz w:val="18"/>
          <w:szCs w:val="18"/>
        </w:rPr>
        <w:t xml:space="preserve">Misión: Blindaje Organizacional  |  Comité de Seguridad de la Información</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 Introducción</w:t>
      </w:r>
    </w:p>
    <w:p>
      <w:pPr>
        <w:pStyle w:val="Heading2"/>
        <w:spacing w:after="140" w:before="280"/>
      </w:pPr>
      <w:r>
        <w:rPr>
          <w:rFonts w:ascii="Arial" w:cs="Arial" w:eastAsia="Arial" w:hAnsi="Arial"/>
          <w:b/>
          <w:bCs/>
          <w:color w:val="2563EB"/>
          <w:sz w:val="28"/>
          <w:szCs w:val="28"/>
        </w:rPr>
        <w:t xml:space="preserve">1.1 Propósito del documento</w:t>
      </w:r>
    </w:p>
    <w:p>
      <w:pPr>
        <w:spacing w:after="80" w:before="80"/>
      </w:pPr>
      <w:r>
        <w:rPr>
          <w:rFonts w:ascii="Arial" w:cs="Arial" w:eastAsia="Arial" w:hAnsi="Arial"/>
          <w:color w:val="374151"/>
          <w:sz w:val="22"/>
          <w:szCs w:val="22"/>
        </w:rPr>
        <w:t xml:space="preserve">El presente Documento Marco constituye el eje central del Sistema de Gestión de Seguridad de la Información (SGSI) de NovaTech Solutions. Su propósito es establecer los fundamentos, la arquitectura, el alcance y los principios rectores bajo los cuales la organización gestionará la seguridad de la información de forma sistemática, documentada y sostenible en el tiempo.</w:t>
      </w:r>
    </w:p>
    <w:p>
      <w:pPr>
        <w:spacing w:after="80" w:before="80"/>
      </w:pPr>
      <w:r>
        <w:rPr>
          <w:rFonts w:ascii="Arial" w:cs="Arial" w:eastAsia="Arial" w:hAnsi="Arial"/>
          <w:color w:val="374151"/>
          <w:sz w:val="22"/>
          <w:szCs w:val="22"/>
        </w:rPr>
        <w:t xml:space="preserve">Este documento sirve como referencia de alto nivel para todos los documentos operativos, políticas, procedimientos y controles que conforman el SGSI, asegurando la coherencia y alineación entre todos sus componentes.</w:t>
      </w:r>
    </w:p>
    <w:p>
      <w:pPr>
        <w:pStyle w:val="Heading2"/>
        <w:spacing w:after="140" w:before="280"/>
      </w:pPr>
      <w:r>
        <w:rPr>
          <w:rFonts w:ascii="Arial" w:cs="Arial" w:eastAsia="Arial" w:hAnsi="Arial"/>
          <w:b/>
          <w:bCs/>
          <w:color w:val="2563EB"/>
          <w:sz w:val="28"/>
          <w:szCs w:val="28"/>
        </w:rPr>
        <w:t xml:space="preserve">1.2 Antecedentes</w:t>
      </w:r>
    </w:p>
    <w:p>
      <w:pPr>
        <w:spacing w:after="80" w:before="80"/>
      </w:pPr>
      <w:r>
        <w:rPr>
          <w:rFonts w:ascii="Arial" w:cs="Arial" w:eastAsia="Arial" w:hAnsi="Arial"/>
          <w:color w:val="374151"/>
          <w:sz w:val="22"/>
          <w:szCs w:val="22"/>
        </w:rPr>
        <w:t xml:space="preserve">NovaTech Solutions experimentó en los últimos años un crecimiento acelerado que amplió significativamente su exposición a riesgos de seguridad de la información. Una serie de eventos internos evidenció la ausencia de controles formales:</w:t>
      </w:r>
    </w:p>
    <w:p>
      <w:pPr>
        <w:pStyle w:val="ListParagraph"/>
        <w:numPr>
          <w:ilvl w:val="0"/>
          <w:numId w:val="2"/>
        </w:numPr>
        <w:spacing w:after="60" w:before="60"/>
      </w:pPr>
      <w:r>
        <w:rPr>
          <w:rFonts w:ascii="Arial" w:cs="Arial" w:eastAsia="Arial" w:hAnsi="Arial"/>
          <w:sz w:val="22"/>
          <w:szCs w:val="22"/>
        </w:rPr>
        <w:t xml:space="preserve">Acceso no autorizado a repositorios de código fuente desde una sesión de desarrollador no cerrada.</w:t>
      </w:r>
    </w:p>
    <w:p>
      <w:pPr>
        <w:pStyle w:val="ListParagraph"/>
        <w:numPr>
          <w:ilvl w:val="0"/>
          <w:numId w:val="2"/>
        </w:numPr>
        <w:spacing w:after="60" w:before="60"/>
      </w:pPr>
      <w:r>
        <w:rPr>
          <w:rFonts w:ascii="Arial" w:cs="Arial" w:eastAsia="Arial" w:hAnsi="Arial"/>
          <w:sz w:val="22"/>
          <w:szCs w:val="22"/>
        </w:rPr>
        <w:t xml:space="preserve">Filtración accidental de información de cliente a través de un reenvío de correo incorrecto.</w:t>
      </w:r>
    </w:p>
    <w:p>
      <w:pPr>
        <w:pStyle w:val="ListParagraph"/>
        <w:numPr>
          <w:ilvl w:val="0"/>
          <w:numId w:val="2"/>
        </w:numPr>
        <w:spacing w:after="60" w:before="60"/>
      </w:pPr>
      <w:r>
        <w:rPr>
          <w:rFonts w:ascii="Arial" w:cs="Arial" w:eastAsia="Arial" w:hAnsi="Arial"/>
          <w:sz w:val="22"/>
          <w:szCs w:val="22"/>
        </w:rPr>
        <w:t xml:space="preserve">Interrupción del sistema CRM durante aproximadamente seis horas por una mala configuración durante una actualización.</w:t>
      </w:r>
    </w:p>
    <w:p>
      <w:pPr>
        <w:spacing w:after="80" w:before="80"/>
      </w:pPr>
      <w:r>
        <w:rPr>
          <w:rFonts w:ascii="Arial" w:cs="Arial" w:eastAsia="Arial" w:hAnsi="Arial"/>
          <w:color w:val="374151"/>
          <w:sz w:val="22"/>
          <w:szCs w:val="22"/>
        </w:rPr>
        <w:t xml:space="preserve">Estos incidentes, si bien no produjeron pérdidas catastróficas, pusieron de manifiesto que la seguridad operaba de forma improvisada y sin una estrategia organizacional integral.</w:t>
      </w:r>
    </w:p>
    <w:p>
      <w:pPr>
        <w:pStyle w:val="Heading2"/>
        <w:spacing w:after="140" w:before="280"/>
      </w:pPr>
      <w:r>
        <w:rPr>
          <w:rFonts w:ascii="Arial" w:cs="Arial" w:eastAsia="Arial" w:hAnsi="Arial"/>
          <w:b/>
          <w:bCs/>
          <w:color w:val="2563EB"/>
          <w:sz w:val="28"/>
          <w:szCs w:val="28"/>
        </w:rPr>
        <w:t xml:space="preserve">1.3 Decisión estratégica</w:t>
      </w:r>
    </w:p>
    <w:p>
      <w:pPr>
        <w:spacing w:after="80" w:before="80"/>
      </w:pPr>
      <w:r>
        <w:rPr>
          <w:rFonts w:ascii="Arial" w:cs="Arial" w:eastAsia="Arial" w:hAnsi="Arial"/>
          <w:color w:val="374151"/>
          <w:sz w:val="22"/>
          <w:szCs w:val="22"/>
        </w:rPr>
        <w:t xml:space="preserve">Ante este diagnóstico, la Dirección General de NovaTech Solutions tomó la decisión estratégica de diseñar e implementar un SGSI alineado con estándares internacionales, con el objetivo de proteger la información que sustenta la operación del negocio y garantizar la continuidad de los servicios que presta a sus clientes.</w:t>
      </w:r>
    </w:p>
    <w:p>
      <w:pPr>
        <w:spacing w:after="80" w:before="100"/>
      </w:pPr>
      <w:r>
        <w:rPr>
          <w:rFonts w:ascii="Arial" w:cs="Arial" w:eastAsia="Arial" w:hAnsi="Arial"/>
          <w:b/>
          <w:bCs/>
          <w:color w:val="374151"/>
          <w:sz w:val="22"/>
          <w:szCs w:val="22"/>
        </w:rPr>
        <w:t xml:space="preserve">Este SGSI se fundamenta en tres marcos de referencia:</w:t>
      </w:r>
    </w:p>
    <w:p>
      <w:pPr>
        <w:pStyle w:val="ListParagraph"/>
        <w:numPr>
          <w:ilvl w:val="0"/>
          <w:numId w:val="2"/>
        </w:numPr>
        <w:spacing w:after="60" w:before="60"/>
      </w:pPr>
      <w:r>
        <w:rPr>
          <w:rFonts w:ascii="Arial" w:cs="Arial" w:eastAsia="Arial" w:hAnsi="Arial"/>
          <w:sz w:val="22"/>
          <w:szCs w:val="22"/>
        </w:rPr>
        <w:t xml:space="preserve">ISO/IEC 27001:2022 — Estándar internacional para sistemas de gestión de seguridad de la información.</w:t>
      </w:r>
    </w:p>
    <w:p>
      <w:pPr>
        <w:pStyle w:val="ListParagraph"/>
        <w:numPr>
          <w:ilvl w:val="0"/>
          <w:numId w:val="2"/>
        </w:numPr>
        <w:spacing w:after="60" w:before="60"/>
      </w:pPr>
      <w:r>
        <w:rPr>
          <w:rFonts w:ascii="Arial" w:cs="Arial" w:eastAsia="Arial" w:hAnsi="Arial"/>
          <w:sz w:val="22"/>
          <w:szCs w:val="22"/>
        </w:rPr>
        <w:t xml:space="preserve">OCTAVE Allegro — Metodología estructurada para la evaluación y gestión de riesgos de información.</w:t>
      </w:r>
    </w:p>
    <w:p>
      <w:pPr>
        <w:pStyle w:val="ListParagraph"/>
        <w:numPr>
          <w:ilvl w:val="0"/>
          <w:numId w:val="2"/>
        </w:numPr>
        <w:spacing w:after="60" w:before="60"/>
      </w:pPr>
      <w:r>
        <w:rPr>
          <w:rFonts w:ascii="Arial" w:cs="Arial" w:eastAsia="Arial" w:hAnsi="Arial"/>
          <w:sz w:val="22"/>
          <w:szCs w:val="22"/>
        </w:rPr>
        <w:t xml:space="preserve">Ley Federal de Protección de Datos Personales en Posesión de los Particulares (LFPDPPP) — Marco legal aplicable en México.</w:t>
      </w:r>
    </w:p>
    <w:p>
      <w:pPr>
        <w:spacing w:before="16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2. Contexto Organizacional</w:t>
      </w:r>
    </w:p>
    <w:p>
      <w:pPr>
        <w:pStyle w:val="Heading2"/>
        <w:spacing w:after="140" w:before="280"/>
      </w:pPr>
      <w:r>
        <w:rPr>
          <w:rFonts w:ascii="Arial" w:cs="Arial" w:eastAsia="Arial" w:hAnsi="Arial"/>
          <w:b/>
          <w:bCs/>
          <w:color w:val="2563EB"/>
          <w:sz w:val="28"/>
          <w:szCs w:val="28"/>
        </w:rPr>
        <w:t xml:space="preserve">2.1 Descripción general de la organización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Atributo</w:t>
            </w:r>
          </w:p>
        </w:tc>
        <w:tc>
          <w:tcPr>
            <w:tcW w:type="dxa" w:w="61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Nombre legal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NovaTech Solutions</w:t>
            </w:r>
          </w:p>
        </w:tc>
      </w:tr>
      <w:tr>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Giro</w:t>
            </w:r>
          </w:p>
        </w:tc>
        <w:tc>
          <w:tcPr>
            <w:tcW w:type="dxa" w:w="6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Desarrollo de software y servicios digitales para PyMEs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Sede principal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Monterrey, Nuevo León, México</w:t>
            </w:r>
          </w:p>
        </w:tc>
      </w:tr>
      <w:tr>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Número de empleados</w:t>
            </w:r>
          </w:p>
        </w:tc>
        <w:tc>
          <w:tcPr>
            <w:tcW w:type="dxa" w:w="6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120</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Pequeñas y medianas empresas distribuidas en todo México</w:t>
            </w:r>
          </w:p>
        </w:tc>
      </w:tr>
      <w:tr>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Infraestructura</w:t>
            </w:r>
          </w:p>
        </w:tc>
        <w:tc>
          <w:tcPr>
            <w:tcW w:type="dxa" w:w="6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Servidores en la nube, aplicaciones web, bases de datos, correo corporativo</w:t>
            </w:r>
          </w:p>
        </w:tc>
      </w:tr>
    </w:tbl>
    <w:p>
      <w:pPr>
        <w:spacing w:before="200"/>
      </w:pPr>
    </w:p>
    <w:p>
      <w:pPr>
        <w:pStyle w:val="Heading2"/>
        <w:spacing w:after="140" w:before="280"/>
      </w:pPr>
      <w:r>
        <w:rPr>
          <w:rFonts w:ascii="Arial" w:cs="Arial" w:eastAsia="Arial" w:hAnsi="Arial"/>
          <w:b/>
          <w:bCs/>
          <w:color w:val="2563EB"/>
          <w:sz w:val="28"/>
          <w:szCs w:val="28"/>
        </w:rPr>
        <w:t xml:space="preserve">2.2 Estructura organizacional</w:t>
      </w:r>
    </w:p>
    <w:p>
      <w:pPr>
        <w:spacing w:after="80" w:before="80"/>
      </w:pPr>
      <w:r>
        <w:rPr>
          <w:rFonts w:ascii="Arial" w:cs="Arial" w:eastAsia="Arial" w:hAnsi="Arial"/>
          <w:color w:val="374151"/>
          <w:sz w:val="22"/>
          <w:szCs w:val="22"/>
        </w:rPr>
        <w:t xml:space="preserve">NovaTech Solutions se organiza en tres departamentos principales, cada uno con responsabilidades específicas sobre activos de información críticos: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Departamento</w:t>
            </w:r>
          </w:p>
        </w:tc>
        <w:tc>
          <w:tcPr>
            <w:tcW w:type="dxa" w:w="378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Funciones principales</w:t>
            </w:r>
          </w:p>
        </w:tc>
        <w:tc>
          <w:tcPr>
            <w:tcW w:type="dxa" w:w="338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Sistemas utilizados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Desarrollo de Software</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Desarrollo de plataformas web, mantenimiento de aplicaciones, gestión de repositorios de código.</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Repositorios Git, servidores CI/CD, ambientes de desarrollo</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Atención a Clientes</w:t>
            </w:r>
          </w:p>
        </w:tc>
        <w:tc>
          <w:tcPr>
            <w:tcW w:type="dxa" w:w="37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Soporte técnico, gestión de solicitudes, manejo de información de clientes.</w:t>
            </w:r>
          </w:p>
        </w:tc>
        <w:tc>
          <w:tcPr>
            <w:tcW w:type="dxa" w:w="33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CRM, correo electrónico, base de datos de clientes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Administración</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Facturación, contratos, pagos, recursos humanos.</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ERP, sistemas financieros, archivos de RRHH</w:t>
            </w:r>
          </w:p>
        </w:tc>
      </w:tr>
    </w:tbl>
    <w:p>
      <w:pPr>
        <w:spacing w:before="200"/>
      </w:pPr>
    </w:p>
    <w:p>
      <w:pPr>
        <w:pStyle w:val="Heading2"/>
        <w:spacing w:after="140" w:before="280"/>
      </w:pPr>
      <w:r>
        <w:rPr>
          <w:rFonts w:ascii="Arial" w:cs="Arial" w:eastAsia="Arial" w:hAnsi="Arial"/>
          <w:b/>
          <w:bCs/>
          <w:color w:val="2563EB"/>
          <w:sz w:val="28"/>
          <w:szCs w:val="28"/>
        </w:rPr>
        <w:t xml:space="preserve">2.3 Información sensible gestionada</w:t>
      </w:r>
    </w:p>
    <w:p>
      <w:pPr>
        <w:spacing w:after="80" w:before="80"/>
      </w:pPr>
      <w:r>
        <w:rPr>
          <w:rFonts w:ascii="Arial" w:cs="Arial" w:eastAsia="Arial" w:hAnsi="Arial"/>
          <w:color w:val="374151"/>
          <w:sz w:val="22"/>
          <w:szCs w:val="22"/>
        </w:rPr>
        <w:t xml:space="preserve">La organización gestiona los siguientes tipos de información que requieren protección prioritaria: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 de información</w:t>
            </w:r>
          </w:p>
        </w:tc>
        <w:tc>
          <w:tcPr>
            <w:tcW w:type="dxa" w:w="3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Fuente</w:t>
            </w:r>
          </w:p>
        </w:tc>
        <w:tc>
          <w:tcPr>
            <w:tcW w:type="dxa" w:w="29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Nivel de sensibilidad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Datos personales de clientes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CRM, formularios de registro</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Alto</w:t>
            </w:r>
          </w:p>
        </w:tc>
      </w:tr>
      <w:tr>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Datos personales de empleados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Sistema de RRHH, nómina</w:t>
            </w:r>
          </w:p>
        </w:tc>
        <w:tc>
          <w:tcPr>
            <w:tcW w:type="dxa" w:w="29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Alto</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Credenciales de acceso a sistemas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Directorios de usuarios, VPN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Crítico</w:t>
            </w:r>
          </w:p>
        </w:tc>
      </w:tr>
      <w:tr>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Información financiera</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ERP, contratos, facturas</w:t>
            </w:r>
          </w:p>
        </w:tc>
        <w:tc>
          <w:tcPr>
            <w:tcW w:type="dxa" w:w="29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Alto</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Código fuente de aplicaciones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Repositorios Git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Crítico</w:t>
            </w:r>
          </w:p>
        </w:tc>
      </w:tr>
      <w:tr>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Documentos contractuales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Almacenamiento en la nube</w:t>
            </w:r>
          </w:p>
        </w:tc>
        <w:tc>
          <w:tcPr>
            <w:tcW w:type="dxa" w:w="29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Alto</w:t>
            </w:r>
          </w:p>
        </w:tc>
      </w:tr>
    </w:tbl>
    <w:p>
      <w:pPr>
        <w:spacing w:before="200"/>
      </w:pPr>
    </w:p>
    <w:p>
      <w:pPr>
        <w:pStyle w:val="Heading2"/>
        <w:spacing w:after="140" w:before="280"/>
      </w:pPr>
      <w:r>
        <w:rPr>
          <w:rFonts w:ascii="Arial" w:cs="Arial" w:eastAsia="Arial" w:hAnsi="Arial"/>
          <w:b/>
          <w:bCs/>
          <w:color w:val="2563EB"/>
          <w:sz w:val="28"/>
          <w:szCs w:val="28"/>
        </w:rPr>
        <w:t xml:space="preserve">2.4 Partes interesadas</w:t>
      </w:r>
    </w:p>
    <w:p>
      <w:pPr>
        <w:spacing w:after="80" w:before="80"/>
      </w:pPr>
      <w:r>
        <w:rPr>
          <w:rFonts w:ascii="Arial" w:cs="Arial" w:eastAsia="Arial" w:hAnsi="Arial"/>
          <w:color w:val="374151"/>
          <w:sz w:val="22"/>
          <w:szCs w:val="22"/>
        </w:rPr>
        <w:t xml:space="preserve">El SGSI de NovaTech Solutions considera a las siguientes partes interesadas y sus expectativas en materia de seguridad de la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Parte interesada</w:t>
            </w:r>
          </w:p>
        </w:tc>
        <w:tc>
          <w:tcPr>
            <w:tcW w:type="dxa" w:w="57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Expectativa / Requisito</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Dirección General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Continuidad del negocio, reputación, rentabilidad</w:t>
            </w:r>
          </w:p>
        </w:tc>
      </w:tr>
      <w:tr>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Clientes</w:t>
            </w:r>
          </w:p>
        </w:tc>
        <w:tc>
          <w:tcPr>
            <w:tcW w:type="dxa" w:w="57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Confidencialidad y protección de sus datos e información contractual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Empleados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Entorno de trabajo seguro, claridad sobre responsabilidades</w:t>
            </w:r>
          </w:p>
        </w:tc>
      </w:tr>
      <w:tr>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Reguladores (INAI)</w:t>
            </w:r>
          </w:p>
        </w:tc>
        <w:tc>
          <w:tcPr>
            <w:tcW w:type="dxa" w:w="57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Cumplimiento de la LFPDPPP y normativas aplicables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Proveedores de infraestructura</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Uso adecuado de plataformas y servicios contratados</w:t>
            </w:r>
          </w:p>
        </w:tc>
      </w:tr>
    </w:tbl>
    <w:p>
      <w:pPr>
        <w:spacing w:before="200"/>
      </w:pPr>
    </w:p>
    <w:p>
      <w:pPr>
        <w:pStyle w:val="Heading2"/>
        <w:spacing w:after="140" w:before="280"/>
      </w:pPr>
      <w:r>
        <w:rPr>
          <w:rFonts w:ascii="Arial" w:cs="Arial" w:eastAsia="Arial" w:hAnsi="Arial"/>
          <w:b/>
          <w:bCs/>
          <w:color w:val="2563EB"/>
          <w:sz w:val="28"/>
          <w:szCs w:val="28"/>
        </w:rPr>
        <w:t xml:space="preserve">2.5 Análisis del contexto (FODA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Factor</w:t>
            </w:r>
          </w:p>
        </w:tc>
        <w:tc>
          <w:tcPr>
            <w:tcW w:type="dxa" w:w="71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Fortaleza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Equipo técnico calificado; infraestructura en la nube con capacidades de seguridad nativas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Oportunidad</w:t>
            </w:r>
          </w:p>
        </w:tc>
        <w:tc>
          <w:tcPr>
            <w:tcW w:type="dxa" w:w="7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Adopción de ISO 27001 como diferenciador competitivo; marco legal definido (LFPDPPP)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Debilidad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Ausencia de políticas formales; análisis de riesgos inexistente; capacitación limitada</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Amenaza</w:t>
            </w:r>
          </w:p>
        </w:tc>
        <w:tc>
          <w:tcPr>
            <w:tcW w:type="dxa" w:w="7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Incremento de ciberataques a PyMEs; exfiltración de código fuente; accesos no autorizados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3. Alcance del SGSI</w:t>
      </w:r>
    </w:p>
    <w:p>
      <w:pPr>
        <w:pStyle w:val="Heading2"/>
        <w:spacing w:after="140" w:before="280"/>
      </w:pPr>
      <w:r>
        <w:rPr>
          <w:rFonts w:ascii="Arial" w:cs="Arial" w:eastAsia="Arial" w:hAnsi="Arial"/>
          <w:b/>
          <w:bCs/>
          <w:color w:val="2563EB"/>
          <w:sz w:val="28"/>
          <w:szCs w:val="28"/>
        </w:rPr>
        <w:t xml:space="preserve">3.1 Declaración de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Declaración de Alcance del SGSI</w:t>
            </w:r>
          </w:p>
          <w:p>
            <w:pPr>
              <w:pStyle w:val="ListParagraph"/>
              <w:numPr>
                <w:ilvl w:val="0"/>
                <w:numId w:val="2"/>
              </w:numPr>
              <w:spacing w:after="40" w:before="40"/>
            </w:pPr>
            <w:r>
              <w:rPr>
                <w:rFonts w:ascii="Arial" w:cs="Arial" w:eastAsia="Arial" w:hAnsi="Arial"/>
                <w:color w:val="374151"/>
                <w:sz w:val="21"/>
                <w:szCs w:val="21"/>
              </w:rPr>
              <w:t xml:space="preserve">El SGSI de NovaTech Solutions aplica a todos los procesos, sistemas, activos de información y personal involucrado en el desarrollo de plataformas digitales, la prestación de servicios de soporte a clientes y la gestión administrativa de la organización.</w:t>
            </w:r>
          </w:p>
          <w:p>
            <w:pPr>
              <w:pStyle w:val="ListParagraph"/>
              <w:numPr>
                <w:ilvl w:val="0"/>
                <w:numId w:val="2"/>
              </w:numPr>
              <w:spacing w:after="40" w:before="40"/>
            </w:pPr>
            <w:r>
              <w:rPr>
                <w:rFonts w:ascii="Arial" w:cs="Arial" w:eastAsia="Arial" w:hAnsi="Arial"/>
                <w:color w:val="374151"/>
                <w:sz w:val="21"/>
                <w:szCs w:val="21"/>
              </w:rPr>
              <w:t xml:space="preserve">Sede: Monterrey, Nuevo León, México (incluyendo trabajo remoto autorizado).</w:t>
            </w:r>
          </w:p>
          <w:p>
            <w:pPr>
              <w:pStyle w:val="ListParagraph"/>
              <w:numPr>
                <w:ilvl w:val="0"/>
                <w:numId w:val="2"/>
              </w:numPr>
              <w:spacing w:after="40" w:before="40"/>
            </w:pPr>
            <w:r>
              <w:rPr>
                <w:rFonts w:ascii="Arial" w:cs="Arial" w:eastAsia="Arial" w:hAnsi="Arial"/>
                <w:color w:val="374151"/>
                <w:sz w:val="21"/>
                <w:szCs w:val="21"/>
              </w:rPr>
              <w:t xml:space="preserve">Infraestructura: servidores en la nube, aplicaciones web, bases de datos, correo corporativo y almacenamiento en la nube bajo administración de NovaTech Solutions.</w:t>
            </w:r>
          </w:p>
          <w:p>
            <w:pPr>
              <w:pStyle w:val="ListParagraph"/>
              <w:numPr>
                <w:ilvl w:val="0"/>
                <w:numId w:val="2"/>
              </w:numPr>
              <w:spacing w:after="40" w:before="40"/>
            </w:pPr>
            <w:r>
              <w:rPr>
                <w:rFonts w:ascii="Arial" w:cs="Arial" w:eastAsia="Arial" w:hAnsi="Arial"/>
                <w:color w:val="374151"/>
                <w:sz w:val="21"/>
                <w:szCs w:val="21"/>
              </w:rPr>
              <w:t xml:space="preserve">Personal: los 120 empleados de la organización, contratistas autorizados y proveedores con acceso a sistemas críticos.</w:t>
            </w:r>
          </w:p>
        </w:tc>
      </w:tr>
    </w:tbl>
    <w:p>
      <w:pPr>
        <w:spacing w:before="160"/>
      </w:pPr>
    </w:p>
    <w:p>
      <w:pPr>
        <w:pStyle w:val="Heading2"/>
        <w:spacing w:after="140" w:before="280"/>
      </w:pPr>
      <w:r>
        <w:rPr>
          <w:rFonts w:ascii="Arial" w:cs="Arial" w:eastAsia="Arial" w:hAnsi="Arial"/>
          <w:b/>
          <w:bCs/>
          <w:color w:val="2563EB"/>
          <w:sz w:val="28"/>
          <w:szCs w:val="28"/>
        </w:rPr>
        <w:t xml:space="preserve">3.2 Exclusiones del alcance</w:t>
      </w:r>
    </w:p>
    <w:p>
      <w:pPr>
        <w:spacing w:after="80" w:before="80"/>
      </w:pPr>
      <w:r>
        <w:rPr>
          <w:rFonts w:ascii="Arial" w:cs="Arial" w:eastAsia="Arial" w:hAnsi="Arial"/>
          <w:color w:val="374151"/>
          <w:sz w:val="22"/>
          <w:szCs w:val="22"/>
        </w:rPr>
        <w:t xml:space="preserve">Quedan fuera del alcance del presente SGSI, en esta versión inicial:</w:t>
      </w:r>
    </w:p>
    <w:p>
      <w:pPr>
        <w:pStyle w:val="ListParagraph"/>
        <w:numPr>
          <w:ilvl w:val="0"/>
          <w:numId w:val="2"/>
        </w:numPr>
        <w:spacing w:after="60" w:before="60"/>
      </w:pPr>
      <w:r>
        <w:rPr>
          <w:rFonts w:ascii="Arial" w:cs="Arial" w:eastAsia="Arial" w:hAnsi="Arial"/>
          <w:sz w:val="22"/>
          <w:szCs w:val="22"/>
        </w:rPr>
        <w:t xml:space="preserve">Sistemas y aplicaciones operados exclusivamente por los clientes en sus propios entornos, sin participación directa de NovaTech.</w:t>
      </w:r>
    </w:p>
    <w:p>
      <w:pPr>
        <w:pStyle w:val="ListParagraph"/>
        <w:numPr>
          <w:ilvl w:val="0"/>
          <w:numId w:val="2"/>
        </w:numPr>
        <w:spacing w:after="60" w:before="60"/>
      </w:pPr>
      <w:r>
        <w:rPr>
          <w:rFonts w:ascii="Arial" w:cs="Arial" w:eastAsia="Arial" w:hAnsi="Arial"/>
          <w:sz w:val="22"/>
          <w:szCs w:val="22"/>
        </w:rPr>
        <w:t xml:space="preserve">Infraestructura de proveedores de servicios en la nube de terceros, en la medida en que dichos proveedores cuenten con sus propias certificaciones de seguridad.</w:t>
      </w:r>
    </w:p>
    <w:p>
      <w:pPr>
        <w:pStyle w:val="Heading2"/>
        <w:spacing w:after="140" w:before="280"/>
      </w:pPr>
      <w:r>
        <w:rPr>
          <w:rFonts w:ascii="Arial" w:cs="Arial" w:eastAsia="Arial" w:hAnsi="Arial"/>
          <w:b/>
          <w:bCs/>
          <w:color w:val="2563EB"/>
          <w:sz w:val="28"/>
          <w:szCs w:val="28"/>
        </w:rPr>
        <w:t xml:space="preserve">3.3 Interfaces y dependencias</w:t>
      </w:r>
    </w:p>
    <w:p>
      <w:pPr>
        <w:spacing w:after="80" w:before="80"/>
      </w:pPr>
      <w:r>
        <w:rPr>
          <w:rFonts w:ascii="Arial" w:cs="Arial" w:eastAsia="Arial" w:hAnsi="Arial"/>
          <w:color w:val="374151"/>
          <w:sz w:val="22"/>
          <w:szCs w:val="22"/>
        </w:rPr>
        <w:t xml:space="preserve">El SGSI interactúa con los siguientes marcos y sistemas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Interfaz / Dependencia</w:t>
            </w:r>
          </w:p>
        </w:tc>
        <w:tc>
          <w:tcPr>
            <w:tcW w:type="dxa" w:w="2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3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Relevancia para el SGSI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Proveedores de nube (AWS, GCP o Azure)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Tecnológica</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Gestión de infraestructura crítica</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INAI — Instituto Nacional de Transparencia</w:t>
            </w:r>
          </w:p>
        </w:tc>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Regulatoria</w:t>
            </w:r>
          </w:p>
        </w:tc>
        <w:tc>
          <w:tcPr>
            <w:tcW w:type="dxa" w:w="4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Supervisión del cumplimiento de LFPDPPP</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Clientes con acceso a plataformas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Operativa</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Protección de datos personales y contractuales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Proveedores de desarrollo externo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Contractual</w:t>
            </w:r>
          </w:p>
        </w:tc>
        <w:tc>
          <w:tcPr>
            <w:tcW w:type="dxa" w:w="4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Cláusulas de confidencialidad y seguridad</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4. Objetivos de Seguridad de la Información</w:t>
      </w:r>
    </w:p>
    <w:p>
      <w:pPr>
        <w:pStyle w:val="Heading2"/>
        <w:spacing w:after="140" w:before="280"/>
      </w:pPr>
      <w:r>
        <w:rPr>
          <w:rFonts w:ascii="Arial" w:cs="Arial" w:eastAsia="Arial" w:hAnsi="Arial"/>
          <w:b/>
          <w:bCs/>
          <w:color w:val="2563EB"/>
          <w:sz w:val="28"/>
          <w:szCs w:val="28"/>
        </w:rPr>
        <w:t xml:space="preserve">4.1 Principios rectores — Triada CIA</w:t>
      </w:r>
    </w:p>
    <w:p>
      <w:pPr>
        <w:spacing w:after="80" w:before="80"/>
      </w:pPr>
      <w:r>
        <w:rPr>
          <w:rFonts w:ascii="Arial" w:cs="Arial" w:eastAsia="Arial" w:hAnsi="Arial"/>
          <w:color w:val="374151"/>
          <w:sz w:val="22"/>
          <w:szCs w:val="22"/>
        </w:rPr>
        <w:t xml:space="preserve">El SGSI de NovaTech Solutions se fundamenta en los tres pilares universales de la seguridad de la información, aplicados al contexto específico de la organización: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Principio</w:t>
            </w:r>
          </w:p>
        </w:tc>
        <w:tc>
          <w:tcPr>
            <w:tcW w:type="dxa" w:w="3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Definición</w:t>
            </w:r>
          </w:p>
        </w:tc>
        <w:tc>
          <w:tcPr>
            <w:tcW w:type="dxa" w:w="43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Aplicación en NovaTech</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Confidencialidad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Garantizar que la información sea accesible únicamente a personas autorizadas.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Protección de datos personales de clientes, credenciales de acceso y código fuente ante accesos indebidos.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Integridad</w:t>
            </w:r>
          </w:p>
        </w:tc>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Asegurar la exactitud y completitud de la información y sus métodos de procesamiento.</w:t>
            </w:r>
          </w:p>
        </w:tc>
        <w:tc>
          <w:tcPr>
            <w:tcW w:type="dxa" w:w="4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Prevenir modificaciones no autorizadas al código fuente, contratos y bases de datos de clientes.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Disponibilidad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Garantizar que los usuarios autorizados tengan acceso a la información cuando la necesiten.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Asegurar la continuidad del CRM, plataformas web y servicios de soporte ante fallas o ataques.</w:t>
            </w:r>
          </w:p>
        </w:tc>
      </w:tr>
    </w:tbl>
    <w:p>
      <w:pPr>
        <w:spacing w:before="200"/>
      </w:pPr>
    </w:p>
    <w:p>
      <w:pPr>
        <w:pStyle w:val="Heading2"/>
        <w:spacing w:after="140" w:before="280"/>
      </w:pPr>
      <w:r>
        <w:rPr>
          <w:rFonts w:ascii="Arial" w:cs="Arial" w:eastAsia="Arial" w:hAnsi="Arial"/>
          <w:b/>
          <w:bCs/>
          <w:color w:val="2563EB"/>
          <w:sz w:val="28"/>
          <w:szCs w:val="28"/>
        </w:rPr>
        <w:t xml:space="preserve">4.2 Objetivos estratégicos de seguridad</w:t>
      </w:r>
    </w:p>
    <w:p>
      <w:pPr>
        <w:spacing w:after="80" w:before="80"/>
      </w:pPr>
      <w:r>
        <w:rPr>
          <w:rFonts w:ascii="Arial" w:cs="Arial" w:eastAsia="Arial" w:hAnsi="Arial"/>
          <w:color w:val="374151"/>
          <w:sz w:val="22"/>
          <w:szCs w:val="22"/>
        </w:rPr>
        <w:t xml:space="preserve">Los objetivos de seguridad del SGSI se alinean directamente con los objetivos del negocio y son medibles a través de los indicadores definidos en el componente de Auditoría y Métricas: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4060"/>
      </w:tblGrid>
      <w:tr>
        <w:trPr>
          <w:tblHeader/>
        </w:trPr>
        <w:tc>
          <w:tcPr>
            <w:tcW w:type="dxa" w:w="7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46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Objetivo</w:t>
            </w:r>
          </w:p>
        </w:tc>
        <w:tc>
          <w:tcPr>
            <w:tcW w:type="dxa" w:w="40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Alineación con el negocio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OBJ-01</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Proteger la confidencialidad de los datos personales de clientes y empleados conforme a la LFPDPPP.</w:t>
            </w:r>
          </w:p>
        </w:tc>
        <w:tc>
          <w:tcPr>
            <w:tcW w:type="dxa" w:w="4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Cumplimiento regulatorio y confianza del cliente</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OBJ-02</w:t>
            </w:r>
          </w:p>
        </w:tc>
        <w:tc>
          <w:tcPr>
            <w:tcW w:type="dxa" w:w="4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Garantizar la integridad del código fuente y los activos de propiedad intelectual.</w:t>
            </w:r>
          </w:p>
        </w:tc>
        <w:tc>
          <w:tcPr>
            <w:tcW w:type="dxa" w:w="40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Protección de la ventaja competitiva de NovaTech</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OBJ-03</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Asegurar la disponibilidad de los sistemas críticos con un tiempo máximo de interrupción tolerable definido.</w:t>
            </w:r>
          </w:p>
        </w:tc>
        <w:tc>
          <w:tcPr>
            <w:tcW w:type="dxa" w:w="4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Continuidad operativa y reputación ante clientes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OBJ-04</w:t>
            </w:r>
          </w:p>
        </w:tc>
        <w:tc>
          <w:tcPr>
            <w:tcW w:type="dxa" w:w="4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Establecer y mantener un proceso formal de gestión de riesgos de información.</w:t>
            </w:r>
          </w:p>
        </w:tc>
        <w:tc>
          <w:tcPr>
            <w:tcW w:type="dxa" w:w="40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Reducción de pérdidas por incidentes no controlados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OBJ-05</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Desarrollar una cultura organizacional de seguridad entre los 120 colaboradores.</w:t>
            </w:r>
          </w:p>
        </w:tc>
        <w:tc>
          <w:tcPr>
            <w:tcW w:type="dxa" w:w="4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Reducción del riesgo humano como vector de ataque</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OBJ-06</w:t>
            </w:r>
          </w:p>
        </w:tc>
        <w:tc>
          <w:tcPr>
            <w:tcW w:type="dxa" w:w="4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Implementar capacidades formales de respuesta y recuperación ante incidentes.</w:t>
            </w:r>
          </w:p>
        </w:tc>
        <w:tc>
          <w:tcPr>
            <w:tcW w:type="dxa" w:w="40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Resiliencia operativa y confianza de las partes interesadas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5. Roles y Responsabilidades</w:t>
      </w:r>
    </w:p>
    <w:p>
      <w:pPr>
        <w:pStyle w:val="Heading2"/>
        <w:spacing w:after="140" w:before="280"/>
      </w:pPr>
      <w:r>
        <w:rPr>
          <w:rFonts w:ascii="Arial" w:cs="Arial" w:eastAsia="Arial" w:hAnsi="Arial"/>
          <w:b/>
          <w:bCs/>
          <w:color w:val="2563EB"/>
          <w:sz w:val="28"/>
          <w:szCs w:val="28"/>
        </w:rPr>
        <w:t xml:space="preserve">5.1 Estructura de gobierno del SGSI</w:t>
      </w:r>
    </w:p>
    <w:p>
      <w:pPr>
        <w:spacing w:after="80" w:before="80"/>
      </w:pPr>
      <w:r>
        <w:rPr>
          <w:rFonts w:ascii="Arial" w:cs="Arial" w:eastAsia="Arial" w:hAnsi="Arial"/>
          <w:color w:val="374151"/>
          <w:sz w:val="22"/>
          <w:szCs w:val="22"/>
        </w:rPr>
        <w:t xml:space="preserve">El SGSI de NovaTech Solutions opera bajo una estructura de gobierno que distribuye responsabilidades a través de los diferentes niveles organizacionales, asegurando que la seguridad de la información sea una responsabilidad compartida y no exclusiva del área técnica.</w:t>
      </w:r>
    </w:p>
    <w:p>
      <w:pPr>
        <w:pStyle w:val="Heading2"/>
        <w:spacing w:after="140" w:before="280"/>
      </w:pPr>
      <w:r>
        <w:rPr>
          <w:rFonts w:ascii="Arial" w:cs="Arial" w:eastAsia="Arial" w:hAnsi="Arial"/>
          <w:b/>
          <w:bCs/>
          <w:color w:val="2563EB"/>
          <w:sz w:val="28"/>
          <w:szCs w:val="28"/>
        </w:rPr>
        <w:t xml:space="preserve">5.2 Roles definidos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w:t>
            </w:r>
          </w:p>
        </w:tc>
        <w:tc>
          <w:tcPr>
            <w:tcW w:type="dxa" w:w="43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Responsabilidades principales</w:t>
            </w:r>
          </w:p>
        </w:tc>
        <w:tc>
          <w:tcPr>
            <w:tcW w:type="dxa" w:w="26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Perfil recomendado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Director General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Aprobar la Política de Seguridad, asignar recursos al SGSI, revisar el desempeño del sistema anualmente.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Alta dirección</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Responsable de Seguridad de la Información (CISO)</w:t>
            </w:r>
          </w:p>
        </w:tc>
        <w:tc>
          <w:tcPr>
            <w:tcW w:type="dxa" w:w="4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Diseñar, implementar y mantener el SGSI; coordinar auditorías; gestionar incidentes de alto impacto; reportar a dirección.</w:t>
            </w:r>
          </w:p>
        </w:tc>
        <w:tc>
          <w:tcPr>
            <w:tcW w:type="dxa" w:w="2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Perfil especialista en SI, reporta directo al Director General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Propietarios de Activos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Clasificar y proteger los activos bajo su custodia; aprobar accesos; revisar riesgos asociados.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Jefes de área: Desarrollo, Atención a Clientes, Administración</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Equipo de Respuesta a Incidentes (CSIRT)</w:t>
            </w:r>
          </w:p>
        </w:tc>
        <w:tc>
          <w:tcPr>
            <w:tcW w:type="dxa" w:w="4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Detectar, contener, analizar y recuperar incidentes de seguridad; documentar lecciones aprendidas.</w:t>
            </w:r>
          </w:p>
        </w:tc>
        <w:tc>
          <w:tcPr>
            <w:tcW w:type="dxa" w:w="2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Personal técnico de TI + representante del área afectada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Oficial de Protección de Datos (DPO)</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Asegurar el cumplimiento de la LFPDPPP; gestionar solicitudes de acceso y derechos ARCO; enlace con INAI.</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Perfil legal-técnico</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Usuarios / Empleados</w:t>
            </w:r>
          </w:p>
        </w:tc>
        <w:tc>
          <w:tcPr>
            <w:tcW w:type="dxa" w:w="4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Cumplir con las políticas y procedimientos del SGSI; reportar incidentes y comportamientos sospechosos.</w:t>
            </w:r>
          </w:p>
        </w:tc>
        <w:tc>
          <w:tcPr>
            <w:tcW w:type="dxa" w:w="2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Todos los colaboradores de NovaTech Solutions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Auditores Internos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Evaluar el cumplimiento y eficacia del SGSI; emitir recomendaciones de mejora.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Personal designado, sin conflicto de interés con áreas auditadas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6. Relación con ISO/IEC 27001</w:t>
      </w:r>
    </w:p>
    <w:p>
      <w:pPr>
        <w:pStyle w:val="Heading2"/>
        <w:spacing w:after="140" w:before="280"/>
      </w:pPr>
      <w:r>
        <w:rPr>
          <w:rFonts w:ascii="Arial" w:cs="Arial" w:eastAsia="Arial" w:hAnsi="Arial"/>
          <w:b/>
          <w:bCs/>
          <w:color w:val="2563EB"/>
          <w:sz w:val="28"/>
          <w:szCs w:val="28"/>
        </w:rPr>
        <w:t xml:space="preserve">6.1 Fundamento normativo</w:t>
      </w:r>
    </w:p>
    <w:p>
      <w:pPr>
        <w:spacing w:after="80" w:before="80"/>
      </w:pPr>
      <w:r>
        <w:rPr>
          <w:rFonts w:ascii="Arial" w:cs="Arial" w:eastAsia="Arial" w:hAnsi="Arial"/>
          <w:color w:val="374151"/>
          <w:sz w:val="22"/>
          <w:szCs w:val="22"/>
        </w:rPr>
        <w:t xml:space="preserve">El SGSI de NovaTech Solutions está diseñado con base en los requisitos de la norma ISO/IEC 27001:2022, el estándar internacional más reconocido para la gestión de la seguridad de la información. La norma proporciona un marco sistemático que garantiza que los controles de seguridad sean adecuados y proporcionales a los riesgos identificados.</w:t>
      </w:r>
    </w:p>
    <w:p>
      <w:pPr>
        <w:pStyle w:val="Heading2"/>
        <w:spacing w:after="140" w:before="280"/>
      </w:pPr>
      <w:r>
        <w:rPr>
          <w:rFonts w:ascii="Arial" w:cs="Arial" w:eastAsia="Arial" w:hAnsi="Arial"/>
          <w:b/>
          <w:bCs/>
          <w:color w:val="2563EB"/>
          <w:sz w:val="28"/>
          <w:szCs w:val="28"/>
        </w:rPr>
        <w:t xml:space="preserve">6.2 Correspondencia con las cláusulas de ISO 27001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Cláusula ISO 27001</w:t>
            </w:r>
          </w:p>
        </w:tc>
        <w:tc>
          <w:tcPr>
            <w:tcW w:type="dxa" w:w="28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Tema</w:t>
            </w:r>
          </w:p>
        </w:tc>
        <w:tc>
          <w:tcPr>
            <w:tcW w:type="dxa" w:w="39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Componente SGSI NovaTech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Cláusula 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Contexto de la organización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Sección 2 del Documento Marco + Doc. 2_contexto_organizacional</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Cláusula 5</w:t>
            </w:r>
          </w:p>
        </w:tc>
        <w:tc>
          <w:tcPr>
            <w:tcW w:type="dxa" w:w="2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Liderazgo y compromiso</w:t>
            </w:r>
          </w:p>
        </w:tc>
        <w:tc>
          <w:tcPr>
            <w:tcW w:type="dxa" w:w="39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Sección 5 — Roles y responsabilidades; Política de Seguridad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Cláusula 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Planificación (objetivos y riesgos)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Sección 4 — Objetivos + Doc. 4_gestion_de_riesgos_octave</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Cláusula 7</w:t>
            </w:r>
          </w:p>
        </w:tc>
        <w:tc>
          <w:tcPr>
            <w:tcW w:type="dxa" w:w="2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Soporte (recursos, competencia, comunicación)</w:t>
            </w:r>
          </w:p>
        </w:tc>
        <w:tc>
          <w:tcPr>
            <w:tcW w:type="dxa" w:w="39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Doc. 9_capacitacion_concientizacion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Cláusula 8</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Operación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Docs. 3, 5, 6, 7, 8 del repositorio</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Cláusula 9</w:t>
            </w:r>
          </w:p>
        </w:tc>
        <w:tc>
          <w:tcPr>
            <w:tcW w:type="dxa" w:w="2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Evaluación del desempeño</w:t>
            </w:r>
          </w:p>
        </w:tc>
        <w:tc>
          <w:tcPr>
            <w:tcW w:type="dxa" w:w="39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Doc. 10_metricas_y_auditoria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Cláusula 10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Mejora continua</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Sección 9 del Documento Marco — Ciclo PDCA</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Anexo A</w:t>
            </w:r>
          </w:p>
        </w:tc>
        <w:tc>
          <w:tcPr>
            <w:tcW w:type="dxa" w:w="2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Controles de seguridad</w:t>
            </w:r>
          </w:p>
        </w:tc>
        <w:tc>
          <w:tcPr>
            <w:tcW w:type="dxa" w:w="39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Doc. 6_controles_de_seguridad</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7. Relación con la Legislación Aplicable</w:t>
      </w:r>
    </w:p>
    <w:p>
      <w:pPr>
        <w:pStyle w:val="Heading2"/>
        <w:spacing w:after="140" w:before="280"/>
      </w:pPr>
      <w:r>
        <w:rPr>
          <w:rFonts w:ascii="Arial" w:cs="Arial" w:eastAsia="Arial" w:hAnsi="Arial"/>
          <w:b/>
          <w:bCs/>
          <w:color w:val="2563EB"/>
          <w:sz w:val="28"/>
          <w:szCs w:val="28"/>
        </w:rPr>
        <w:t xml:space="preserve">7.1 Marco legal — LFPDPPP</w:t>
      </w:r>
    </w:p>
    <w:p>
      <w:pPr>
        <w:spacing w:after="80" w:before="80"/>
      </w:pPr>
      <w:r>
        <w:rPr>
          <w:rFonts w:ascii="Arial" w:cs="Arial" w:eastAsia="Arial" w:hAnsi="Arial"/>
          <w:color w:val="374151"/>
          <w:sz w:val="22"/>
          <w:szCs w:val="22"/>
        </w:rPr>
        <w:t xml:space="preserve">La Ley Federal de Protección de Datos Personales en Posesión de los Particulares (LFPDPPP), publicada en el Diario Oficial de la Federación en 2010, establece las obligaciones de los sujetos privados que tratan datos personales. NovaTech Solutions, al gestionar datos de clientes y empleados, queda sujeta a sus disposiciones.</w:t>
      </w:r>
    </w:p>
    <w:p>
      <w:pPr>
        <w:pStyle w:val="Heading2"/>
        <w:spacing w:after="140" w:before="280"/>
      </w:pPr>
      <w:r>
        <w:rPr>
          <w:rFonts w:ascii="Arial" w:cs="Arial" w:eastAsia="Arial" w:hAnsi="Arial"/>
          <w:b/>
          <w:bCs/>
          <w:color w:val="2563EB"/>
          <w:sz w:val="28"/>
          <w:szCs w:val="28"/>
        </w:rPr>
        <w:t xml:space="preserve">7.2 Obligaciones aplicables a NovaTech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Obligación legal</w:t>
            </w:r>
          </w:p>
        </w:tc>
        <w:tc>
          <w:tcPr>
            <w:tcW w:type="dxa" w:w="2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Artículo LFPDPPP</w:t>
            </w:r>
          </w:p>
        </w:tc>
        <w:tc>
          <w:tcPr>
            <w:tcW w:type="dxa" w:w="41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Medida del SGSI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Principio de licitud: recabar datos con consentimiento del titular.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Art. 8</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Aviso de privacidad en plataformas web</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Principio de finalidad: utilizar los datos únicamente para el fin declarado.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Art. 12</w:t>
            </w:r>
          </w:p>
        </w:tc>
        <w:tc>
          <w:tcPr>
            <w:tcW w:type="dxa" w:w="4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Política de gestión de datos personales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Principio de proporcionalidad: recabar solo los datos estrictamente necesarios.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Art. 13</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Inventario y clasificación de activos de información</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Principio de responsabilidad: implementar medidas de seguridad para proteger los datos.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Art. 19</w:t>
            </w:r>
          </w:p>
        </w:tc>
        <w:tc>
          <w:tcPr>
            <w:tcW w:type="dxa" w:w="4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Controles técnicos, administrativos y físicos del SGSI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Derechos ARCO: garantizar el acceso, rectificación, cancelación y oposición.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Art. 28-37</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Procedimiento de atención a derechos ARCO (DPO)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Aviso de privacidad: informar a los titulares sobre el tratamiento.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Art. 15-16</w:t>
            </w:r>
          </w:p>
        </w:tc>
        <w:tc>
          <w:tcPr>
            <w:tcW w:type="dxa" w:w="4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Aviso de privacidad publicado y actualizado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Notificación de vulnerabilidades de seguridad.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Art. 20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Procedimiento de respuesta y notificación de incidentes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8. Modelo de Gestión de Riesgos — OCTAVE Allegro</w:t>
      </w:r>
    </w:p>
    <w:p>
      <w:pPr>
        <w:pStyle w:val="Heading2"/>
        <w:spacing w:after="140" w:before="280"/>
      </w:pPr>
      <w:r>
        <w:rPr>
          <w:rFonts w:ascii="Arial" w:cs="Arial" w:eastAsia="Arial" w:hAnsi="Arial"/>
          <w:b/>
          <w:bCs/>
          <w:color w:val="2563EB"/>
          <w:sz w:val="28"/>
          <w:szCs w:val="28"/>
        </w:rPr>
        <w:t xml:space="preserve">8.1 Justificación de la metodología</w:t>
      </w:r>
    </w:p>
    <w:p>
      <w:pPr>
        <w:spacing w:after="80" w:before="80"/>
      </w:pPr>
      <w:r>
        <w:rPr>
          <w:rFonts w:ascii="Arial" w:cs="Arial" w:eastAsia="Arial" w:hAnsi="Arial"/>
          <w:color w:val="374151"/>
          <w:sz w:val="22"/>
          <w:szCs w:val="22"/>
        </w:rPr>
        <w:t xml:space="preserve">OCTAVE Allegro (Operationally Critical Threat, Asset, and Vulnerability Evaluation) es una metodología de evaluación de riesgos desarrollada por el CERT/CC de Carnegie Mellon University. Se seleccionó por su enfoque en activos de información (no solo en activos tecnológicos), su adecuación a organizaciones medianas y su estructura de talleres participativos que involucra a múltiples áreas.</w:t>
      </w:r>
    </w:p>
    <w:p>
      <w:pPr>
        <w:pStyle w:val="Heading2"/>
        <w:spacing w:after="140" w:before="280"/>
      </w:pPr>
      <w:r>
        <w:rPr>
          <w:rFonts w:ascii="Arial" w:cs="Arial" w:eastAsia="Arial" w:hAnsi="Arial"/>
          <w:b/>
          <w:bCs/>
          <w:color w:val="2563EB"/>
          <w:sz w:val="28"/>
          <w:szCs w:val="28"/>
        </w:rPr>
        <w:t xml:space="preserve">8.2 Proceso de gestión de riesgos en NovaTech</w:t>
      </w:r>
    </w:p>
    <w:p>
      <w:pPr>
        <w:spacing w:after="80" w:before="80"/>
      </w:pPr>
      <w:r>
        <w:rPr>
          <w:rFonts w:ascii="Arial" w:cs="Arial" w:eastAsia="Arial" w:hAnsi="Arial"/>
          <w:color w:val="374151"/>
          <w:sz w:val="22"/>
          <w:szCs w:val="22"/>
        </w:rPr>
        <w:t xml:space="preserve">El proceso se desarrolla en cuatro etapas principales: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4060"/>
      </w:tblGrid>
      <w:tr>
        <w:trPr>
          <w:tblHeader/>
        </w:trPr>
        <w:tc>
          <w:tcPr>
            <w:tcW w:type="dxa" w:w="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Etapa</w:t>
            </w:r>
          </w:p>
        </w:tc>
        <w:tc>
          <w:tcPr>
            <w:tcW w:type="dxa" w:w="48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Actividades principales</w:t>
            </w:r>
          </w:p>
        </w:tc>
        <w:tc>
          <w:tcPr>
            <w:tcW w:type="dxa" w:w="40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Documento asociado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 Establecer criterios de medición de riesgo</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Definir criterios de impacto en las áreas de reputación, financiero, legal y operativo.</w:t>
            </w:r>
          </w:p>
        </w:tc>
        <w:tc>
          <w:tcPr>
            <w:tcW w:type="dxa" w:w="4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Doc. 4 — Gestión de riesgos</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2. Desarrollar perfiles de activos de información</w:t>
            </w:r>
          </w:p>
        </w:tc>
        <w:tc>
          <w:tcPr>
            <w:tcW w:type="dxa" w:w="4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Identificar activos críticos, propietarios, requisitos de seguridad y contenedores.</w:t>
            </w:r>
          </w:p>
        </w:tc>
        <w:tc>
          <w:tcPr>
            <w:tcW w:type="dxa" w:w="40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Doc. 3 — Gestión de activos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3. Identificar amenazas y vulnerabilidades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Analizar amenazas por área de preocupación: red, sistema, físico, personas.</w:t>
            </w:r>
          </w:p>
        </w:tc>
        <w:tc>
          <w:tcPr>
            <w:tcW w:type="dxa" w:w="4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Doc. 4 — Gestión de riesgos</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4. Analizar y priorizar riesgos</w:t>
            </w:r>
          </w:p>
        </w:tc>
        <w:tc>
          <w:tcPr>
            <w:tcW w:type="dxa" w:w="4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Calcular puntuación de riesgo y determinar estrategia de tratamiento.</w:t>
            </w:r>
          </w:p>
        </w:tc>
        <w:tc>
          <w:tcPr>
            <w:tcW w:type="dxa" w:w="40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Doc. 4 — Gestión de riesgos</w:t>
            </w:r>
          </w:p>
        </w:tc>
      </w:tr>
    </w:tbl>
    <w:p>
      <w:pPr>
        <w:spacing w:before="200"/>
      </w:pPr>
    </w:p>
    <w:p>
      <w:pPr>
        <w:pStyle w:val="Heading2"/>
        <w:spacing w:after="140" w:before="280"/>
      </w:pPr>
      <w:r>
        <w:rPr>
          <w:rFonts w:ascii="Arial" w:cs="Arial" w:eastAsia="Arial" w:hAnsi="Arial"/>
          <w:b/>
          <w:bCs/>
          <w:color w:val="2563EB"/>
          <w:sz w:val="28"/>
          <w:szCs w:val="28"/>
        </w:rPr>
        <w:t xml:space="preserve">8.3 Diferencia entre análisis y evaluación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Concepto</w:t>
            </w:r>
          </w:p>
        </w:tc>
        <w:tc>
          <w:tcPr>
            <w:tcW w:type="dxa" w:w="358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Definición</w:t>
            </w:r>
          </w:p>
        </w:tc>
        <w:tc>
          <w:tcPr>
            <w:tcW w:type="dxa" w:w="358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Resultado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Análisis de riesgos</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Proceso de identificar y comprender la naturaleza de los riesgos: qué puede ocurrir, por qué y cómo.</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 de riesgos identificados con su probabilidad e impacto estimados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Evaluación de riesgos</w:t>
            </w:r>
          </w:p>
        </w:tc>
        <w:tc>
          <w:tcPr>
            <w:tcW w:type="dxa" w:w="35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Proceso de comparar los resultados del análisis contra criterios establecidos para determinar si el riesgo es aceptable o requiere tratamiento.</w:t>
            </w:r>
          </w:p>
        </w:tc>
        <w:tc>
          <w:tcPr>
            <w:tcW w:type="dxa" w:w="35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Priorización de riesgos y decisión sobre tratamiento: aceptar, mitigar, transferir o evitar</w:t>
            </w:r>
          </w:p>
        </w:tc>
      </w:tr>
    </w:tbl>
    <w:p>
      <w:pPr>
        <w:spacing w:before="200"/>
      </w:pPr>
    </w:p>
    <w:p>
      <w:pPr>
        <w:pStyle w:val="Heading2"/>
        <w:spacing w:after="140" w:before="280"/>
      </w:pPr>
      <w:r>
        <w:rPr>
          <w:rFonts w:ascii="Arial" w:cs="Arial" w:eastAsia="Arial" w:hAnsi="Arial"/>
          <w:b/>
          <w:bCs/>
          <w:color w:val="2563EB"/>
          <w:sz w:val="28"/>
          <w:szCs w:val="28"/>
        </w:rPr>
        <w:t xml:space="preserve">8.4 Estrategias de tratamiento de riesgos</w:t>
      </w:r>
    </w:p>
    <w:p>
      <w:pPr>
        <w:pStyle w:val="ListParagraph"/>
        <w:numPr>
          <w:ilvl w:val="0"/>
          <w:numId w:val="2"/>
        </w:numPr>
        <w:spacing w:after="60" w:before="60"/>
      </w:pPr>
      <w:r>
        <w:rPr>
          <w:rFonts w:ascii="Arial" w:cs="Arial" w:eastAsia="Arial" w:hAnsi="Arial"/>
          <w:sz w:val="22"/>
          <w:szCs w:val="22"/>
        </w:rPr>
        <w:t xml:space="preserve">Mitigar: implementar controles para reducir la probabilidad o impacto del riesgo.</w:t>
      </w:r>
    </w:p>
    <w:p>
      <w:pPr>
        <w:pStyle w:val="ListParagraph"/>
        <w:numPr>
          <w:ilvl w:val="0"/>
          <w:numId w:val="2"/>
        </w:numPr>
        <w:spacing w:after="60" w:before="60"/>
      </w:pPr>
      <w:r>
        <w:rPr>
          <w:rFonts w:ascii="Arial" w:cs="Arial" w:eastAsia="Arial" w:hAnsi="Arial"/>
          <w:sz w:val="22"/>
          <w:szCs w:val="22"/>
        </w:rPr>
        <w:t xml:space="preserve">Aceptar: documentar formalmente la aceptación cuando el costo del control supera el impacto potencial.</w:t>
      </w:r>
    </w:p>
    <w:p>
      <w:pPr>
        <w:pStyle w:val="ListParagraph"/>
        <w:numPr>
          <w:ilvl w:val="0"/>
          <w:numId w:val="2"/>
        </w:numPr>
        <w:spacing w:after="60" w:before="60"/>
      </w:pPr>
      <w:r>
        <w:rPr>
          <w:rFonts w:ascii="Arial" w:cs="Arial" w:eastAsia="Arial" w:hAnsi="Arial"/>
          <w:sz w:val="22"/>
          <w:szCs w:val="22"/>
        </w:rPr>
        <w:t xml:space="preserve">Transferir: contratar seguros o externalizar la responsabilidad a un tercero calificado.</w:t>
      </w:r>
    </w:p>
    <w:p>
      <w:pPr>
        <w:pStyle w:val="ListParagraph"/>
        <w:numPr>
          <w:ilvl w:val="0"/>
          <w:numId w:val="2"/>
        </w:numPr>
        <w:spacing w:after="60" w:before="60"/>
      </w:pPr>
      <w:r>
        <w:rPr>
          <w:rFonts w:ascii="Arial" w:cs="Arial" w:eastAsia="Arial" w:hAnsi="Arial"/>
          <w:sz w:val="22"/>
          <w:szCs w:val="22"/>
        </w:rPr>
        <w:t xml:space="preserve">Evitar: eliminar la actividad o proceso que origina el riesgo cuando no es viable su gestión.</w:t>
      </w:r>
    </w:p>
    <w:p>
      <w:pPr>
        <w:spacing w:before="12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9. Ciclo de Mejora Continua — PDCA</w:t>
      </w:r>
    </w:p>
    <w:p>
      <w:pPr>
        <w:pStyle w:val="Heading2"/>
        <w:spacing w:after="140" w:before="280"/>
      </w:pPr>
      <w:r>
        <w:rPr>
          <w:rFonts w:ascii="Arial" w:cs="Arial" w:eastAsia="Arial" w:hAnsi="Arial"/>
          <w:b/>
          <w:bCs/>
          <w:color w:val="2563EB"/>
          <w:sz w:val="28"/>
          <w:szCs w:val="28"/>
        </w:rPr>
        <w:t xml:space="preserve">9.1 Fundamento del ciclo PDCA</w:t>
      </w:r>
    </w:p>
    <w:p>
      <w:pPr>
        <w:spacing w:after="80" w:before="80"/>
      </w:pPr>
      <w:r>
        <w:rPr>
          <w:rFonts w:ascii="Arial" w:cs="Arial" w:eastAsia="Arial" w:hAnsi="Arial"/>
          <w:color w:val="374151"/>
          <w:sz w:val="22"/>
          <w:szCs w:val="22"/>
        </w:rPr>
        <w:t xml:space="preserve">El SGSI de NovaTech Solutions integra el ciclo PDCA (Plan-Do-Check-Act) como modelo de gestión continua, alineado con el enfoque de ISO/IEC 27001. Este ciclo garantiza que el sistema no sea estático sino que evolucione junto con los riesgos y necesidades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Fase</w:t>
            </w:r>
          </w:p>
        </w:tc>
        <w:tc>
          <w:tcPr>
            <w:tcW w:type="dxa" w:w="45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Actividades en NovaTech</w:t>
            </w:r>
          </w:p>
        </w:tc>
        <w:tc>
          <w:tcPr>
            <w:tcW w:type="dxa" w:w="26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Frecuencia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 — Planificar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Establecer alcance, objetivos, evaluación de riesgos, selección de controles y política de seguridad.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Anual o ante cambios significativos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DO — Hacer</w:t>
            </w:r>
          </w:p>
        </w:tc>
        <w:tc>
          <w:tcPr>
            <w:tcW w:type="dxa" w:w="45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Implementar políticas, controles, capacitación, procedimientos de respuesta a incidentes y continuidad del negocio.</w:t>
            </w:r>
          </w:p>
        </w:tc>
        <w:tc>
          <w:tcPr>
            <w:tcW w:type="dxa" w:w="2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Continua / operativa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 Verificar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Auditorías internas, revisión de métricas, revisión por la dirección, análisis de incidentes y no conformidades.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Trimestral / semestral</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ACT — Actuar</w:t>
            </w:r>
          </w:p>
        </w:tc>
        <w:tc>
          <w:tcPr>
            <w:tcW w:type="dxa" w:w="45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Implementar acciones correctivas y preventivas; actualizar documentos; mejorar controles según hallazgos.</w:t>
            </w:r>
          </w:p>
        </w:tc>
        <w:tc>
          <w:tcPr>
            <w:tcW w:type="dxa" w:w="2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Posterior a cada ciclo de verificación</w:t>
            </w:r>
          </w:p>
        </w:tc>
      </w:tr>
    </w:tbl>
    <w:p>
      <w:pPr>
        <w:spacing w:before="200"/>
      </w:pPr>
    </w:p>
    <w:p>
      <w:pPr>
        <w:pStyle w:val="Heading2"/>
        <w:spacing w:after="140" w:before="280"/>
      </w:pPr>
      <w:r>
        <w:rPr>
          <w:rFonts w:ascii="Arial" w:cs="Arial" w:eastAsia="Arial" w:hAnsi="Arial"/>
          <w:b/>
          <w:bCs/>
          <w:color w:val="2563EB"/>
          <w:sz w:val="28"/>
          <w:szCs w:val="28"/>
        </w:rPr>
        <w:t xml:space="preserve">9.2 Revisión por la Dirección</w:t>
      </w:r>
    </w:p>
    <w:p>
      <w:pPr>
        <w:spacing w:after="80" w:before="80"/>
      </w:pPr>
      <w:r>
        <w:rPr>
          <w:rFonts w:ascii="Arial" w:cs="Arial" w:eastAsia="Arial" w:hAnsi="Arial"/>
          <w:color w:val="374151"/>
          <w:sz w:val="22"/>
          <w:szCs w:val="22"/>
        </w:rPr>
        <w:t xml:space="preserve">Al menos una vez al año, el Responsable de Seguridad de la Información presentará a la Dirección General un informe de revisión del SGSI que incluirá:</w:t>
      </w:r>
    </w:p>
    <w:p>
      <w:pPr>
        <w:pStyle w:val="ListParagraph"/>
        <w:numPr>
          <w:ilvl w:val="0"/>
          <w:numId w:val="2"/>
        </w:numPr>
        <w:spacing w:after="60" w:before="60"/>
      </w:pPr>
      <w:r>
        <w:rPr>
          <w:rFonts w:ascii="Arial" w:cs="Arial" w:eastAsia="Arial" w:hAnsi="Arial"/>
          <w:sz w:val="22"/>
          <w:szCs w:val="22"/>
        </w:rPr>
        <w:t xml:space="preserve">Resultados de auditorías internas y externas.</w:t>
      </w:r>
    </w:p>
    <w:p>
      <w:pPr>
        <w:pStyle w:val="ListParagraph"/>
        <w:numPr>
          <w:ilvl w:val="0"/>
          <w:numId w:val="2"/>
        </w:numPr>
        <w:spacing w:after="60" w:before="60"/>
      </w:pPr>
      <w:r>
        <w:rPr>
          <w:rFonts w:ascii="Arial" w:cs="Arial" w:eastAsia="Arial" w:hAnsi="Arial"/>
          <w:sz w:val="22"/>
          <w:szCs w:val="22"/>
        </w:rPr>
        <w:t xml:space="preserve">Estado de los objetivos de seguridad definidos.</w:t>
      </w:r>
    </w:p>
    <w:p>
      <w:pPr>
        <w:pStyle w:val="ListParagraph"/>
        <w:numPr>
          <w:ilvl w:val="0"/>
          <w:numId w:val="2"/>
        </w:numPr>
        <w:spacing w:after="60" w:before="60"/>
      </w:pPr>
      <w:r>
        <w:rPr>
          <w:rFonts w:ascii="Arial" w:cs="Arial" w:eastAsia="Arial" w:hAnsi="Arial"/>
          <w:sz w:val="22"/>
          <w:szCs w:val="22"/>
        </w:rPr>
        <w:t xml:space="preserve">Retroalimentación de partes interesadas.</w:t>
      </w:r>
    </w:p>
    <w:p>
      <w:pPr>
        <w:pStyle w:val="ListParagraph"/>
        <w:numPr>
          <w:ilvl w:val="0"/>
          <w:numId w:val="2"/>
        </w:numPr>
        <w:spacing w:after="60" w:before="60"/>
      </w:pPr>
      <w:r>
        <w:rPr>
          <w:rFonts w:ascii="Arial" w:cs="Arial" w:eastAsia="Arial" w:hAnsi="Arial"/>
          <w:sz w:val="22"/>
          <w:szCs w:val="22"/>
        </w:rPr>
        <w:t xml:space="preserve">Resultados del análisis de incidentes y no conformidades.</w:t>
      </w:r>
    </w:p>
    <w:p>
      <w:pPr>
        <w:pStyle w:val="ListParagraph"/>
        <w:numPr>
          <w:ilvl w:val="0"/>
          <w:numId w:val="2"/>
        </w:numPr>
        <w:spacing w:after="60" w:before="60"/>
      </w:pPr>
      <w:r>
        <w:rPr>
          <w:rFonts w:ascii="Arial" w:cs="Arial" w:eastAsia="Arial" w:hAnsi="Arial"/>
          <w:sz w:val="22"/>
          <w:szCs w:val="22"/>
        </w:rPr>
        <w:t xml:space="preserve">Cambios en el contexto organizacional o en el panorama de amenazas.</w:t>
      </w:r>
    </w:p>
    <w:p>
      <w:pPr>
        <w:pStyle w:val="ListParagraph"/>
        <w:numPr>
          <w:ilvl w:val="0"/>
          <w:numId w:val="2"/>
        </w:numPr>
        <w:spacing w:after="60" w:before="60"/>
      </w:pPr>
      <w:r>
        <w:rPr>
          <w:rFonts w:ascii="Arial" w:cs="Arial" w:eastAsia="Arial" w:hAnsi="Arial"/>
          <w:sz w:val="22"/>
          <w:szCs w:val="22"/>
        </w:rPr>
        <w:t xml:space="preserve">Oportunidades de mejora y recursos necesarios.</w:t>
      </w:r>
    </w:p>
    <w:p>
      <w:pPr>
        <w:spacing w:before="12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10. Estructura Documental del SGSI</w:t>
      </w:r>
    </w:p>
    <w:p>
      <w:pPr>
        <w:pStyle w:val="Heading2"/>
        <w:spacing w:after="140" w:before="280"/>
      </w:pPr>
      <w:r>
        <w:rPr>
          <w:rFonts w:ascii="Arial" w:cs="Arial" w:eastAsia="Arial" w:hAnsi="Arial"/>
          <w:b/>
          <w:bCs/>
          <w:color w:val="2563EB"/>
          <w:sz w:val="28"/>
          <w:szCs w:val="28"/>
        </w:rPr>
        <w:t xml:space="preserve">10.1 Repositorio del SGSI</w:t>
      </w:r>
    </w:p>
    <w:p>
      <w:pPr>
        <w:spacing w:after="80" w:before="80"/>
      </w:pPr>
      <w:r>
        <w:rPr>
          <w:rFonts w:ascii="Arial" w:cs="Arial" w:eastAsia="Arial" w:hAnsi="Arial"/>
          <w:color w:val="374151"/>
          <w:sz w:val="22"/>
          <w:szCs w:val="22"/>
        </w:rPr>
        <w:t xml:space="preserve">El SGSI de NovaTech Solutions se materializa en un repositorio documental estructurado. Todos los documentos son interdependientes y conforman un sistema coherente de gestión: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Documento</w:t>
            </w:r>
          </w:p>
        </w:tc>
        <w:tc>
          <w:tcPr>
            <w:tcW w:type="dxa" w:w="56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Propósito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Documento Marco del SGSI (este documento)</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Define la arquitectura, alcance, objetivos y principios del sistema completo.</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Contexto Organizacional</w:t>
            </w:r>
          </w:p>
        </w:tc>
        <w:tc>
          <w:tcPr>
            <w:tcW w:type="dxa" w:w="56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Análisis detallado del entorno interno y externo, partes interesadas y requisitos.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Gestión de Activos</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Inventario clasificado de activos de información con propietarios y criticidad.</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Gestión de Riesgos — OCTAVE Allegro</w:t>
            </w:r>
          </w:p>
        </w:tc>
        <w:tc>
          <w:tcPr>
            <w:tcW w:type="dxa" w:w="56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Análisis, evaluación y plan de tratamiento de riesgos de información.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Políticas de Seguridad</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Conjunto de políticas formales alineadas con ISO 27001 y la LFPDPPP.</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Controles de Seguridad</w:t>
            </w:r>
          </w:p>
        </w:tc>
        <w:tc>
          <w:tcPr>
            <w:tcW w:type="dxa" w:w="56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Catálogo de controles preventivos, detectivos y correctivos implementados.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Continuidad del Negocio</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 de continuidad (BCP) y plan de recuperación ante desastres (DRP).</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Respuesta a Incidentes</w:t>
            </w:r>
          </w:p>
        </w:tc>
        <w:tc>
          <w:tcPr>
            <w:tcW w:type="dxa" w:w="56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Procedimientos del equipo CSIRT para detección, contención y recuperación.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Capacitación y Concientización</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Programa formal de formación en seguridad para todos los colaboradores.</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Métricas y Auditoría</w:t>
            </w:r>
          </w:p>
        </w:tc>
        <w:tc>
          <w:tcPr>
            <w:tcW w:type="dxa" w:w="56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Indicadores de desempeño del SGSI y plan de auditorías internas.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Cumplimiento Normativo</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Evidencia de cumplimiento de la LFPDPPP y otros requisitos legales.</w:t>
            </w:r>
          </w:p>
        </w:tc>
      </w:tr>
    </w:tbl>
    <w:p>
      <w:pPr>
        <w:spacing w:before="200"/>
      </w:pPr>
    </w:p>
    <w:p>
      <w:pPr>
        <w:pStyle w:val="Heading2"/>
        <w:spacing w:after="140" w:before="280"/>
      </w:pPr>
      <w:r>
        <w:rPr>
          <w:rFonts w:ascii="Arial" w:cs="Arial" w:eastAsia="Arial" w:hAnsi="Arial"/>
          <w:b/>
          <w:bCs/>
          <w:color w:val="2563EB"/>
          <w:sz w:val="28"/>
          <w:szCs w:val="28"/>
        </w:rPr>
        <w:t xml:space="preserve">10.2 Jerarquía documental</w:t>
      </w:r>
    </w:p>
    <w:p>
      <w:pPr>
        <w:spacing w:after="80" w:before="80"/>
      </w:pPr>
      <w:r>
        <w:rPr>
          <w:rFonts w:ascii="Arial" w:cs="Arial" w:eastAsia="Arial" w:hAnsi="Arial"/>
          <w:color w:val="374151"/>
          <w:sz w:val="22"/>
          <w:szCs w:val="22"/>
        </w:rPr>
        <w:t xml:space="preserve">Los documentos del SGSI siguen una jerarquía clara que garantiza la trazabilidad entre los principios estratégicos y las acciones operativas:</w:t>
      </w:r>
    </w:p>
    <w:p>
      <w:pPr>
        <w:pStyle w:val="ListParagraph"/>
        <w:numPr>
          <w:ilvl w:val="0"/>
          <w:numId w:val="2"/>
        </w:numPr>
        <w:spacing w:after="60" w:before="60"/>
      </w:pPr>
      <w:r>
        <w:rPr>
          <w:rFonts w:ascii="Arial" w:cs="Arial" w:eastAsia="Arial" w:hAnsi="Arial"/>
          <w:sz w:val="22"/>
          <w:szCs w:val="22"/>
        </w:rPr>
        <w:t xml:space="preserve">Nivel 1 — Políticas: establecen el qué y el por qué (Documento Marco, Política de Seguridad).</w:t>
      </w:r>
    </w:p>
    <w:p>
      <w:pPr>
        <w:pStyle w:val="ListParagraph"/>
        <w:numPr>
          <w:ilvl w:val="0"/>
          <w:numId w:val="2"/>
        </w:numPr>
        <w:spacing w:after="60" w:before="60"/>
      </w:pPr>
      <w:r>
        <w:rPr>
          <w:rFonts w:ascii="Arial" w:cs="Arial" w:eastAsia="Arial" w:hAnsi="Arial"/>
          <w:sz w:val="22"/>
          <w:szCs w:val="22"/>
        </w:rPr>
        <w:t xml:space="preserve">Nivel 2 — Procedimientos: establecen el cómo (Gestión de riesgos, Respuesta a incidentes, Continuidad).</w:t>
      </w:r>
    </w:p>
    <w:p>
      <w:pPr>
        <w:pStyle w:val="ListParagraph"/>
        <w:numPr>
          <w:ilvl w:val="0"/>
          <w:numId w:val="2"/>
        </w:numPr>
        <w:spacing w:after="60" w:before="60"/>
      </w:pPr>
      <w:r>
        <w:rPr>
          <w:rFonts w:ascii="Arial" w:cs="Arial" w:eastAsia="Arial" w:hAnsi="Arial"/>
          <w:sz w:val="22"/>
          <w:szCs w:val="22"/>
        </w:rPr>
        <w:t xml:space="preserve">Nivel 3 — Instrucciones de trabajo: detalles operativos específicos (guías técnicas, checklists).</w:t>
      </w:r>
    </w:p>
    <w:p>
      <w:pPr>
        <w:pStyle w:val="ListParagraph"/>
        <w:numPr>
          <w:ilvl w:val="0"/>
          <w:numId w:val="2"/>
        </w:numPr>
        <w:spacing w:after="60" w:before="60"/>
      </w:pPr>
      <w:r>
        <w:rPr>
          <w:rFonts w:ascii="Arial" w:cs="Arial" w:eastAsia="Arial" w:hAnsi="Arial"/>
          <w:sz w:val="22"/>
          <w:szCs w:val="22"/>
        </w:rPr>
        <w:t xml:space="preserve">Nivel 4 — Registros: evidencia del funcionamiento del SGSI (logs, informes de auditoría, reportes de incidentes).</w:t>
      </w:r>
    </w:p>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11. Declaración de Aplicabilidad</w:t>
      </w:r>
    </w:p>
    <w:p>
      <w:pPr>
        <w:pStyle w:val="Heading2"/>
        <w:spacing w:after="140" w:before="280"/>
      </w:pPr>
      <w:r>
        <w:rPr>
          <w:rFonts w:ascii="Arial" w:cs="Arial" w:eastAsia="Arial" w:hAnsi="Arial"/>
          <w:b/>
          <w:bCs/>
          <w:color w:val="2563EB"/>
          <w:sz w:val="28"/>
          <w:szCs w:val="28"/>
        </w:rPr>
        <w:t xml:space="preserve">11.1 Compromisos de la dirección</w:t>
      </w:r>
    </w:p>
    <w:p>
      <w:pPr>
        <w:spacing w:after="80" w:before="80"/>
      </w:pPr>
      <w:r>
        <w:rPr>
          <w:rFonts w:ascii="Arial" w:cs="Arial" w:eastAsia="Arial" w:hAnsi="Arial"/>
          <w:color w:val="374151"/>
          <w:sz w:val="22"/>
          <w:szCs w:val="22"/>
        </w:rPr>
        <w:t xml:space="preserve">La Dirección General de NovaTech Solutions declara su compromiso con el diseño, implementación, mantenimiento y mejora continua del SGSI descrito en este documento. Este compromiso se manifiesta en:</w:t>
      </w:r>
    </w:p>
    <w:p>
      <w:pPr>
        <w:pStyle w:val="ListParagraph"/>
        <w:numPr>
          <w:ilvl w:val="0"/>
          <w:numId w:val="2"/>
        </w:numPr>
        <w:spacing w:after="60" w:before="60"/>
      </w:pPr>
      <w:r>
        <w:rPr>
          <w:rFonts w:ascii="Arial" w:cs="Arial" w:eastAsia="Arial" w:hAnsi="Arial"/>
          <w:sz w:val="22"/>
          <w:szCs w:val="22"/>
        </w:rPr>
        <w:t xml:space="preserve">La aprobación formal de la Política de Seguridad de la Información.</w:t>
      </w:r>
    </w:p>
    <w:p>
      <w:pPr>
        <w:pStyle w:val="ListParagraph"/>
        <w:numPr>
          <w:ilvl w:val="0"/>
          <w:numId w:val="2"/>
        </w:numPr>
        <w:spacing w:after="60" w:before="60"/>
      </w:pPr>
      <w:r>
        <w:rPr>
          <w:rFonts w:ascii="Arial" w:cs="Arial" w:eastAsia="Arial" w:hAnsi="Arial"/>
          <w:sz w:val="22"/>
          <w:szCs w:val="22"/>
        </w:rPr>
        <w:t xml:space="preserve">La asignación de recursos humanos, tecnológicos y financieros necesarios para el SGSI.</w:t>
      </w:r>
    </w:p>
    <w:p>
      <w:pPr>
        <w:pStyle w:val="ListParagraph"/>
        <w:numPr>
          <w:ilvl w:val="0"/>
          <w:numId w:val="2"/>
        </w:numPr>
        <w:spacing w:after="60" w:before="60"/>
      </w:pPr>
      <w:r>
        <w:rPr>
          <w:rFonts w:ascii="Arial" w:cs="Arial" w:eastAsia="Arial" w:hAnsi="Arial"/>
          <w:sz w:val="22"/>
          <w:szCs w:val="22"/>
        </w:rPr>
        <w:t xml:space="preserve">El establecimiento de objetivos de seguridad medibles y alineados con la estrategia del negocio.</w:t>
      </w:r>
    </w:p>
    <w:p>
      <w:pPr>
        <w:pStyle w:val="ListParagraph"/>
        <w:numPr>
          <w:ilvl w:val="0"/>
          <w:numId w:val="2"/>
        </w:numPr>
        <w:spacing w:after="60" w:before="60"/>
      </w:pPr>
      <w:r>
        <w:rPr>
          <w:rFonts w:ascii="Arial" w:cs="Arial" w:eastAsia="Arial" w:hAnsi="Arial"/>
          <w:sz w:val="22"/>
          <w:szCs w:val="22"/>
        </w:rPr>
        <w:t xml:space="preserve">La comunicación de la importancia de la seguridad de la información a toda la organización.</w:t>
      </w:r>
    </w:p>
    <w:p>
      <w:pPr>
        <w:pStyle w:val="ListParagraph"/>
        <w:numPr>
          <w:ilvl w:val="0"/>
          <w:numId w:val="2"/>
        </w:numPr>
        <w:spacing w:after="60" w:before="60"/>
      </w:pPr>
      <w:r>
        <w:rPr>
          <w:rFonts w:ascii="Arial" w:cs="Arial" w:eastAsia="Arial" w:hAnsi="Arial"/>
          <w:sz w:val="22"/>
          <w:szCs w:val="22"/>
        </w:rPr>
        <w:t xml:space="preserve">La participación activa en las revisiones anuales del sistema.</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Declaración de la Dirección</w:t>
            </w:r>
          </w:p>
          <w:p>
            <w:pPr>
              <w:pStyle w:val="ListParagraph"/>
              <w:numPr>
                <w:ilvl w:val="0"/>
                <w:numId w:val="2"/>
              </w:numPr>
              <w:spacing w:after="40" w:before="40"/>
            </w:pPr>
            <w:r>
              <w:rPr>
                <w:rFonts w:ascii="Arial" w:cs="Arial" w:eastAsia="Arial" w:hAnsi="Arial"/>
                <w:color w:val="374151"/>
                <w:sz w:val="21"/>
                <w:szCs w:val="21"/>
              </w:rPr>
              <w:t xml:space="preserve">NovaTech Solutions reconoce que la seguridad de la información es un pilar estratégico del negocio y una responsabilidad compartida de todos sus colaboradores.</w:t>
            </w:r>
          </w:p>
          <w:p>
            <w:pPr>
              <w:pStyle w:val="ListParagraph"/>
              <w:numPr>
                <w:ilvl w:val="0"/>
                <w:numId w:val="2"/>
              </w:numPr>
              <w:spacing w:after="40" w:before="40"/>
            </w:pPr>
            <w:r>
              <w:rPr>
                <w:rFonts w:ascii="Arial" w:cs="Arial" w:eastAsia="Arial" w:hAnsi="Arial"/>
                <w:color w:val="374151"/>
                <w:sz w:val="21"/>
                <w:szCs w:val="21"/>
              </w:rPr>
              <w:t xml:space="preserve">Nos comprometemos a gestionar la seguridad de la información de forma sistemática, proporcional a los riesgos identificados y en cumplimiento de la legislación aplicable.</w:t>
            </w:r>
          </w:p>
          <w:p>
            <w:pPr>
              <w:pStyle w:val="ListParagraph"/>
              <w:numPr>
                <w:ilvl w:val="0"/>
                <w:numId w:val="2"/>
              </w:numPr>
              <w:spacing w:after="40" w:before="40"/>
            </w:pPr>
            <w:r>
              <w:rPr>
                <w:rFonts w:ascii="Arial" w:cs="Arial" w:eastAsia="Arial" w:hAnsi="Arial"/>
                <w:color w:val="374151"/>
                <w:sz w:val="21"/>
                <w:szCs w:val="21"/>
              </w:rPr>
              <w:t xml:space="preserve">Este SGSI es el punto de partida de un proceso de mejora continua que evolucionará junto con nuestra organización.</w:t>
            </w:r>
          </w:p>
        </w:tc>
      </w:tr>
    </w:tbl>
    <w:p>
      <w:pPr>
        <w:spacing w:before="300"/>
      </w:pPr>
    </w:p>
    <w:p>
      <w:pPr>
        <w:pStyle w:val="Heading1"/>
        <w:pBdr>
          <w:bottom w:val="single" w:color="2563EB" w:sz="8" w:space="4"/>
        </w:pBdr>
        <w:spacing w:after="200" w:before="360"/>
      </w:pPr>
      <w:r>
        <w:rPr>
          <w:rFonts w:ascii="Arial" w:cs="Arial" w:eastAsia="Arial" w:hAnsi="Arial"/>
          <w:b/>
          <w:bCs/>
          <w:color w:val="1B3A6B"/>
          <w:sz w:val="36"/>
          <w:szCs w:val="36"/>
        </w:rPr>
        <w:t xml:space="preserve">12. Control de Versiones y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3260"/>
      </w:tblGrid>
      <w:tr>
        <w:trPr>
          <w:tblHeader/>
        </w:trPr>
        <w:tc>
          <w:tcPr>
            <w:tcW w:type="dxa" w:w="1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Versión</w:t>
            </w:r>
          </w:p>
        </w:tc>
        <w:tc>
          <w:tcPr>
            <w:tcW w:type="dxa" w:w="1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Fecha</w:t>
            </w:r>
          </w:p>
        </w:tc>
        <w:tc>
          <w:tcPr>
            <w:tcW w:type="dxa" w:w="36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Autor</w:t>
            </w:r>
          </w:p>
        </w:tc>
        <w:tc>
          <w:tcPr>
            <w:tcW w:type="dxa" w:w="326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del cambio</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2026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Comité de Seguridad de la Información</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Versión inicial del Documento Marco del SGSI</w:t>
            </w:r>
          </w:p>
        </w:tc>
      </w:tr>
    </w:tbl>
    <w:p>
      <w:pPr>
        <w:spacing w:before="300"/>
      </w:pPr>
    </w:p>
    <w:p>
      <w:pPr>
        <w:spacing w:after="80" w:before="80"/>
        <w:jc w:val="center"/>
      </w:pPr>
      <w:r>
        <w:rPr>
          <w:rFonts w:ascii="Arial" w:cs="Arial" w:eastAsia="Arial" w:hAnsi="Arial"/>
          <w:color w:val="374151"/>
          <w:sz w:val="22"/>
          <w:szCs w:val="22"/>
        </w:rPr>
        <w:t xml:space="preserve">Este documento deberá ser revisado al menos una vez al año o ante cambios significativos en el contexto organizacional, el panorama de amenazas o los requisitos legales aplicables.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3"/>
      </w:pBdr>
      <w:spacing w:before="80"/>
      <w:jc w:val="center"/>
    </w:pPr>
    <w:r>
      <w:rPr>
        <w:rFonts w:ascii="Arial" w:cs="Arial" w:eastAsia="Arial" w:hAnsi="Arial"/>
        <w:color w:val="374151"/>
        <w:sz w:val="16"/>
        <w:szCs w:val="16"/>
      </w:rPr>
      <w:t xml:space="preserve">Confidencial  |  NovaTech Solutions  |  Página </w:t>
    </w:r>
    <w:r>
      <w:rPr>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de </w:t>
    </w:r>
    <w:r>
      <w:rPr>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3"/>
      </w:pBdr>
      <w:spacing w:after="80" w:before="0"/>
    </w:pPr>
    <w:r>
      <w:rPr>
        <w:rFonts w:ascii="Arial" w:cs="Arial" w:eastAsia="Arial" w:hAnsi="Arial"/>
        <w:b/>
        <w:bCs/>
        <w:color w:val="1B3A6B"/>
        <w:sz w:val="18"/>
        <w:szCs w:val="18"/>
      </w:rPr>
      <w:t xml:space="preserve">SGSI — NovaTech Solutions</w:t>
    </w:r>
    <w:r>
      <w:rPr>
        <w:rFonts w:ascii="Arial" w:cs="Arial" w:eastAsia="Arial" w:hAnsi="Arial"/>
        <w:color w:val="374151"/>
        <w:sz w:val="18"/>
        <w:szCs w:val="18"/>
      </w:rPr>
      <w:t xml:space="preserve">     |     Documento Marco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lowerLetter"/>
      <w:lvlText w:val="%2)"/>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2026-04-01T18:38:42.205Z</dcterms:created>
  <dcterms:modified xsi:type="dcterms:W3CDTF">2026-04-01T18:38:42.207Z</dcterms:modified>
</cp:coreProperties>
</file>

<file path=docProps/custom.xml><?xml version="1.0" encoding="utf-8"?>
<Properties xmlns="http://schemas.openxmlformats.org/officeDocument/2006/custom-properties" xmlns:vt="http://schemas.openxmlformats.org/officeDocument/2006/docPropsVTypes"/>
</file>