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A6B" w:sz="60"/>
        </w:pBdr>
      </w:pPr>
    </w:p>
    <w:p>
      <w:pPr>
        <w:spacing w:before="1440"/>
      </w:pPr>
    </w:p>
    <w:p>
      <w:pPr>
        <w:spacing w:after="200" w:before="0"/>
        <w:jc w:val="center"/>
      </w:pPr>
      <w:r>
        <w:rPr>
          <w:rFonts w:ascii="Arial" w:cs="Arial" w:eastAsia="Arial" w:hAnsi="Arial"/>
          <w:b/>
          <w:bCs/>
          <w:caps/>
          <w:color w:val="1B3A6B"/>
          <w:sz w:val="36"/>
          <w:szCs w:val="36"/>
        </w:rPr>
        <w:t xml:space="preserve">SISTEMA DE GESTIÓN DE SEGURIDAD DE LA INFORMACIÓN</w:t>
      </w:r>
    </w:p>
    <w:p>
      <w:pPr>
        <w:spacing w:after="120" w:before="0"/>
        <w:jc w:val="center"/>
      </w:pPr>
      <w:r>
        <w:rPr>
          <w:rFonts w:ascii="Arial" w:cs="Arial" w:eastAsia="Arial" w:hAnsi="Arial"/>
          <w:b/>
          <w:bCs/>
          <w:color w:val="2563EB"/>
          <w:sz w:val="52"/>
          <w:szCs w:val="52"/>
        </w:rPr>
        <w:t xml:space="preserve">MÉTRICAS Y AUDITORÍA</w:t>
      </w:r>
    </w:p>
    <w:p>
      <w:pPr>
        <w:spacing w:after="160" w:before="0"/>
        <w:jc w:val="center"/>
      </w:pPr>
      <w:r>
        <w:rPr>
          <w:rFonts w:ascii="Arial" w:cs="Arial" w:eastAsia="Arial" w:hAnsi="Arial"/>
          <w:b/>
          <w:bCs/>
          <w:color w:val="1B3A6B"/>
          <w:sz w:val="26"/>
          <w:szCs w:val="26"/>
        </w:rPr>
        <w:t xml:space="preserve">Indicadores de Desempeño y Plan de Auditoría Interna del SGSI</w:t>
      </w:r>
    </w:p>
    <w:p>
      <w:pPr>
        <w:spacing w:after="480" w:before="0"/>
        <w:jc w:val="center"/>
      </w:pPr>
      <w:r>
        <w:rPr>
          <w:rFonts w:ascii="Arial" w:cs="Arial" w:eastAsia="Arial" w:hAnsi="Arial"/>
          <w:i/>
          <w:iCs/>
          <w:color w:val="374151"/>
          <w:sz w:val="22"/>
          <w:szCs w:val="22"/>
        </w:rPr>
        <w:t xml:space="preserve">Documento 10 del Repositorio SGSI_NovaTech/</w:t>
      </w:r>
    </w:p>
    <w:p>
      <w:pPr>
        <w:spacing w:after="120" w:before="0"/>
        <w:jc w:val="center"/>
      </w:pPr>
      <w:r>
        <w:rPr>
          <w:rFonts w:ascii="Arial" w:cs="Arial" w:eastAsia="Arial" w:hAnsi="Arial"/>
          <w:b/>
          <w:bCs/>
          <w:color w:val="374151"/>
          <w:sz w:val="36"/>
          <w:szCs w:val="36"/>
        </w:rPr>
        <w:t xml:space="preserve">NovaTech Solutions</w:t>
      </w:r>
    </w:p>
    <w:p>
      <w:pPr>
        <w:spacing w:after="720" w:before="0"/>
        <w:jc w:val="center"/>
      </w:pPr>
      <w:r>
        <w:rPr>
          <w:rFonts w:ascii="Arial" w:cs="Arial" w:eastAsia="Arial" w:hAnsi="Arial"/>
          <w:color w:val="374151"/>
          <w:sz w:val="24"/>
          <w:szCs w:val="24"/>
        </w:rPr>
        <w:t xml:space="preserve">Monterrey, Nuevo León, México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Inicial</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Clasificación</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Confidencial — Uso interno</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Borrador para revisión</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Elaborado por</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CISO / Comité de Seguridad de la Información</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2026</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Referencia normativa</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ISO/IEC 27001:2022 — Cláusulas 9.1, 9.2, 9.3</w:t>
            </w:r>
          </w:p>
        </w:tc>
      </w:tr>
    </w:tbl>
    <w:p>
      <w:pPr>
        <w:spacing w:before="1440"/>
      </w:pPr>
    </w:p>
    <w:p>
      <w:pPr>
        <w:pBdr>
          <w:top w:val="single" w:color="2563EB" w:sz="8" w:space="4"/>
        </w:pBdr>
        <w:spacing w:before="120"/>
        <w:jc w:val="center"/>
      </w:pPr>
      <w:r>
        <w:rPr>
          <w:rFonts w:ascii="Arial" w:cs="Arial" w:eastAsia="Arial" w:hAnsi="Arial"/>
          <w:i/>
          <w:iCs/>
          <w:color w:val="374151"/>
          <w:sz w:val="18"/>
          <w:szCs w:val="18"/>
        </w:rPr>
        <w:t xml:space="preserve">Misión: Blindaje Organizacional  |  Comité de Seguridad de la Información</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 Propósito del Documento</w:t>
      </w:r>
    </w:p>
    <w:p>
      <w:pPr>
        <w:spacing w:after="80" w:before="80"/>
      </w:pPr>
      <w:r>
        <w:rPr>
          <w:rFonts w:ascii="Arial" w:cs="Arial" w:eastAsia="Arial" w:hAnsi="Arial"/>
          <w:color w:val="374151"/>
          <w:sz w:val="22"/>
          <w:szCs w:val="22"/>
        </w:rPr>
        <w:t xml:space="preserve">El presente documento establece el marco de métricas de seguridad de la información y el plan de auditoría interna del SGSI de NovaTech Solutions. Su objetivo es dotar a la organización de los mecanismos necesarios para evaluar, de manera objetiva y continua, si el SGSI está funcionando correctamente y logrando los objetivos de seguridad definidos.</w:t>
      </w:r>
    </w:p>
    <w:p>
      <w:pPr>
        <w:spacing w:after="80" w:before="80"/>
      </w:pPr>
      <w:r>
        <w:rPr>
          <w:rFonts w:ascii="Arial" w:cs="Arial" w:eastAsia="Arial" w:hAnsi="Arial"/>
          <w:color w:val="374151"/>
          <w:sz w:val="22"/>
          <w:szCs w:val="22"/>
        </w:rPr>
        <w:t xml:space="preserve">Las métricas permiten responder preguntas concretas: ¿cuántos incidentes tuvimos este trimestre?, ¿cuánto tardamos en detectarlos?, ¿qué porcentaje de empleados completó la capacitación?, ¿los controles están implementados? Sin métricas, el SGSI es un conjunto de documentos sin evidencia de operación real.</w:t>
      </w:r>
    </w:p>
    <w:p>
      <w:pPr>
        <w:spacing w:after="80" w:before="80"/>
      </w:pPr>
      <w:r>
        <w:rPr>
          <w:rFonts w:ascii="Arial" w:cs="Arial" w:eastAsia="Arial" w:hAnsi="Arial"/>
          <w:color w:val="374151"/>
          <w:sz w:val="22"/>
          <w:szCs w:val="22"/>
        </w:rPr>
        <w:t xml:space="preserve">Las auditorías internas verifican que lo que dice el SGSI en papel ocurre realmente en la práctica. Son el mecanismo de rendición de cuentas que cierra el ciclo PDCA (Plan-Do-Check-Act) del sistema.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Referencia normativa</w:t>
            </w:r>
          </w:p>
          <w:p>
            <w:pPr>
              <w:pStyle w:val="ListParagraph"/>
              <w:numPr>
                <w:ilvl w:val="0"/>
                <w:numId w:val="2"/>
              </w:numPr>
              <w:spacing w:after="40" w:before="40"/>
            </w:pPr>
            <w:r>
              <w:rPr>
                <w:rFonts w:ascii="Arial" w:cs="Arial" w:eastAsia="Arial" w:hAnsi="Arial"/>
                <w:color w:val="374151"/>
                <w:sz w:val="21"/>
                <w:szCs w:val="21"/>
              </w:rPr>
              <w:t xml:space="preserve">ISO/IEC 27001:2022 — Cláusula 9.1: La organización debe evaluar el desempeño de la seguridad de la información y la eficacia del SGSI.</w:t>
            </w:r>
          </w:p>
          <w:p>
            <w:pPr>
              <w:pStyle w:val="ListParagraph"/>
              <w:numPr>
                <w:ilvl w:val="0"/>
                <w:numId w:val="2"/>
              </w:numPr>
              <w:spacing w:after="40" w:before="40"/>
            </w:pPr>
            <w:r>
              <w:rPr>
                <w:rFonts w:ascii="Arial" w:cs="Arial" w:eastAsia="Arial" w:hAnsi="Arial"/>
                <w:color w:val="374151"/>
                <w:sz w:val="21"/>
                <w:szCs w:val="21"/>
              </w:rPr>
              <w:t xml:space="preserve">ISO/IEC 27001:2022 — Cláusula 9.2: La organización debe llevar a cabo auditorías internas a intervalos planificados para determinar si el SGSI es conforme y se implementa y mantiene eficazmente.</w:t>
            </w:r>
          </w:p>
          <w:p>
            <w:pPr>
              <w:pStyle w:val="ListParagraph"/>
              <w:numPr>
                <w:ilvl w:val="0"/>
                <w:numId w:val="2"/>
              </w:numPr>
              <w:spacing w:after="40" w:before="40"/>
            </w:pPr>
            <w:r>
              <w:rPr>
                <w:rFonts w:ascii="Arial" w:cs="Arial" w:eastAsia="Arial" w:hAnsi="Arial"/>
                <w:color w:val="374151"/>
                <w:sz w:val="21"/>
                <w:szCs w:val="21"/>
              </w:rPr>
              <w:t xml:space="preserve">ISO/IEC 27001:2022 — Cláusula 9.3: La alta dirección debe revisar el SGSI a intervalos planificados para asegurar su conveniencia, adecuación y eficacia.</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2. Marco de Métricas del SGSI</w:t>
      </w:r>
    </w:p>
    <w:p>
      <w:pPr>
        <w:pStyle w:val="Heading2"/>
        <w:spacing w:after="140" w:before="280"/>
      </w:pPr>
      <w:r>
        <w:rPr>
          <w:rFonts w:ascii="Arial" w:cs="Arial" w:eastAsia="Arial" w:hAnsi="Arial"/>
          <w:b/>
          <w:bCs/>
          <w:color w:val="2563EB"/>
          <w:sz w:val="28"/>
          <w:szCs w:val="28"/>
        </w:rPr>
        <w:t xml:space="preserve">2.1 Principios de las métricas de seguridad</w:t>
      </w:r>
    </w:p>
    <w:p>
      <w:pPr>
        <w:pStyle w:val="ListParagraph"/>
        <w:numPr>
          <w:ilvl w:val="0"/>
          <w:numId w:val="2"/>
        </w:numPr>
        <w:spacing w:after="60" w:before="60"/>
      </w:pPr>
      <w:r>
        <w:rPr>
          <w:rFonts w:ascii="Arial" w:cs="Arial" w:eastAsia="Arial" w:hAnsi="Arial"/>
          <w:color w:val="374151"/>
          <w:sz w:val="22"/>
          <w:szCs w:val="22"/>
        </w:rPr>
        <w:t xml:space="preserve">Medibles: cada métrica tiene una fórmula de cálculo clara y una fuente de datos identificada.</w:t>
      </w:r>
    </w:p>
    <w:p>
      <w:pPr>
        <w:pStyle w:val="ListParagraph"/>
        <w:numPr>
          <w:ilvl w:val="0"/>
          <w:numId w:val="2"/>
        </w:numPr>
        <w:spacing w:after="60" w:before="60"/>
      </w:pPr>
      <w:r>
        <w:rPr>
          <w:rFonts w:ascii="Arial" w:cs="Arial" w:eastAsia="Arial" w:hAnsi="Arial"/>
          <w:color w:val="374151"/>
          <w:sz w:val="22"/>
          <w:szCs w:val="22"/>
        </w:rPr>
        <w:t xml:space="preserve">Accionables: si una métrica indica un problema, existe una acción correctiva definida que debe activarse.</w:t>
      </w:r>
    </w:p>
    <w:p>
      <w:pPr>
        <w:pStyle w:val="ListParagraph"/>
        <w:numPr>
          <w:ilvl w:val="0"/>
          <w:numId w:val="2"/>
        </w:numPr>
        <w:spacing w:after="60" w:before="60"/>
      </w:pPr>
      <w:r>
        <w:rPr>
          <w:rFonts w:ascii="Arial" w:cs="Arial" w:eastAsia="Arial" w:hAnsi="Arial"/>
          <w:color w:val="374151"/>
          <w:sz w:val="22"/>
          <w:szCs w:val="22"/>
        </w:rPr>
        <w:t xml:space="preserve">Relevantes: las métricas se conectan directamente a los objetivos de seguridad y a los riesgos del Documento 4.</w:t>
      </w:r>
    </w:p>
    <w:p>
      <w:pPr>
        <w:pStyle w:val="ListParagraph"/>
        <w:numPr>
          <w:ilvl w:val="0"/>
          <w:numId w:val="2"/>
        </w:numPr>
        <w:spacing w:after="60" w:before="60"/>
      </w:pPr>
      <w:r>
        <w:rPr>
          <w:rFonts w:ascii="Arial" w:cs="Arial" w:eastAsia="Arial" w:hAnsi="Arial"/>
          <w:color w:val="374151"/>
          <w:sz w:val="22"/>
          <w:szCs w:val="22"/>
        </w:rPr>
        <w:t xml:space="preserve">Temporales: cada métrica tiene una frecuencia de medición y un período de comparación para identificar tendencias.</w:t>
      </w:r>
    </w:p>
    <w:p>
      <w:pPr>
        <w:pStyle w:val="ListParagraph"/>
        <w:numPr>
          <w:ilvl w:val="0"/>
          <w:numId w:val="2"/>
        </w:numPr>
        <w:spacing w:after="60" w:before="60"/>
      </w:pPr>
      <w:r>
        <w:rPr>
          <w:rFonts w:ascii="Arial" w:cs="Arial" w:eastAsia="Arial" w:hAnsi="Arial"/>
          <w:color w:val="374151"/>
          <w:sz w:val="22"/>
          <w:szCs w:val="22"/>
        </w:rPr>
        <w:t xml:space="preserve">Proporcionales: la cantidad de métricas es suficiente para una visión completa sin generar sobrecarga de información.</w:t>
      </w:r>
    </w:p>
    <w:p>
      <w:pPr>
        <w:spacing w:before="120"/>
      </w:pPr>
    </w:p>
    <w:p>
      <w:pPr>
        <w:pStyle w:val="Heading2"/>
        <w:spacing w:after="140" w:before="280"/>
      </w:pPr>
      <w:r>
        <w:rPr>
          <w:rFonts w:ascii="Arial" w:cs="Arial" w:eastAsia="Arial" w:hAnsi="Arial"/>
          <w:b/>
          <w:bCs/>
          <w:color w:val="2563EB"/>
          <w:sz w:val="28"/>
          <w:szCs w:val="28"/>
        </w:rPr>
        <w:t xml:space="preserve">2.2 Categorías de métricas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400"/>
        <w:gridCol w:w="1960"/>
      </w:tblGrid>
      <w:tr>
        <w:trPr>
          <w:tblHeader/>
        </w:trPr>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Categoría</w:t>
            </w:r>
          </w:p>
        </w:tc>
        <w:tc>
          <w:tcPr>
            <w:tcW w:type="dxa" w:w="3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Objetivo</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Número de KPIs</w:t>
            </w:r>
          </w:p>
        </w:tc>
        <w:tc>
          <w:tcPr>
            <w:tcW w:type="dxa" w:w="1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Sección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Gestión de incidentes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Medir la capacidad de detección, respuesta y recuperación ante incidentes de seguridad.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6 KPIs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Sección 3</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Estado de controles</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Medir el grado de implementación y efectividad de los controles del catálogo (Documento 6).</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5 KPIs</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Sección 4</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Gestión de riesgos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Medir la evolución del perfil de riesgos y la efectividad del tratamiento.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4 KPIs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Sección 5</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Capacitación y concientización</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Medir la cobertura, efectividad y resultado del programa de capacitación (Documento 9).</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5 KPIs</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Sección 6</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Cumplimiento normativo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Medir el grado de cumplimiento de la LFPDPPP y otras obligaciones legales.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4 KPIs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Sección 7</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Continuidad y disponibilidad</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Medir la disponibilidad de los sistemas críticos y la preparación para la recuperación.</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 KPIs</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Sección 8</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3. KPIs — Gestión de Incidentes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0"/>
              <w:left w:val="single" w:color="2563EB" w:sz="10"/>
              <w:bottom w:val="single" w:color="2563EB" w:sz="10"/>
              <w:right w:val="single" w:color="2563EB" w:sz="10"/>
            </w:tcBorders>
            <w:shd w:fill="DBEAFE" w:val="clear"/>
            <w:tcMar>
              <w:top w:type="dxa" w:w="120"/>
              <w:left w:type="dxa" w:w="160"/>
              <w:bottom w:type="dxa" w:w="120"/>
              <w:right w:type="dxa" w:w="160"/>
            </w:tcMar>
          </w:tcPr>
          <w:p>
            <w:pPr>
              <w:spacing w:after="100" w:before="60"/>
            </w:pPr>
            <w:r>
              <w:rPr>
                <w:rFonts w:ascii="Arial" w:cs="Arial" w:eastAsia="Arial" w:hAnsi="Arial"/>
                <w:b/>
                <w:bCs/>
                <w:color w:val="2563EB"/>
                <w:sz w:val="22"/>
                <w:szCs w:val="22"/>
              </w:rPr>
              <w:t xml:space="preserve">KPI-INC-01 — Total de incidentes por período y tipo</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Número total de incidentes de seguridad registrados en el período, desglosados por tipo (INC-ACC, INC-FUG, INC-MAL, INC-DIS, INC-CRE, INC-PHI, INC-USO, INC-VUL) y severidad (P1 a P4).</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Conteo directo del Registro Consolidado de Incidentes (Documento 8, Sección 9.4) por período.</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Tendencia descendente año a año en incidentes P1 y P2. Sin objetivo fijo de número total — lo importante es la reducción en relación al período anterior.</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Mensual (reporte al CISO). Trimestral (reporte a gerentes). Anual (reporte a Dirección).</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Registro Consolidado de Incidentes — Documento 8.</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8 — Respuesta a Incidentes.</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0"/>
              <w:left w:val="single" w:color="9A3412" w:sz="10"/>
              <w:bottom w:val="single" w:color="9A3412" w:sz="10"/>
              <w:right w:val="single" w:color="9A3412" w:sz="10"/>
            </w:tcBorders>
            <w:shd w:fill="FFEDD5" w:val="clear"/>
            <w:tcMar>
              <w:top w:type="dxa" w:w="120"/>
              <w:left w:type="dxa" w:w="160"/>
              <w:bottom w:type="dxa" w:w="120"/>
              <w:right w:type="dxa" w:w="160"/>
            </w:tcMar>
          </w:tcPr>
          <w:p>
            <w:pPr>
              <w:spacing w:after="100" w:before="60"/>
            </w:pPr>
            <w:r>
              <w:rPr>
                <w:rFonts w:ascii="Arial" w:cs="Arial" w:eastAsia="Arial" w:hAnsi="Arial"/>
                <w:b/>
                <w:bCs/>
                <w:color w:val="9A3412"/>
                <w:sz w:val="22"/>
                <w:szCs w:val="22"/>
              </w:rPr>
              <w:t xml:space="preserve">KPI-INC-02 — MTTD — Tiempo Medio de Detección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Tiempo promedio transcurrido entre el momento en que ocurrió un incidente y el momento en que fue detectado y reportado al CISO.</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MTTD = Suma(tiempo de detección de cada incidente) / Número total de incidentes del período. El tiempo de detección es la diferencia entre la fecha/hora de ocurrencia estimada y la fecha/hora de reporte.</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P1: MTTD &lt; 2 horas. P2: MTTD &lt; 4 horas. P3: MTTD &lt; 8 horas. Tendencia de mejora trimestre a trimestre.</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Por incidente (individual) y promedio mensual.</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Bitácora de incidentes del CSIRT — Documento 8, Sección 9.2.</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8 — Respuesta a Incidentes. Documento 6 — Control CT-13 (logs de acceso).</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0"/>
              <w:bottom w:val="single" w:color="991B1B" w:sz="10"/>
              <w:right w:val="single" w:color="991B1B" w:sz="10"/>
            </w:tcBorders>
            <w:shd w:fill="FEE2E2" w:val="clear"/>
            <w:tcMar>
              <w:top w:type="dxa" w:w="120"/>
              <w:left w:type="dxa" w:w="160"/>
              <w:bottom w:type="dxa" w:w="120"/>
              <w:right w:type="dxa" w:w="160"/>
            </w:tcMar>
          </w:tcPr>
          <w:p>
            <w:pPr>
              <w:spacing w:after="100" w:before="60"/>
            </w:pPr>
            <w:r>
              <w:rPr>
                <w:rFonts w:ascii="Arial" w:cs="Arial" w:eastAsia="Arial" w:hAnsi="Arial"/>
                <w:b/>
                <w:bCs/>
                <w:color w:val="991B1B"/>
                <w:sz w:val="22"/>
                <w:szCs w:val="22"/>
              </w:rPr>
              <w:t xml:space="preserve">KPI-INC-03 — MTTR — Tiempo Medio de Resolución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Tiempo promedio transcurrido entre la detección de un incidente y su resolución completa (sistema restaurado, causa raíz eliminada, incidente cerrado).</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MTTR = Suma(tiempo de resolución de cada incidente) / Número total de incidentes del período. El tiempo de resolución es la diferencia entre detección y cierre formal del incidente.</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P1: MTTR &lt; 4 horas. P2: MTTR &lt; 8 horas. P3: MTTR &lt; 24 horas. Tendencia de mejora trimestre a trimestre.</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Por incidente (individual) y promedio mensual.</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Bitácora de incidentes y Registro Consolidado — Documento 8.</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8 — Respuesta a Incidentes. Documento 7 — BCP/DRP (RTO).</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0"/>
              <w:left w:val="single" w:color="166534" w:sz="10"/>
              <w:bottom w:val="single" w:color="166534" w:sz="10"/>
              <w:right w:val="single" w:color="166534" w:sz="10"/>
            </w:tcBorders>
            <w:shd w:fill="DCFCE7" w:val="clear"/>
            <w:tcMar>
              <w:top w:type="dxa" w:w="120"/>
              <w:left w:type="dxa" w:w="160"/>
              <w:bottom w:type="dxa" w:w="120"/>
              <w:right w:type="dxa" w:w="160"/>
            </w:tcMar>
          </w:tcPr>
          <w:p>
            <w:pPr>
              <w:spacing w:after="100" w:before="60"/>
            </w:pPr>
            <w:r>
              <w:rPr>
                <w:rFonts w:ascii="Arial" w:cs="Arial" w:eastAsia="Arial" w:hAnsi="Arial"/>
                <w:b/>
                <w:bCs/>
                <w:color w:val="166534"/>
                <w:sz w:val="22"/>
                <w:szCs w:val="22"/>
              </w:rPr>
              <w:t xml:space="preserve">KPI-INC-04 — Tasa de cumplimiento de tiempos de respuesta</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 incidentes en los que el CSIRT cumplió los tiempos de respuesta obligatorios definidos en el Documento 8 (contención y resolución dentro de los objetivos de severidad).</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Tasa de cumplimiento = (Incidentes resueltos dentro del objetivo de tiempo / Total de incidentes del período) × 100.</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 90% de cumplimiento en incidentes P1 y P2. ≥ 80% en P3. Tendencia al alza trimestre a trimestre.</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Mensual (por severidad). Trimestral (promedio consolidado).</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Registro de incidentes con fechas de detección y resolución — Documento 8.</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8 — Respuesta a Incidentes.</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0"/>
              <w:left w:val="single" w:color="5B21B6" w:sz="10"/>
              <w:bottom w:val="single" w:color="5B21B6" w:sz="10"/>
              <w:right w:val="single" w:color="5B21B6" w:sz="10"/>
            </w:tcBorders>
            <w:shd w:fill="EDE9FE" w:val="clear"/>
            <w:tcMar>
              <w:top w:type="dxa" w:w="120"/>
              <w:left w:type="dxa" w:w="160"/>
              <w:bottom w:type="dxa" w:w="120"/>
              <w:right w:type="dxa" w:w="160"/>
            </w:tcMar>
          </w:tcPr>
          <w:p>
            <w:pPr>
              <w:spacing w:after="100" w:before="60"/>
            </w:pPr>
            <w:r>
              <w:rPr>
                <w:rFonts w:ascii="Arial" w:cs="Arial" w:eastAsia="Arial" w:hAnsi="Arial"/>
                <w:b/>
                <w:bCs/>
                <w:color w:val="5B21B6"/>
                <w:sz w:val="22"/>
                <w:szCs w:val="22"/>
              </w:rPr>
              <w:t xml:space="preserve">KPI-INC-05 — Tasa de recurrencia de incidentes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 incidentes cuya causa raíz fue la misma o equivalente a la de un incidente previo, indicando que las acciones correctivas del post-mortem no fueron efectivas.</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Tasa de recurrencia = (Incidentes con causa raíz ya vista previamente / Total de incidentes del período) × 100.</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&lt; 5%. Una tasa alta indica que los post-mortem no están generando mejoras reales al SGSI.</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Trimestral.</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Informes de post-mortem — Documento 8, Sección 9.3.</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8 — Respuesta a Incidentes. Documento 4 — Gestión de Riesgos.</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0"/>
              <w:left w:val="single" w:color="0F766E" w:sz="10"/>
              <w:bottom w:val="single" w:color="0F766E" w:sz="10"/>
              <w:right w:val="single" w:color="0F766E" w:sz="10"/>
            </w:tcBorders>
            <w:shd w:fill="CCFBF1" w:val="clear"/>
            <w:tcMar>
              <w:top w:type="dxa" w:w="120"/>
              <w:left w:type="dxa" w:w="160"/>
              <w:bottom w:type="dxa" w:w="120"/>
              <w:right w:type="dxa" w:w="160"/>
            </w:tcMar>
          </w:tcPr>
          <w:p>
            <w:pPr>
              <w:spacing w:after="100" w:before="60"/>
            </w:pPr>
            <w:r>
              <w:rPr>
                <w:rFonts w:ascii="Arial" w:cs="Arial" w:eastAsia="Arial" w:hAnsi="Arial"/>
                <w:b/>
                <w:bCs/>
                <w:color w:val="0F766E"/>
                <w:sz w:val="22"/>
                <w:szCs w:val="22"/>
              </w:rPr>
              <w:t xml:space="preserve">KPI-INC-06 — Cobertura de post-mortem</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 incidentes P1, P2 y P3 que tienen un informe de post-mortem completado y aprobado dentro de los 5 días hábiles posteriores al cierre.</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Cobertura = (Incidentes P1+P2+P3 con post-mortem completado / Total de incidentes P1+P2+P3 del período) × 100.</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100% en incidentes P1 y P2. ≥ 80% en incidentes P3.</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Mensual.</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Registro de post-mortem — Documento 8.</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8 — Respuesta a Incidentes.</w:t>
                  </w:r>
                </w:p>
              </w:tc>
            </w:tr>
          </w:tbl>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4. KPIs — Estado de Controles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0"/>
              <w:left w:val="single" w:color="2563EB" w:sz="10"/>
              <w:bottom w:val="single" w:color="2563EB" w:sz="10"/>
              <w:right w:val="single" w:color="2563EB" w:sz="10"/>
            </w:tcBorders>
            <w:shd w:fill="DBEAFE" w:val="clear"/>
            <w:tcMar>
              <w:top w:type="dxa" w:w="120"/>
              <w:left w:type="dxa" w:w="160"/>
              <w:bottom w:type="dxa" w:w="120"/>
              <w:right w:type="dxa" w:w="160"/>
            </w:tcMar>
          </w:tcPr>
          <w:p>
            <w:pPr>
              <w:spacing w:after="100" w:before="60"/>
            </w:pPr>
            <w:r>
              <w:rPr>
                <w:rFonts w:ascii="Arial" w:cs="Arial" w:eastAsia="Arial" w:hAnsi="Arial"/>
                <w:b/>
                <w:bCs/>
                <w:color w:val="2563EB"/>
                <w:sz w:val="22"/>
                <w:szCs w:val="22"/>
              </w:rPr>
              <w:t xml:space="preserve">KPI-CTL-01 — Tasa de implementación de controles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del catálogo de 45 controles (Documento 6) que tienen estado 'Implementado', en comparación con el total del catálogo.</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Tasa = (Controles con estado 'Implementado' / Total de controles del catálogo) × 100.</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Año 1: ≥ 60% (controles de implementación inmediata y corto plazo completos). Año 2: ≥ 85%. Año 3: 100%.</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Mensual (durante el primer año de implementación). Trimestral (en operación normal).</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Catálogo de controles — Documento 6.</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6 — Controles de Seguridad.</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0"/>
              <w:bottom w:val="single" w:color="991B1B" w:sz="10"/>
              <w:right w:val="single" w:color="991B1B" w:sz="10"/>
            </w:tcBorders>
            <w:shd w:fill="FEE2E2" w:val="clear"/>
            <w:tcMar>
              <w:top w:type="dxa" w:w="120"/>
              <w:left w:type="dxa" w:w="160"/>
              <w:bottom w:type="dxa" w:w="120"/>
              <w:right w:type="dxa" w:w="160"/>
            </w:tcMar>
          </w:tcPr>
          <w:p>
            <w:pPr>
              <w:spacing w:after="100" w:before="60"/>
            </w:pPr>
            <w:r>
              <w:rPr>
                <w:rFonts w:ascii="Arial" w:cs="Arial" w:eastAsia="Arial" w:hAnsi="Arial"/>
                <w:b/>
                <w:bCs/>
                <w:color w:val="991B1B"/>
                <w:sz w:val="22"/>
                <w:szCs w:val="22"/>
              </w:rPr>
              <w:t xml:space="preserve">KPI-CTL-02 — Cobertura de MFA en sistemas críticos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 sistemas críticos (repositorios Git, CRM, consola de nube, correo, VPN, ERP) que tienen autenticación multifactor (MFA) habilitada y obligatoria para todos sus usuarios.</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Cobertura MFA = (Sistemas críticos con MFA habilitado / Total de sistemas críticos definidos) × 100.</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100% — todos los sistemas críticos deben tener MFA habilitado. Este es el control de mayor prioridad (CT-01).</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Mensual (verificación activa). Inmediato si se detecta un sistema crítico sin MFA.</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Verificación directa en cada sistema. Logs de autenticación.</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6 — Control CT-01. Documento 5 — POL-02 y POL-04.</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0"/>
              <w:left w:val="single" w:color="166534" w:sz="10"/>
              <w:bottom w:val="single" w:color="166534" w:sz="10"/>
              <w:right w:val="single" w:color="166534" w:sz="10"/>
            </w:tcBorders>
            <w:shd w:fill="DCFCE7" w:val="clear"/>
            <w:tcMar>
              <w:top w:type="dxa" w:w="120"/>
              <w:left w:type="dxa" w:w="160"/>
              <w:bottom w:type="dxa" w:w="120"/>
              <w:right w:type="dxa" w:w="160"/>
            </w:tcMar>
          </w:tcPr>
          <w:p>
            <w:pPr>
              <w:spacing w:after="100" w:before="60"/>
            </w:pPr>
            <w:r>
              <w:rPr>
                <w:rFonts w:ascii="Arial" w:cs="Arial" w:eastAsia="Arial" w:hAnsi="Arial"/>
                <w:b/>
                <w:bCs/>
                <w:color w:val="166534"/>
                <w:sz w:val="22"/>
                <w:szCs w:val="22"/>
              </w:rPr>
              <w:t xml:space="preserve">KPI-CTL-03 — Tasa de revisión de accesos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 sistemas críticos que han tenido una revisión formal de accesos activos en el período (según el ciclo semestral establecido en POL-02).</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Tasa = (Sistemas críticos con revisión de accesos completada en el período / Total de sistemas críticos) × 100.</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100% de sistemas críticos con revisión de accesos semestral completada.</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Semestral.</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Registros de revisión de accesos mantenidos por el CISO.</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5 — POL-02. Documento 6 — Control CO-05.</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0"/>
              <w:left w:val="single" w:color="9A3412" w:sz="10"/>
              <w:bottom w:val="single" w:color="9A3412" w:sz="10"/>
              <w:right w:val="single" w:color="9A3412" w:sz="10"/>
            </w:tcBorders>
            <w:shd w:fill="FFEDD5" w:val="clear"/>
            <w:tcMar>
              <w:top w:type="dxa" w:w="120"/>
              <w:left w:type="dxa" w:w="160"/>
              <w:bottom w:type="dxa" w:w="120"/>
              <w:right w:type="dxa" w:w="160"/>
            </w:tcMar>
          </w:tcPr>
          <w:p>
            <w:pPr>
              <w:spacing w:after="100" w:before="60"/>
            </w:pPr>
            <w:r>
              <w:rPr>
                <w:rFonts w:ascii="Arial" w:cs="Arial" w:eastAsia="Arial" w:hAnsi="Arial"/>
                <w:b/>
                <w:bCs/>
                <w:color w:val="9A3412"/>
                <w:sz w:val="22"/>
                <w:szCs w:val="22"/>
              </w:rPr>
              <w:t xml:space="preserve">KPI-CTL-04 — Tiempo de revocación de accesos al cese</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Tiempo promedio entre la fecha de cese de un empleado o contratista y la revocación completa de todos sus accesos a sistemas corporativos.</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Promedio de (fecha de revocación completa - fecha de cese) para todos los ceses del período.</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0 días — la revocación debe completarse el mismo día del cese. Cualquier caso &gt; 0 días es una no conformidad.</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Por evento (cada cese). Promedio mensual reportado al CISO.</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Checklist de offboarding — Documento 5 (POL-02). Registros de baja de usuarios en sistemas.</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5 — POL-02. Documento 6 — Control CT-06.</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0"/>
              <w:left w:val="single" w:color="5B21B6" w:sz="10"/>
              <w:bottom w:val="single" w:color="5B21B6" w:sz="10"/>
              <w:right w:val="single" w:color="5B21B6" w:sz="10"/>
            </w:tcBorders>
            <w:shd w:fill="EDE9FE" w:val="clear"/>
            <w:tcMar>
              <w:top w:type="dxa" w:w="120"/>
              <w:left w:type="dxa" w:w="160"/>
              <w:bottom w:type="dxa" w:w="120"/>
              <w:right w:type="dxa" w:w="160"/>
            </w:tcMar>
          </w:tcPr>
          <w:p>
            <w:pPr>
              <w:spacing w:after="100" w:before="60"/>
            </w:pPr>
            <w:r>
              <w:rPr>
                <w:rFonts w:ascii="Arial" w:cs="Arial" w:eastAsia="Arial" w:hAnsi="Arial"/>
                <w:b/>
                <w:bCs/>
                <w:color w:val="5B21B6"/>
                <w:sz w:val="22"/>
                <w:szCs w:val="22"/>
              </w:rPr>
              <w:t xml:space="preserve">KPI-CTL-05 — Frecuencia de escaneos de vulnerabilidades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Número de escaneos de vulnerabilidades ejecutados en los sistemas de producción en el período vs. el objetivo definido (mensual).</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Cumplimiento = (Escaneos ejecutados en el período / Escaneos programados en el período) × 100. Adicionalmente: número de vulnerabilidades críticas identificadas y tiempo de remediación.</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100% de escaneos programados ejecutados. Vulnerabilidades críticas remediadas dentro de 15 días naturales.</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Mensual.</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Reportes de herramienta de escaneo (Nessus/OpenVAS/Snyk) — Control CT-25.</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6 — Controles CT-25, CT-26, CT-27.</w:t>
                  </w:r>
                </w:p>
              </w:tc>
            </w:tr>
          </w:tbl>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5. KPIs — Gestión de Riesgos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0"/>
              <w:bottom w:val="single" w:color="991B1B" w:sz="10"/>
              <w:right w:val="single" w:color="991B1B" w:sz="10"/>
            </w:tcBorders>
            <w:shd w:fill="FEE2E2" w:val="clear"/>
            <w:tcMar>
              <w:top w:type="dxa" w:w="120"/>
              <w:left w:type="dxa" w:w="160"/>
              <w:bottom w:type="dxa" w:w="120"/>
              <w:right w:type="dxa" w:w="160"/>
            </w:tcMar>
          </w:tcPr>
          <w:p>
            <w:pPr>
              <w:spacing w:after="100" w:before="60"/>
            </w:pPr>
            <w:r>
              <w:rPr>
                <w:rFonts w:ascii="Arial" w:cs="Arial" w:eastAsia="Arial" w:hAnsi="Arial"/>
                <w:b/>
                <w:bCs/>
                <w:color w:val="991B1B"/>
                <w:sz w:val="22"/>
                <w:szCs w:val="22"/>
              </w:rPr>
              <w:t xml:space="preserve">KPI-RIE-01 — Distribución del perfil de riesgos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 riesgos identificados en el registro de riesgos (Documento 4) clasificados en cada nivel (Muy Alto, Alto, Medio, Bajo), comparando el estado inicial con el estado actual tras la implementación de controles.</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 por nivel = (Riesgos en ese nivel / Total de riesgos en el registro) × 100. Comparar período actual vs. período anterior para identificar tendencia.</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Año 1: eliminar todos los riesgos Muy Alto (llevarlos a Alto o Medio mediante controles). Año 2: reducir riesgos Altos en un 50%.</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Semestral (con la revisión del registro de riesgos).</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Registro Consolidado de Riesgos — Documento 4, Sección 10.</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4 — Gestión de Riesgos OCTAVE Allegro.</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0"/>
              <w:left w:val="single" w:color="9A3412" w:sz="10"/>
              <w:bottom w:val="single" w:color="9A3412" w:sz="10"/>
              <w:right w:val="single" w:color="9A3412" w:sz="10"/>
            </w:tcBorders>
            <w:shd w:fill="FFEDD5" w:val="clear"/>
            <w:tcMar>
              <w:top w:type="dxa" w:w="120"/>
              <w:left w:type="dxa" w:w="160"/>
              <w:bottom w:type="dxa" w:w="120"/>
              <w:right w:type="dxa" w:w="160"/>
            </w:tcMar>
          </w:tcPr>
          <w:p>
            <w:pPr>
              <w:spacing w:after="100" w:before="60"/>
            </w:pPr>
            <w:r>
              <w:rPr>
                <w:rFonts w:ascii="Arial" w:cs="Arial" w:eastAsia="Arial" w:hAnsi="Arial"/>
                <w:b/>
                <w:bCs/>
                <w:color w:val="9A3412"/>
                <w:sz w:val="22"/>
                <w:szCs w:val="22"/>
              </w:rPr>
              <w:t xml:space="preserve">KPI-RIE-02 — Tasa de tratamiento de riesgos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 riesgos con plan de tratamiento que han avanzado según el cronograma definido en el Documento 4 (responsable asignado, acciones ejecutadas, plazo cumplido).</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Tasa = (Riesgos con tratamiento en tiempo y forma / Total de riesgos con plan de tratamiento activo) × 100.</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 90% de riesgos Muy Alto y Alto con tratamiento avanzando según el cronograma.</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Trimestral.</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Plan de tratamiento de riesgos — Documento 4, Sección 8.</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4 — Gestión de Riesgos. Documento 6 — Controles.</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0"/>
              <w:left w:val="single" w:color="92400E" w:sz="10"/>
              <w:bottom w:val="single" w:color="92400E" w:sz="10"/>
              <w:right w:val="single" w:color="92400E" w:sz="10"/>
            </w:tcBorders>
            <w:shd w:fill="FEF3C7" w:val="clear"/>
            <w:tcMar>
              <w:top w:type="dxa" w:w="120"/>
              <w:left w:type="dxa" w:w="160"/>
              <w:bottom w:type="dxa" w:w="120"/>
              <w:right w:type="dxa" w:w="160"/>
            </w:tcMar>
          </w:tcPr>
          <w:p>
            <w:pPr>
              <w:spacing w:after="100" w:before="60"/>
            </w:pPr>
            <w:r>
              <w:rPr>
                <w:rFonts w:ascii="Arial" w:cs="Arial" w:eastAsia="Arial" w:hAnsi="Arial"/>
                <w:b/>
                <w:bCs/>
                <w:color w:val="92400E"/>
                <w:sz w:val="22"/>
                <w:szCs w:val="22"/>
              </w:rPr>
              <w:t xml:space="preserve">KPI-RIE-03 — Nuevos riesgos identificados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92400E" w:sz="4"/>
                    <w:left w:val="single" w:color="92400E" w:sz="4"/>
                    <w:bottom w:val="single" w:color="92400E" w:sz="4"/>
                    <w:right w:val="single" w:color="92400E" w:sz="4"/>
                  </w:tcBorders>
                  <w:shd w:fill="FFFFFF" w:val="clear"/>
                  <w:tcMar>
                    <w:top w:type="dxa" w:w="70"/>
                    <w:left w:type="dxa" w:w="120"/>
                    <w:bottom w:type="dxa" w:w="70"/>
                    <w:right w:type="dxa" w:w="120"/>
                  </w:tcMar>
                </w:tcPr>
                <w:p>
                  <w:r>
                    <w:rPr>
                      <w:rFonts w:ascii="Arial" w:cs="Arial" w:eastAsia="Arial" w:hAnsi="Arial"/>
                      <w:b/>
                      <w:bCs/>
                      <w:color w:val="92400E"/>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Número de nuevos riesgos identificados en el período que no estaban en el registro inicial, como resultado de cambios en el contexto, nuevos activos, incidentes o nuevas amenazas del sector.</w:t>
                  </w:r>
                </w:p>
              </w:tc>
            </w:tr>
            <w:tr>
              <w:tc>
                <w:tcPr>
                  <w:tcW w:type="dxa" w:w="2400"/>
                  <w:tcBorders>
                    <w:top w:val="single" w:color="92400E" w:sz="4"/>
                    <w:left w:val="single" w:color="92400E" w:sz="4"/>
                    <w:bottom w:val="single" w:color="92400E" w:sz="4"/>
                    <w:right w:val="single" w:color="92400E" w:sz="4"/>
                  </w:tcBorders>
                  <w:shd w:fill="FFFFFF" w:val="clear"/>
                  <w:tcMar>
                    <w:top w:type="dxa" w:w="70"/>
                    <w:left w:type="dxa" w:w="120"/>
                    <w:bottom w:type="dxa" w:w="70"/>
                    <w:right w:type="dxa" w:w="120"/>
                  </w:tcMar>
                </w:tcPr>
                <w:p>
                  <w:r>
                    <w:rPr>
                      <w:rFonts w:ascii="Arial" w:cs="Arial" w:eastAsia="Arial" w:hAnsi="Arial"/>
                      <w:b/>
                      <w:bCs/>
                      <w:color w:val="92400E"/>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Conteo directo de nuevas entradas al Registro de Riesgos en el período.</w:t>
                  </w:r>
                </w:p>
              </w:tc>
            </w:tr>
            <w:tr>
              <w:tc>
                <w:tcPr>
                  <w:tcW w:type="dxa" w:w="2400"/>
                  <w:tcBorders>
                    <w:top w:val="single" w:color="92400E" w:sz="4"/>
                    <w:left w:val="single" w:color="92400E" w:sz="4"/>
                    <w:bottom w:val="single" w:color="92400E" w:sz="4"/>
                    <w:right w:val="single" w:color="92400E" w:sz="4"/>
                  </w:tcBorders>
                  <w:shd w:fill="FFFFFF" w:val="clear"/>
                  <w:tcMar>
                    <w:top w:type="dxa" w:w="70"/>
                    <w:left w:type="dxa" w:w="120"/>
                    <w:bottom w:type="dxa" w:w="70"/>
                    <w:right w:type="dxa" w:w="120"/>
                  </w:tcMar>
                </w:tcPr>
                <w:p>
                  <w:r>
                    <w:rPr>
                      <w:rFonts w:ascii="Arial" w:cs="Arial" w:eastAsia="Arial" w:hAnsi="Arial"/>
                      <w:b/>
                      <w:bCs/>
                      <w:color w:val="92400E"/>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No hay un objetivo numérico fijo — lo importante es que el proceso esté activo. Un período sin ningún riesgo nuevo puede indicar que el proceso no está funcionando.</w:t>
                  </w:r>
                </w:p>
              </w:tc>
            </w:tr>
            <w:tr>
              <w:tc>
                <w:tcPr>
                  <w:tcW w:type="dxa" w:w="2400"/>
                  <w:tcBorders>
                    <w:top w:val="single" w:color="92400E" w:sz="4"/>
                    <w:left w:val="single" w:color="92400E" w:sz="4"/>
                    <w:bottom w:val="single" w:color="92400E" w:sz="4"/>
                    <w:right w:val="single" w:color="92400E" w:sz="4"/>
                  </w:tcBorders>
                  <w:shd w:fill="FFFFFF" w:val="clear"/>
                  <w:tcMar>
                    <w:top w:type="dxa" w:w="70"/>
                    <w:left w:type="dxa" w:w="120"/>
                    <w:bottom w:type="dxa" w:w="70"/>
                    <w:right w:type="dxa" w:w="120"/>
                  </w:tcMar>
                </w:tcPr>
                <w:p>
                  <w:r>
                    <w:rPr>
                      <w:rFonts w:ascii="Arial" w:cs="Arial" w:eastAsia="Arial" w:hAnsi="Arial"/>
                      <w:b/>
                      <w:bCs/>
                      <w:color w:val="92400E"/>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Trimestral (con revisión del registro de riesgos).</w:t>
                  </w:r>
                </w:p>
              </w:tc>
            </w:tr>
            <w:tr>
              <w:tc>
                <w:tcPr>
                  <w:tcW w:type="dxa" w:w="2400"/>
                  <w:tcBorders>
                    <w:top w:val="single" w:color="92400E" w:sz="4"/>
                    <w:left w:val="single" w:color="92400E" w:sz="4"/>
                    <w:bottom w:val="single" w:color="92400E" w:sz="4"/>
                    <w:right w:val="single" w:color="92400E" w:sz="4"/>
                  </w:tcBorders>
                  <w:shd w:fill="FFFFFF" w:val="clear"/>
                  <w:tcMar>
                    <w:top w:type="dxa" w:w="70"/>
                    <w:left w:type="dxa" w:w="120"/>
                    <w:bottom w:type="dxa" w:w="70"/>
                    <w:right w:type="dxa" w:w="120"/>
                  </w:tcMar>
                </w:tcPr>
                <w:p>
                  <w:r>
                    <w:rPr>
                      <w:rFonts w:ascii="Arial" w:cs="Arial" w:eastAsia="Arial" w:hAnsi="Arial"/>
                      <w:b/>
                      <w:bCs/>
                      <w:color w:val="92400E"/>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Registro Consolidado de Riesgos — Documento 4.</w:t>
                  </w:r>
                </w:p>
              </w:tc>
            </w:tr>
            <w:tr>
              <w:tc>
                <w:tcPr>
                  <w:tcW w:type="dxa" w:w="2400"/>
                  <w:tcBorders>
                    <w:top w:val="single" w:color="92400E" w:sz="4"/>
                    <w:left w:val="single" w:color="92400E" w:sz="4"/>
                    <w:bottom w:val="single" w:color="92400E" w:sz="4"/>
                    <w:right w:val="single" w:color="92400E" w:sz="4"/>
                  </w:tcBorders>
                  <w:shd w:fill="FFFFFF" w:val="clear"/>
                  <w:tcMar>
                    <w:top w:type="dxa" w:w="70"/>
                    <w:left w:type="dxa" w:w="120"/>
                    <w:bottom w:type="dxa" w:w="70"/>
                    <w:right w:type="dxa" w:w="120"/>
                  </w:tcMar>
                </w:tcPr>
                <w:p>
                  <w:r>
                    <w:rPr>
                      <w:rFonts w:ascii="Arial" w:cs="Arial" w:eastAsia="Arial" w:hAnsi="Arial"/>
                      <w:b/>
                      <w:bCs/>
                      <w:color w:val="92400E"/>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4 — Gestión de Riesgos.</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0"/>
              <w:left w:val="single" w:color="166534" w:sz="10"/>
              <w:bottom w:val="single" w:color="166534" w:sz="10"/>
              <w:right w:val="single" w:color="166534" w:sz="10"/>
            </w:tcBorders>
            <w:shd w:fill="DCFCE7" w:val="clear"/>
            <w:tcMar>
              <w:top w:type="dxa" w:w="120"/>
              <w:left w:type="dxa" w:w="160"/>
              <w:bottom w:type="dxa" w:w="120"/>
              <w:right w:type="dxa" w:w="160"/>
            </w:tcMar>
          </w:tcPr>
          <w:p>
            <w:pPr>
              <w:spacing w:after="100" w:before="60"/>
            </w:pPr>
            <w:r>
              <w:rPr>
                <w:rFonts w:ascii="Arial" w:cs="Arial" w:eastAsia="Arial" w:hAnsi="Arial"/>
                <w:b/>
                <w:bCs/>
                <w:color w:val="166534"/>
                <w:sz w:val="22"/>
                <w:szCs w:val="22"/>
              </w:rPr>
              <w:t xml:space="preserve">KPI-RIE-04 — Riesgos aceptados formalmente</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Número de riesgos que han sido formalmente aceptados por la Dirección (con documentación del riesgo residual y justificación), en lugar de mitigados o transferidos.</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Conteo de riesgos con estrategia de tratamiento 'Aceptar' en el registro, verificando que cuentan con aprobación documentada del CISO y la Dirección.</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Todos los riesgos aceptados deben tener documentación formal de la decisión. Ningún riesgo Alto o Muy Alto puede ser aceptado sin aprobación explícita de la Dirección General.</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Semestral.</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Registro de riesgos — Documento 4. Registro de excepciones de seguridad — Documento 5.</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4 — Gestión de Riesgos. Documento 5 — Sección 12.1.</w:t>
                  </w:r>
                </w:p>
              </w:tc>
            </w:tr>
          </w:tbl>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6. KPIs — Capacitación y Concientización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0"/>
              <w:left w:val="single" w:color="2563EB" w:sz="10"/>
              <w:bottom w:val="single" w:color="2563EB" w:sz="10"/>
              <w:right w:val="single" w:color="2563EB" w:sz="10"/>
            </w:tcBorders>
            <w:shd w:fill="DBEAFE" w:val="clear"/>
            <w:tcMar>
              <w:top w:type="dxa" w:w="120"/>
              <w:left w:type="dxa" w:w="160"/>
              <w:bottom w:type="dxa" w:w="120"/>
              <w:right w:type="dxa" w:w="160"/>
            </w:tcMar>
          </w:tcPr>
          <w:p>
            <w:pPr>
              <w:spacing w:after="100" w:before="60"/>
            </w:pPr>
            <w:r>
              <w:rPr>
                <w:rFonts w:ascii="Arial" w:cs="Arial" w:eastAsia="Arial" w:hAnsi="Arial"/>
                <w:b/>
                <w:bCs/>
                <w:color w:val="2563EB"/>
                <w:sz w:val="22"/>
                <w:szCs w:val="22"/>
              </w:rPr>
              <w:t xml:space="preserve">KPI-CAP-01 — Cobertura de capacitación obligatoria</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 empleados que han completado los módulos de capacitación obligatorios (MOD-01 y MOD-02 para todos; módulos adicionales según rol) en el período anual.</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Cobertura = (Empleados que completaron los módulos obligatorios / Total de empleados activos) × 100.</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100% antes del fin del primer trimestre del año. Sin excepciones para los módulos de inducción.</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Trimestral (durante el año). Anual (cierre del programa).</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Registro de asistencia y evaluaciones — Documento 9, Sección 10.</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9 — Capacitación y Concientización.</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0"/>
              <w:left w:val="single" w:color="166534" w:sz="10"/>
              <w:bottom w:val="single" w:color="166534" w:sz="10"/>
              <w:right w:val="single" w:color="166534" w:sz="10"/>
            </w:tcBorders>
            <w:shd w:fill="DCFCE7" w:val="clear"/>
            <w:tcMar>
              <w:top w:type="dxa" w:w="120"/>
              <w:left w:type="dxa" w:w="160"/>
              <w:bottom w:type="dxa" w:w="120"/>
              <w:right w:type="dxa" w:w="160"/>
            </w:tcMar>
          </w:tcPr>
          <w:p>
            <w:pPr>
              <w:spacing w:after="100" w:before="60"/>
            </w:pPr>
            <w:r>
              <w:rPr>
                <w:rFonts w:ascii="Arial" w:cs="Arial" w:eastAsia="Arial" w:hAnsi="Arial"/>
                <w:b/>
                <w:bCs/>
                <w:color w:val="166534"/>
                <w:sz w:val="22"/>
                <w:szCs w:val="22"/>
              </w:rPr>
              <w:t xml:space="preserve">KPI-CAP-02 — Tasa de aprobación de evaluaciones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 empleados que aprueban las evaluaciones de los módulos de capacitación en el primer intento, sin necesidad de repaso adicional.</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Tasa = (Empleados que aprueban en primer intento / Total de empleados que presentaron la evaluación) × 100. Desglosado por módulo y por área.</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 90% de aprobación en primera oportunidad para MOD-01 y MOD-02. Una tasa baja indica contenidos poco claros o audiencia mal preparada.</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Por módulo impartido.</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Registros de evaluación individual — Documento 9.</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9 — Capacitación y Concientización.</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0"/>
              <w:bottom w:val="single" w:color="991B1B" w:sz="10"/>
              <w:right w:val="single" w:color="991B1B" w:sz="10"/>
            </w:tcBorders>
            <w:shd w:fill="FEE2E2" w:val="clear"/>
            <w:tcMar>
              <w:top w:type="dxa" w:w="120"/>
              <w:left w:type="dxa" w:w="160"/>
              <w:bottom w:type="dxa" w:w="120"/>
              <w:right w:type="dxa" w:w="160"/>
            </w:tcMar>
          </w:tcPr>
          <w:p>
            <w:pPr>
              <w:spacing w:after="100" w:before="60"/>
            </w:pPr>
            <w:r>
              <w:rPr>
                <w:rFonts w:ascii="Arial" w:cs="Arial" w:eastAsia="Arial" w:hAnsi="Arial"/>
                <w:b/>
                <w:bCs/>
                <w:color w:val="991B1B"/>
                <w:sz w:val="22"/>
                <w:szCs w:val="22"/>
              </w:rPr>
              <w:t xml:space="preserve">KPI-CAP-03 — Tasa de clic en simulacros de phishing</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 empleados que hacen clic en el enlace malicioso simulado durante las campañas trimestrales de phishing (SIM-01), indicando vulnerabilidad ante ataques reales.</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Tasa de clic = (Empleados que hacen clic / Total de empleados que recibieron el correo simulado) × 100. Desglosado por área y trimestre.</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Año 1: ≤ 20%. Año 2: ≤ 10%. Año 3: ≤ 5%. Una tasa alta correlaciona directamente con mayor probabilidad del Escenario A-11 del Documento 4.</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Trimestral (por campaña SIM-01).</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Plataforma de simulacro de phishing — Documento 9, Sección 5.1.</w:t>
                  </w:r>
                </w:p>
              </w:tc>
            </w:tr>
            <w:tr>
              <w:tc>
                <w:tcPr>
                  <w:tcW w:type="dxa" w:w="2400"/>
                  <w:tcBorders>
                    <w:top w:val="single" w:color="991B1B" w:sz="4"/>
                    <w:left w:val="single" w:color="991B1B" w:sz="4"/>
                    <w:bottom w:val="single" w:color="991B1B" w:sz="4"/>
                    <w:right w:val="single" w:color="991B1B" w:sz="4"/>
                  </w:tcBorders>
                  <w:shd w:fill="FFFFFF" w:val="clear"/>
                  <w:tcMar>
                    <w:top w:type="dxa" w:w="70"/>
                    <w:left w:type="dxa" w:w="120"/>
                    <w:bottom w:type="dxa" w:w="70"/>
                    <w:right w:type="dxa" w:w="120"/>
                  </w:tcMar>
                </w:tcPr>
                <w:p>
                  <w:r>
                    <w:rPr>
                      <w:rFonts w:ascii="Arial" w:cs="Arial" w:eastAsia="Arial" w:hAnsi="Arial"/>
                      <w:b/>
                      <w:bCs/>
                      <w:color w:val="991B1B"/>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9 — Simulacro SIM-01. Documento 4 — Riesgo A-11.</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0"/>
              <w:left w:val="single" w:color="0F766E" w:sz="10"/>
              <w:bottom w:val="single" w:color="0F766E" w:sz="10"/>
              <w:right w:val="single" w:color="0F766E" w:sz="10"/>
            </w:tcBorders>
            <w:shd w:fill="CCFBF1" w:val="clear"/>
            <w:tcMar>
              <w:top w:type="dxa" w:w="120"/>
              <w:left w:type="dxa" w:w="160"/>
              <w:bottom w:type="dxa" w:w="120"/>
              <w:right w:type="dxa" w:w="160"/>
            </w:tcMar>
          </w:tcPr>
          <w:p>
            <w:pPr>
              <w:spacing w:after="100" w:before="60"/>
            </w:pPr>
            <w:r>
              <w:rPr>
                <w:rFonts w:ascii="Arial" w:cs="Arial" w:eastAsia="Arial" w:hAnsi="Arial"/>
                <w:b/>
                <w:bCs/>
                <w:color w:val="0F766E"/>
                <w:sz w:val="22"/>
                <w:szCs w:val="22"/>
              </w:rPr>
              <w:t xml:space="preserve">KPI-CAP-04 — Tasa de reporte de phishing simulado</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 empleados que reportan activamente al CISO el correo de phishing simulado (en lugar de simplemente ignorarlo o hacer clic), demostrando comportamiento proactivo de seguridad.</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Tasa de reporte = (Empleados que reportan el correo al CISO / Total de empleados que recibieron el correo) × 100.</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Año 1: ≥ 30%. Año 2: ≥ 50%. Año 3: ≥ 70%. Esta métrica es el mejor indicador de cultura de seguridad real.</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Trimestral (por campaña SIM-01).</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Registros del CISO de reportes recibidos durante la campaña.</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9 — Simulacro SIM-01.</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0"/>
              <w:left w:val="single" w:color="9A3412" w:sz="10"/>
              <w:bottom w:val="single" w:color="9A3412" w:sz="10"/>
              <w:right w:val="single" w:color="9A3412" w:sz="10"/>
            </w:tcBorders>
            <w:shd w:fill="FFEDD5" w:val="clear"/>
            <w:tcMar>
              <w:top w:type="dxa" w:w="120"/>
              <w:left w:type="dxa" w:w="160"/>
              <w:bottom w:type="dxa" w:w="120"/>
              <w:right w:type="dxa" w:w="160"/>
            </w:tcMar>
          </w:tcPr>
          <w:p>
            <w:pPr>
              <w:spacing w:after="100" w:before="60"/>
            </w:pPr>
            <w:r>
              <w:rPr>
                <w:rFonts w:ascii="Arial" w:cs="Arial" w:eastAsia="Arial" w:hAnsi="Arial"/>
                <w:b/>
                <w:bCs/>
                <w:color w:val="9A3412"/>
                <w:sz w:val="22"/>
                <w:szCs w:val="22"/>
              </w:rPr>
              <w:t xml:space="preserve">KPI-CAP-05 — Incidentes por factor humano</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del total de incidentes del período cuya causa raíz fue una acción u omisión humana (error, descuido, falta de capacitación, incumplimiento de política), vs. causas puramente técnicas.</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 humano = (Incidentes con causa raíz humana / Total de incidentes del período) × 100.</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Tendencia descendente año a año. Objetivo año 1: ≤ 60% (actualmente el 100% de los incidentes históricos tienen causa humana). Año 2: ≤ 40%. Año 3: ≤ 25%.</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Anual (basado en el análisis de post-mortems del año).</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Informes de post-mortem — Documento 8. Registro de incidentes — Documento 8.</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8 — Respuesta a Incidentes. Documento 9 — Capacitación.</w:t>
                  </w:r>
                </w:p>
              </w:tc>
            </w:tr>
          </w:tbl>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7. KPIs — Cumplimiento Normativo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0"/>
              <w:left w:val="single" w:color="2563EB" w:sz="10"/>
              <w:bottom w:val="single" w:color="2563EB" w:sz="10"/>
              <w:right w:val="single" w:color="2563EB" w:sz="10"/>
            </w:tcBorders>
            <w:shd w:fill="DBEAFE" w:val="clear"/>
            <w:tcMar>
              <w:top w:type="dxa" w:w="120"/>
              <w:left w:type="dxa" w:w="160"/>
              <w:bottom w:type="dxa" w:w="120"/>
              <w:right w:type="dxa" w:w="160"/>
            </w:tcMar>
          </w:tcPr>
          <w:p>
            <w:pPr>
              <w:spacing w:after="100" w:before="60"/>
            </w:pPr>
            <w:r>
              <w:rPr>
                <w:rFonts w:ascii="Arial" w:cs="Arial" w:eastAsia="Arial" w:hAnsi="Arial"/>
                <w:b/>
                <w:bCs/>
                <w:color w:val="2563EB"/>
                <w:sz w:val="22"/>
                <w:szCs w:val="22"/>
              </w:rPr>
              <w:t xml:space="preserve">KPI-CUM-01 — Grado de cumplimiento de la LFPDPPP</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 obligaciones identificadas bajo la LFPDPPP que NovaTech Solutions tiene implementadas y documentadas, conforme al análisis del Documento 11.</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Cumplimiento = (Obligaciones LFPDPPP con evidencia de cumplimiento / Total de obligaciones identificadas) × 100.</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100% de obligaciones críticas (aviso de privacidad, medidas de seguridad, atención de derechos ARCO) antes del fin del primer año del SGSI.</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Semestral. Inmediato ante cambios regulatorios.</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Análisis de cumplimiento — Documento 11. Registros del DPO.</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11 — Cumplimiento Normativo.</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0"/>
              <w:left w:val="single" w:color="166534" w:sz="10"/>
              <w:bottom w:val="single" w:color="166534" w:sz="10"/>
              <w:right w:val="single" w:color="166534" w:sz="10"/>
            </w:tcBorders>
            <w:shd w:fill="DCFCE7" w:val="clear"/>
            <w:tcMar>
              <w:top w:type="dxa" w:w="120"/>
              <w:left w:type="dxa" w:w="160"/>
              <w:bottom w:type="dxa" w:w="120"/>
              <w:right w:type="dxa" w:w="160"/>
            </w:tcMar>
          </w:tcPr>
          <w:p>
            <w:pPr>
              <w:spacing w:after="100" w:before="60"/>
            </w:pPr>
            <w:r>
              <w:rPr>
                <w:rFonts w:ascii="Arial" w:cs="Arial" w:eastAsia="Arial" w:hAnsi="Arial"/>
                <w:b/>
                <w:bCs/>
                <w:color w:val="166534"/>
                <w:sz w:val="22"/>
                <w:szCs w:val="22"/>
              </w:rPr>
              <w:t xml:space="preserve">KPI-CUM-02 — Tiempo de atención de derechos ARCO</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Tiempo promedio en días hábiles entre la recepción de una solicitud de Derechos ARCO (Acceso, Rectificación, Cancelación, Oposición) y su atención formal al titular.</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Promedio de días hábiles de atención = Suma(días de atención por solicitud) / Total de solicitudes ARCO recibidas en el período.</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Dentro del plazo legal establecido por la LFPDPPP (20 días hábiles para la respuesta inicial). Objetivo de desempeño interno: ≤ 10 días hábiles.</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Por solicitud (individual). Promedio trimestral.</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Registro de solicitudes ARCO mantenido por el DPO — Documento 11.</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11 — Cumplimiento Normativo.</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0"/>
              <w:left w:val="single" w:color="9A3412" w:sz="10"/>
              <w:bottom w:val="single" w:color="9A3412" w:sz="10"/>
              <w:right w:val="single" w:color="9A3412" w:sz="10"/>
            </w:tcBorders>
            <w:shd w:fill="FFEDD5" w:val="clear"/>
            <w:tcMar>
              <w:top w:type="dxa" w:w="120"/>
              <w:left w:type="dxa" w:w="160"/>
              <w:bottom w:type="dxa" w:w="120"/>
              <w:right w:type="dxa" w:w="160"/>
            </w:tcMar>
          </w:tcPr>
          <w:p>
            <w:pPr>
              <w:spacing w:after="100" w:before="60"/>
            </w:pPr>
            <w:r>
              <w:rPr>
                <w:rFonts w:ascii="Arial" w:cs="Arial" w:eastAsia="Arial" w:hAnsi="Arial"/>
                <w:b/>
                <w:bCs/>
                <w:color w:val="9A3412"/>
                <w:sz w:val="22"/>
                <w:szCs w:val="22"/>
              </w:rPr>
              <w:t xml:space="preserve">KPI-CUM-03 — Notificaciones al INAI por incidentes de datos personales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Número de incidentes que involucraron datos personales y generaron la obligación de notificar al INAI bajo el Art. 20 de la LFPDPPP, y porcentaje de dichas notificaciones realizadas dentro del plazo legal.</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Número de notificaciones requeridas vs. realizadas. Porcentaje dentro del plazo = (Notificaciones en tiempo / Total de notificaciones requeridas) × 100.</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100% de notificaciones requeridas realizadas dentro del plazo legal. Ninguna notificación omitida.</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Por incidente que lo requiera.</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Registro del DPO — Documento 11. Bitácora de incidentes — Documento 8.</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11 — Cumplimiento Normativo. Documento 8 — Respuesta a Incidentes.</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0"/>
              <w:left w:val="single" w:color="5B21B6" w:sz="10"/>
              <w:bottom w:val="single" w:color="5B21B6" w:sz="10"/>
              <w:right w:val="single" w:color="5B21B6" w:sz="10"/>
            </w:tcBorders>
            <w:shd w:fill="EDE9FE" w:val="clear"/>
            <w:tcMar>
              <w:top w:type="dxa" w:w="120"/>
              <w:left w:type="dxa" w:w="160"/>
              <w:bottom w:type="dxa" w:w="120"/>
              <w:right w:type="dxa" w:w="160"/>
            </w:tcMar>
          </w:tcPr>
          <w:p>
            <w:pPr>
              <w:spacing w:after="100" w:before="60"/>
            </w:pPr>
            <w:r>
              <w:rPr>
                <w:rFonts w:ascii="Arial" w:cs="Arial" w:eastAsia="Arial" w:hAnsi="Arial"/>
                <w:b/>
                <w:bCs/>
                <w:color w:val="5B21B6"/>
                <w:sz w:val="22"/>
                <w:szCs w:val="22"/>
              </w:rPr>
              <w:t xml:space="preserve">KPI-CUM-04 — Vigencia del Aviso de Privacidad</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Estado de actualización del Aviso de Privacidad de NovaTech Solutions en relación con los cambios en las prácticas de tratamiento de datos personales y los cambios normativos del INAI.</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Métrica binaria: ¿El Aviso de Privacidad refleja correctamente las prácticas actuales de tratamiento? Sí/No. Fecha de última actualización vs. cambios en el tratamiento.</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El Aviso de Privacidad debe estar actualizado en todo momento. Revisión obligatoria anual y ante cualquier cambio relevante en el tratamiento de datos.</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Anual (revisión sistemática). Ante cambios en el tratamiento de datos.</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Aviso de Privacidad publicado — Documento 11. Registros del DPO.</w:t>
                  </w:r>
                </w:p>
              </w:tc>
            </w:tr>
            <w:tr>
              <w:tc>
                <w:tcPr>
                  <w:tcW w:type="dxa" w:w="24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11 — Cumplimiento Normativo.</w:t>
                  </w:r>
                </w:p>
              </w:tc>
            </w:tr>
          </w:tbl>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8. KPIs — Continuidad y Disponibilidad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0"/>
              <w:left w:val="single" w:color="2563EB" w:sz="10"/>
              <w:bottom w:val="single" w:color="2563EB" w:sz="10"/>
              <w:right w:val="single" w:color="2563EB" w:sz="10"/>
            </w:tcBorders>
            <w:shd w:fill="DBEAFE" w:val="clear"/>
            <w:tcMar>
              <w:top w:type="dxa" w:w="120"/>
              <w:left w:type="dxa" w:w="160"/>
              <w:bottom w:type="dxa" w:w="120"/>
              <w:right w:type="dxa" w:w="160"/>
            </w:tcMar>
          </w:tcPr>
          <w:p>
            <w:pPr>
              <w:spacing w:after="100" w:before="60"/>
            </w:pPr>
            <w:r>
              <w:rPr>
                <w:rFonts w:ascii="Arial" w:cs="Arial" w:eastAsia="Arial" w:hAnsi="Arial"/>
                <w:b/>
                <w:bCs/>
                <w:color w:val="2563EB"/>
                <w:sz w:val="22"/>
                <w:szCs w:val="22"/>
              </w:rPr>
              <w:t xml:space="preserve">KPI-DIS-01 — Disponibilidad de sistemas críticos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 tiempo en que los sistemas críticos (producción, CRM, repositorios) estuvieron disponibles y operativos durante el período, excluyendo ventanas de mantenimiento planificadas y comunicadas.</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Disponibilidad % = ((Tiempo total del período - Tiempo de interrupción no planificada) / Tiempo total del período) × 100.</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Producción y CRM: ≥ 99.5% de disponibilidad mensual. Repositorios y correo: ≥ 99% mensual.</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Mensual (por sistema crítico).</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Herramienta de monitoreo de disponibilidad — Control CT-12. Registro de incidentes de disponibilidad.</w:t>
                  </w:r>
                </w:p>
              </w:tc>
            </w:tr>
            <w:tr>
              <w:tc>
                <w:tcPr>
                  <w:tcW w:type="dxa" w:w="24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7 — Continuidad del Negocio. Documento 6 — Control CT-12.</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0"/>
              <w:left w:val="single" w:color="166534" w:sz="10"/>
              <w:bottom w:val="single" w:color="166534" w:sz="10"/>
              <w:right w:val="single" w:color="166534" w:sz="10"/>
            </w:tcBorders>
            <w:shd w:fill="DCFCE7" w:val="clear"/>
            <w:tcMar>
              <w:top w:type="dxa" w:w="120"/>
              <w:left w:type="dxa" w:w="160"/>
              <w:bottom w:type="dxa" w:w="120"/>
              <w:right w:type="dxa" w:w="160"/>
            </w:tcMar>
          </w:tcPr>
          <w:p>
            <w:pPr>
              <w:spacing w:after="100" w:before="60"/>
            </w:pPr>
            <w:r>
              <w:rPr>
                <w:rFonts w:ascii="Arial" w:cs="Arial" w:eastAsia="Arial" w:hAnsi="Arial"/>
                <w:b/>
                <w:bCs/>
                <w:color w:val="166534"/>
                <w:sz w:val="22"/>
                <w:szCs w:val="22"/>
              </w:rPr>
              <w:t xml:space="preserve">KPI-DIS-02 — Cobertura y éxito de pruebas de backup</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Porcentaje de sistemas críticos que tuvieron su backup probado mensualmente (SIM-03) con resultado exitoso (datos restaurados íntegros dentro del RTO).</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Cobertura = (Sistemas con prueba de backup exitosa en el mes / Total de sistemas en rotación mensual) × 100.</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100% — cada sistema del plan de rotación debe tener su prueba de backup completada y exitosa cada mes.</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Mensual.</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Reportes de pruebas de backup — Documento 9 (SIM-03). Documento 7.</w:t>
                  </w:r>
                </w:p>
              </w:tc>
            </w:tr>
            <w:tr>
              <w:tc>
                <w:tcPr>
                  <w:tcW w:type="dxa" w:w="24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7 — BCP/DRP. Documento 9 — Simulacro SIM-03.</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0"/>
              <w:left w:val="single" w:color="9A3412" w:sz="10"/>
              <w:bottom w:val="single" w:color="9A3412" w:sz="10"/>
              <w:right w:val="single" w:color="9A3412" w:sz="10"/>
            </w:tcBorders>
            <w:shd w:fill="FFEDD5" w:val="clear"/>
            <w:tcMar>
              <w:top w:type="dxa" w:w="120"/>
              <w:left w:type="dxa" w:w="160"/>
              <w:bottom w:type="dxa" w:w="120"/>
              <w:right w:type="dxa" w:w="160"/>
            </w:tcMar>
          </w:tcPr>
          <w:p>
            <w:pPr>
              <w:spacing w:after="100" w:before="60"/>
            </w:pPr>
            <w:r>
              <w:rPr>
                <w:rFonts w:ascii="Arial" w:cs="Arial" w:eastAsia="Arial" w:hAnsi="Arial"/>
                <w:b/>
                <w:bCs/>
                <w:color w:val="9A3412"/>
                <w:sz w:val="22"/>
                <w:szCs w:val="22"/>
              </w:rPr>
              <w:t xml:space="preserve">KPI-DIS-03 — Tiempo de recuperación real vs. RTO objetivo</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Comparación entre el tiempo de recuperación real de sistemas tras incidentes o pruebas de DRP, frente al RTO objetivo definido en el Documento 7 para cada sistema.</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Desviación del RTO = Tiempo de recuperación real - RTO objetivo. Positivo = excedió el RTO. Negativo = recuperó antes del RTO.</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0% de desviaciones positivas (ninguna recuperación debe superar su RTO). Las pruebas de DRP deben demostrar que el RTO es alcanzable.</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Por incidente de recuperación y por simulacro de DRP semestral.</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Bitácora de incidentes y simulacros de DRP — Documentos 7 y 8.</w:t>
                  </w:r>
                </w:p>
              </w:tc>
            </w:tr>
            <w:tr>
              <w:tc>
                <w:tcPr>
                  <w:tcW w:type="dxa" w:w="24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7 — BCP/DRP.</w:t>
                  </w:r>
                </w:p>
              </w:tc>
            </w:tr>
          </w:tbl>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0"/>
              <w:left w:val="single" w:color="0F766E" w:sz="10"/>
              <w:bottom w:val="single" w:color="0F766E" w:sz="10"/>
              <w:right w:val="single" w:color="0F766E" w:sz="10"/>
            </w:tcBorders>
            <w:shd w:fill="CCFBF1" w:val="clear"/>
            <w:tcMar>
              <w:top w:type="dxa" w:w="120"/>
              <w:left w:type="dxa" w:w="160"/>
              <w:bottom w:type="dxa" w:w="120"/>
              <w:right w:type="dxa" w:w="160"/>
            </w:tcMar>
          </w:tcPr>
          <w:p>
            <w:pPr>
              <w:spacing w:after="100" w:before="60"/>
            </w:pPr>
            <w:r>
              <w:rPr>
                <w:rFonts w:ascii="Arial" w:cs="Arial" w:eastAsia="Arial" w:hAnsi="Arial"/>
                <w:b/>
                <w:bCs/>
                <w:color w:val="0F766E"/>
                <w:sz w:val="22"/>
                <w:szCs w:val="22"/>
              </w:rPr>
              <w:t xml:space="preserve">KPI-DIS-04 — Actualizaciones del BCP/DRP</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Definición</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Número de veces que el BCP/DRP fue actualizado en el período como resultado de cambios en la infraestructura, resultados de simulacros, incidentes reales o cambios en el contexto organizacional.</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Fórmula / Cálculo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Conteo de revisiones documentadas con cambios al BCP/DRP vs. el número de eventos disparadores que debieron generar actualización.</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Objetivo (meta)</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El BCP/DRP debe actualizarse al menos una vez al año y ante cada evento disparador definido en el Documento 7, Sección 7.3. 0 actualizaciones en un año completo indica proceso inactivo.</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Frecuencia de medición</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Anual (mínimo). Adicional ante cada evento disparador.</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Fuente de datos</w:t>
                  </w:r>
                </w:p>
              </w:tc>
              <w:tc>
                <w:tcPr>
                  <w:tcW w:type="dxa" w:w="66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Control de versiones del Documento 7.</w:t>
                  </w:r>
                </w:p>
              </w:tc>
            </w:tr>
            <w:tr>
              <w:tc>
                <w:tcPr>
                  <w:tcW w:type="dxa" w:w="24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Documento SGSI relacionado</w:t>
                  </w:r>
                </w:p>
              </w:tc>
              <w:tc>
                <w:tcPr>
                  <w:tcW w:type="dxa" w:w="66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Documento 7 — Continuidad del Negocio.</w:t>
                  </w:r>
                </w:p>
              </w:tc>
            </w:tr>
          </w:tbl>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9. Cuadro de Mando del SGSI</w:t>
      </w:r>
    </w:p>
    <w:p>
      <w:pPr>
        <w:spacing w:after="80" w:before="80"/>
      </w:pPr>
      <w:r>
        <w:rPr>
          <w:rFonts w:ascii="Arial" w:cs="Arial" w:eastAsia="Arial" w:hAnsi="Arial"/>
          <w:color w:val="374151"/>
          <w:sz w:val="22"/>
          <w:szCs w:val="22"/>
        </w:rPr>
        <w:t xml:space="preserve">El Cuadro de Mando del SGSI consolida todos los KPIs en un único tablero de seguimiento que el CISO utiliza para monitorear el estado del sistema y que presenta a la Dirección en las revisiones trimestrales y anuales.</w:t>
      </w:r>
    </w:p>
    <w:p>
      <w:pPr>
        <w:spacing w:before="8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300"/>
        <w:gridCol w:w="2000"/>
        <w:gridCol w:w="1200"/>
        <w:gridCol w:w="2160"/>
      </w:tblGrid>
      <w:tr>
        <w:trPr>
          <w:tblHeader/>
        </w:trPr>
        <w:tc>
          <w:tcPr>
            <w:tcW w:type="dxa" w:w="13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Código KPI</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Nombre (resumen)</w:t>
            </w:r>
          </w:p>
        </w:tc>
        <w:tc>
          <w:tcPr>
            <w:tcW w:type="dxa" w:w="13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Categoría</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Objetivo</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Frecuencia</w:t>
            </w:r>
          </w:p>
        </w:tc>
        <w:tc>
          <w:tcPr>
            <w:tcW w:type="dxa" w:w="2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 inicial</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KPI-INC-01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Total de incidentes por tipo</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Incidentes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Tendencia descendente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Mensual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Línea base: 3 (históricos)</w:t>
            </w:r>
          </w:p>
        </w:tc>
      </w:tr>
      <w:tr>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KPI-INC-02</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MTTD</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P1 &lt; 2h | P2 &lt; 4h</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Mensual</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KPI-INC-03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MTTR</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Incidentes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P1 &lt; 4h | P2 &lt; 8h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Mensual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KPI-INC-04</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Cumplimiento tiempos de respuesta</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 90% P1 y P2</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Mensual</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KPI-INC-05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Tasa de recurrencia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Incidentes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&lt; 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Trimestral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KPI-INC-06</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Cobertura de post-mortem</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100% P1/P2 | 80% P3</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Mensual</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KPI-CTL-01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Implementación de controles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Controles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 60% año 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Mensual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0% (inicial)</w:t>
            </w:r>
          </w:p>
        </w:tc>
      </w:tr>
      <w:tr>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KPI-CTL-02</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Cobertura MFA</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Controles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100%</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Mensual</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diagnóstico</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KPI-CTL-03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Revisión de accesos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Controles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100% semestral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Semestral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KPI-CTL-04</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Tiempo de revocación de accesos</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Controles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0 días</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Por evento</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KPI-CTL-05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Frecuencia de escaneos de vuln.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Controles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100% programados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Mensual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KPI-RIE-01</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Distribución del perfil de riesgos</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Riesgos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Reducir Muy Alto a 0</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Semestral</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7 Muy Alto | 14 Alto (inicial)</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KPI-RIE-02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Tasa de tratamiento de riesgos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Riesgos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 90% en cronograma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Trimestral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0% (inicial)</w:t>
            </w:r>
          </w:p>
        </w:tc>
      </w:tr>
      <w:tr>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KPI-RIE-03</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Nuevos riesgos identificados</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Riesgos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Proceso activo</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Trimestral</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KPI-RIE-04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Riesgos aceptados formalmente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Riesgos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 documentación formal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Semestral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KPI-CAP-01</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Cobertura de capacitación</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Capacitación</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100% año 1</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Trimestral</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0% (inicial)</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KPI-CAP-02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Tasa de aprobación evaluaciones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Capacitación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 90% primer intento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 módulo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KPI-CAP-03</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Tasa de clic phishing</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Capacitación</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 20% año 1</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Trimestral</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KPI-CAP-04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Tasa de reporte phishing</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Capacitación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 30% año 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Trimestral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KPI-CAP-05</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Incidentes por factor humano</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Capacitación</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 60% año 1</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Anual</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100% (histórico)</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KPI-CUM-01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Cumplimiento LFPDPPP</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Normativo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100% obligaciones críticas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Semestral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diagnóstico (Doc. 11)</w:t>
            </w:r>
          </w:p>
        </w:tc>
      </w:tr>
      <w:tr>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KPI-CUM-02</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Tiempo de atención ARCO</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Normativo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 10 días hábiles</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Por solicitud</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solicitudes registradas</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KPI-CUM-03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Notificaciones al INAI</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Normativo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100% en plazo legal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 incidente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notificaciones requeridas</w:t>
            </w:r>
          </w:p>
        </w:tc>
      </w:tr>
      <w:tr>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KPI-CUM-04</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Vigencia Aviso de Privacidad</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Normativo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Siempre actualizado</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Anual</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revisión</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KPI-DIS-01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Disponibilidad de sistemas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Continuidad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 99.5% producción/CRM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Mensual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KPI-DIS-02</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Cobertura pruebas de backup</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Continuidad</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100% mensual</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Mensual</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KPI-DIS-03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RTO real vs. objetivo</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Continuidad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0% desviaciones positivas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 incidente/simulacro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datos — primer período</w:t>
            </w:r>
          </w:p>
        </w:tc>
      </w:tr>
      <w:tr>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KPI-DIS-04</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Actualizaciones BCP/DRP</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Continuidad</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 1 anual + ante eventos</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Anual</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0 (doc. inicial)</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10. Plan de Auditoría Interna del SGSI</w:t>
      </w:r>
    </w:p>
    <w:p>
      <w:pPr>
        <w:pStyle w:val="Heading2"/>
        <w:spacing w:after="140" w:before="280"/>
      </w:pPr>
      <w:r>
        <w:rPr>
          <w:rFonts w:ascii="Arial" w:cs="Arial" w:eastAsia="Arial" w:hAnsi="Arial"/>
          <w:b/>
          <w:bCs/>
          <w:color w:val="2563EB"/>
          <w:sz w:val="28"/>
          <w:szCs w:val="28"/>
        </w:rPr>
        <w:t xml:space="preserve">10.1 Propósito de la auditoría interna</w:t>
      </w:r>
    </w:p>
    <w:p>
      <w:pPr>
        <w:spacing w:after="80" w:before="80"/>
      </w:pPr>
      <w:r>
        <w:rPr>
          <w:rFonts w:ascii="Arial" w:cs="Arial" w:eastAsia="Arial" w:hAnsi="Arial"/>
          <w:color w:val="374151"/>
          <w:sz w:val="22"/>
          <w:szCs w:val="22"/>
        </w:rPr>
        <w:t xml:space="preserve">La auditoría interna del SGSI es el proceso sistemático, independiente y documentado para obtener evidencia y evaluarla objetivamente, con el fin de determinar en qué medida se cumplen los criterios de auditoría. Responde a la pregunta: ¿el SGSI documentado es también el SGSI que operamos en la práctica?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Principios de independencia en la auditoría</w:t>
            </w:r>
          </w:p>
          <w:p>
            <w:pPr>
              <w:pStyle w:val="ListParagraph"/>
              <w:numPr>
                <w:ilvl w:val="0"/>
                <w:numId w:val="2"/>
              </w:numPr>
              <w:spacing w:after="40" w:before="40"/>
            </w:pPr>
            <w:r>
              <w:rPr>
                <w:rFonts w:ascii="Arial" w:cs="Arial" w:eastAsia="Arial" w:hAnsi="Arial"/>
                <w:color w:val="374151"/>
                <w:sz w:val="21"/>
                <w:szCs w:val="21"/>
              </w:rPr>
              <w:t xml:space="preserve">Los auditores internos no deben auditar su propio trabajo. El CISO no puede auditar los controles que él mismo implementó sin supervisión de un tercero.</w:t>
            </w:r>
          </w:p>
          <w:p>
            <w:pPr>
              <w:pStyle w:val="ListParagraph"/>
              <w:numPr>
                <w:ilvl w:val="0"/>
                <w:numId w:val="2"/>
              </w:numPr>
              <w:spacing w:after="40" w:before="40"/>
            </w:pPr>
            <w:r>
              <w:rPr>
                <w:rFonts w:ascii="Arial" w:cs="Arial" w:eastAsia="Arial" w:hAnsi="Arial"/>
                <w:color w:val="374151"/>
                <w:sz w:val="21"/>
                <w:szCs w:val="21"/>
              </w:rPr>
              <w:t xml:space="preserve">Para sistemas auditados por el mismo equipo que los opera, NovaTech Solutions buscará apoyo de un auditor externo al menos una vez cada dos años.</w:t>
            </w:r>
          </w:p>
          <w:p>
            <w:pPr>
              <w:pStyle w:val="ListParagraph"/>
              <w:numPr>
                <w:ilvl w:val="0"/>
                <w:numId w:val="2"/>
              </w:numPr>
              <w:spacing w:after="40" w:before="40"/>
            </w:pPr>
            <w:r>
              <w:rPr>
                <w:rFonts w:ascii="Arial" w:cs="Arial" w:eastAsia="Arial" w:hAnsi="Arial"/>
                <w:color w:val="374151"/>
                <w:sz w:val="21"/>
                <w:szCs w:val="21"/>
              </w:rPr>
              <w:t xml:space="preserve">Los hallazgos de auditoría son confidenciales y se reportan únicamente al Líder de Auditoría y a la Dirección General.</w:t>
            </w:r>
          </w:p>
          <w:p>
            <w:pPr>
              <w:pStyle w:val="ListParagraph"/>
              <w:numPr>
                <w:ilvl w:val="0"/>
                <w:numId w:val="2"/>
              </w:numPr>
              <w:spacing w:after="40" w:before="40"/>
            </w:pPr>
            <w:r>
              <w:rPr>
                <w:rFonts w:ascii="Arial" w:cs="Arial" w:eastAsia="Arial" w:hAnsi="Arial"/>
                <w:color w:val="374151"/>
                <w:sz w:val="21"/>
                <w:szCs w:val="21"/>
              </w:rPr>
              <w:t xml:space="preserve">La auditoría no es un ejercicio punitivo — su objetivo es identificar oportunidades de mejora, no señalar responsables individuales.</w:t>
            </w:r>
          </w:p>
        </w:tc>
      </w:tr>
    </w:tbl>
    <w:p>
      <w:pPr>
        <w:spacing w:before="200"/>
      </w:pPr>
    </w:p>
    <w:p>
      <w:pPr>
        <w:pStyle w:val="Heading2"/>
        <w:spacing w:after="140" w:before="280"/>
      </w:pPr>
      <w:r>
        <w:rPr>
          <w:rFonts w:ascii="Arial" w:cs="Arial" w:eastAsia="Arial" w:hAnsi="Arial"/>
          <w:b/>
          <w:bCs/>
          <w:color w:val="2563EB"/>
          <w:sz w:val="28"/>
          <w:szCs w:val="28"/>
        </w:rPr>
        <w:t xml:space="preserve">10.2 Ciclo de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2000"/>
        <w:gridCol w:w="1160"/>
      </w:tblGrid>
      <w:tr>
        <w:trPr>
          <w:tblHeader/>
        </w:trPr>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 de auditoría</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Alcance</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Frecuencia</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1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Criterios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Auditoría interna completa del SGSI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Revisión de todos los componentes del SGSI: políticas, controles, riesgos, incidentes, capacitación, cumplimiento y continuidad.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Anual (mínimo). Recomendado: semestral en los primeros 2 años.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Auditor interno designado por la Dirección (sin conflicto de interés) + CISO como asesor técnico.</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ISO/IEC 27001:2022 cláusulas 4-10 + políticas internas (Documento 5) + controles (Documento 6).</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Auditoría temática de controles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Revisión profunda de un subconjunto de controles del catálogo (Documento 6), rotando por dominio (organizacional, personas, físico, tecnológico).</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Trimestral. Cada trimestre se audita un dominio de controles distinto.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persona del área auditada sin conflicto de interés.</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Catálogo de controles — Documento 6. Políticas — Documento 5.</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Auditoría de cumplimiento LFPDPPP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Revisión del estado de cumplimiento de las obligaciones bajo la LFPDPPP: aviso de privacidad, derechos ARCO, medidas de seguridad, notificaciones.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Semestral.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 + CISO.</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LFPDPPP + Reglamento + Lineamientos del INAI. Documento 11.</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Auditoría de accesos y privilegios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Revisión de todos los accesos activos en sistemas críticos: vigencia, proporcionalidad al rol, MFA activo, cuentas de ex-empleados revocadas.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Semestral.</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con apoyo del área de TI.</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POL-02, CT-03, CT-06 — Documentos 5 y 6.</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Revisión por la Dirección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Revisión ejecutiva del desempeño del SGSI: KPIs, incidentes, riesgos, auditorías previas, recursos necesarios.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Anual (mínimo). Semestral recomendado.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Director General con reporte del CISO.</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ISO/IEC 27001:2022 Cláusula 9.3. Cuadro de Mando del SGSI (Sección 9 de este documento).</w:t>
            </w:r>
          </w:p>
        </w:tc>
      </w:tr>
    </w:tbl>
    <w:p>
      <w:pPr>
        <w:spacing w:before="200"/>
      </w:pPr>
    </w:p>
    <w:p>
      <w:pPr>
        <w:pStyle w:val="Heading2"/>
        <w:spacing w:after="140" w:before="280"/>
      </w:pPr>
      <w:r>
        <w:rPr>
          <w:rFonts w:ascii="Arial" w:cs="Arial" w:eastAsia="Arial" w:hAnsi="Arial"/>
          <w:b/>
          <w:bCs/>
          <w:color w:val="2563EB"/>
          <w:sz w:val="28"/>
          <w:szCs w:val="28"/>
        </w:rPr>
        <w:t xml:space="preserve">10.3 Proceso de auditoría interna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000"/>
        <w:gridCol w:w="2360"/>
      </w:tblGrid>
      <w:tr>
        <w:trPr>
          <w:tblHeader/>
        </w:trPr>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Fase</w:t>
            </w:r>
          </w:p>
        </w:tc>
        <w:tc>
          <w:tcPr>
            <w:tcW w:type="dxa" w:w="3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Actividades</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2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Entregable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Planificación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Definir el alcance, los objetivos y los criterios de la auditoría. Seleccionar al equipo auditor. Notificar a las áreas auditadas con al menos 2 semanas de anticipación.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Auditor líder</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Plan de auditoría aprobado por Dirección</w:t>
            </w:r>
          </w:p>
        </w:tc>
      </w:tr>
      <w:tr>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 Preparación</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Revisar la documentación del SGSI. Preparar listas de verificación (checklists) basadas en los criterios de auditoría. Identificar fuentes de evidencia.</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Equipo auditor</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Checklists de auditoría + agenda de entrevistas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 Ejecución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Revisar documentos y registros. Entrevistar a responsables y usuarios de los controles. Observar procesos en operación. Recopilar evidencias.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Equipo auditor</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Notas de campo + evidencias recopiladas</w:t>
            </w:r>
          </w:p>
        </w:tc>
      </w:tr>
      <w:tr>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 Hallazgos</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Clasificar los hallazgos como: No Conformidad Mayor, No Conformidad Menor, u Oportunidad de Mejora. Comunicar los hallazgos preliminares al área auditada para comentarios.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Auditor líder + área auditada</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Lista de hallazgos clasificados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5. Informe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Redactar el Informe de Auditoría Interna con: alcance, metodología, hallazgos, no conformidades y recomendaciones. Presentar a la Dirección.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Auditor líder</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Informe de Auditoría Interna firmado</w:t>
            </w:r>
          </w:p>
        </w:tc>
      </w:tr>
      <w:tr>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 Acciones correctivas</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Por cada No Conformidad, el área responsable propone una acción correctiva con responsable y plazo. El CISO monitorea el cierre.</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Área auditada + CISO</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Plan de acciones correctivas con seguimiento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7. Seguimiento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Verificar que las acciones correctivas se ejecutaron efectivamente en el plazo comprometido. Cerrar formalmente la No Conformidad.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Auditor</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Registro de cierre de no conformidades</w:t>
            </w:r>
          </w:p>
        </w:tc>
      </w:tr>
    </w:tbl>
    <w:p>
      <w:pPr>
        <w:spacing w:before="200"/>
      </w:pPr>
    </w:p>
    <w:p>
      <w:pPr>
        <w:pStyle w:val="Heading2"/>
        <w:spacing w:after="140" w:before="280"/>
      </w:pPr>
      <w:r>
        <w:rPr>
          <w:rFonts w:ascii="Arial" w:cs="Arial" w:eastAsia="Arial" w:hAnsi="Arial"/>
          <w:b/>
          <w:bCs/>
          <w:color w:val="2563EB"/>
          <w:sz w:val="28"/>
          <w:szCs w:val="28"/>
        </w:rPr>
        <w:t xml:space="preserve">10.4 Clasificación de hallazgos de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960"/>
        <w:gridCol w:w="1800"/>
      </w:tblGrid>
      <w:tr>
        <w:trPr>
          <w:tblHeader/>
        </w:trPr>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 de hallazgo</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Definición</w:t>
            </w:r>
          </w:p>
        </w:tc>
        <w:tc>
          <w:tcPr>
            <w:tcW w:type="dxa" w:w="2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Ejemplos</w:t>
            </w:r>
          </w:p>
        </w:tc>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Plazo de corrección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 Conformidad Mayor (NCM)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Ausencia o falla sistemática de un requisito de ISO 27001 o de una política crítica. Pone en riesgo significativo la seguridad de la información.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Sistema crítico sin MFA. Sin proceso de gestión de riesgos. Sin inventario de activos actualizado. Sin proceso de respuesta a incidentes operativo.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30 días para implementar la corrección. Revisión de cierre obligatoria.</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 Conformidad Menor (NCm)</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Falla puntual o aislada en el cumplimiento de un requisito, sin impacto sistémico inmediato.</w:t>
            </w:r>
          </w:p>
        </w:tc>
        <w:tc>
          <w:tcPr>
            <w:tcW w:type="dxa" w:w="2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Un empleado con accesos no actualizados tras cambio de rol. Un backup sin prueba de restauración en el último mes. Un incidente P3 sin post-mortem documentado.</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60 días para implementar la corrección.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Oportunidad de Mejora (OM)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Situación que no incumple ningún requisito pero que podría mejorarse para fortalecer el SGSI.</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Proceso manual que podría automatizarse. Documentación que podría enriquecerse. Control que podría optimizarse.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90 días o en el siguiente ciclo de planificación.</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Observación (OBS)</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Hallazgo informativo sin impacto directo en el cumplimiento. Se documenta para seguimiento futuro.</w:t>
            </w:r>
          </w:p>
        </w:tc>
        <w:tc>
          <w:tcPr>
            <w:tcW w:type="dxa" w:w="2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Tendencia incipiente que podría convertirse en riesgo. Práctica informal que no genera incumplimiento pero que debería formalizarse.</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Seguimiento en la próxima auditoría.</w:t>
            </w:r>
          </w:p>
        </w:tc>
      </w:tr>
    </w:tbl>
    <w:p>
      <w:pPr>
        <w:spacing w:before="200"/>
      </w:pPr>
    </w:p>
    <w:p>
      <w:pPr>
        <w:pStyle w:val="Heading2"/>
        <w:spacing w:after="140" w:before="280"/>
      </w:pPr>
      <w:r>
        <w:rPr>
          <w:rFonts w:ascii="Arial" w:cs="Arial" w:eastAsia="Arial" w:hAnsi="Arial"/>
          <w:b/>
          <w:bCs/>
          <w:color w:val="2563EB"/>
          <w:sz w:val="28"/>
          <w:szCs w:val="28"/>
        </w:rPr>
        <w:t xml:space="preserve">10.5 Calendario de auditorías — Año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1600"/>
        <w:gridCol w:w="960"/>
      </w:tblGrid>
      <w:tr>
        <w:trPr>
          <w:tblHeader/>
        </w:trPr>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Período</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 de auditoría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Alcance principal</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Auditor</w:t>
            </w:r>
          </w:p>
        </w:tc>
        <w:tc>
          <w:tcPr>
            <w:tcW w:type="dxa" w:w="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T1 — Enero-Marzo 2026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Auditoría temática — Controles tecnológicos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Verificar implementación de CT-01 (MFA), CT-13 (logs), CT-22 (escaneo secretos) y CT-29 (backups). Los controles de implementación inmediata.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programar</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T2 — Abril-Junio 2026</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Auditoría de accesos y privilegios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Revisar accesos activos en todos los sistemas críticos. Verificar revocaciones de ex-empleados. Revisar cuentas con privilegios excesivos.</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representante Dirección</w:t>
            </w:r>
          </w:p>
        </w:tc>
        <w:tc>
          <w:tcPr>
            <w:tcW w:type="dxa" w:w="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programar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T3 — Julio-Septiembre 2026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Auditoría de cumplimiento LFPDPPP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Revisar aviso de privacidad, medidas de seguridad implementadas, registro de solicitudes ARCO, documentación del DPO.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 + CISO</w:t>
            </w:r>
          </w:p>
        </w:tc>
        <w:tc>
          <w:tcPr>
            <w:tcW w:type="dxa" w:w="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programar</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T4 — Octubre-Diciembre 2026</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Auditoría interna completa del SGSI (año 1)</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Revisión integral de todos los documentos del repositorio SGSI_NovaTech/, evidencias de implementación, KPIs del año, no conformidades abiertas.</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Auditor externo o interno designado por la Dirección</w:t>
            </w:r>
          </w:p>
        </w:tc>
        <w:tc>
          <w:tcPr>
            <w:tcW w:type="dxa" w:w="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programar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Diciembre 2026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Revisión por la Dirección (anual)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Presentación del Cuadro de Mando completo. Estado del SGSI. Decisiones sobre recursos y mejoras para el año siguiente.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Director General + CISO</w:t>
            </w:r>
          </w:p>
        </w:tc>
        <w:tc>
          <w:tcPr>
            <w:tcW w:type="dxa" w:w="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programar</w:t>
            </w:r>
          </w:p>
        </w:tc>
      </w:tr>
    </w:tbl>
    <w:p>
      <w:pPr>
        <w:spacing w:before="200"/>
      </w:pPr>
    </w:p>
    <w:p>
      <w:pPr>
        <w:pStyle w:val="Heading2"/>
        <w:spacing w:after="140" w:before="280"/>
      </w:pPr>
      <w:r>
        <w:rPr>
          <w:rFonts w:ascii="Arial" w:cs="Arial" w:eastAsia="Arial" w:hAnsi="Arial"/>
          <w:b/>
          <w:bCs/>
          <w:color w:val="2563EB"/>
          <w:sz w:val="28"/>
          <w:szCs w:val="28"/>
        </w:rPr>
        <w:t xml:space="preserve">10.6 Registro de auditorías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1600"/>
        <w:gridCol w:w="2000"/>
        <w:gridCol w:w="760"/>
      </w:tblGrid>
      <w:tr>
        <w:trPr>
          <w:tblHeader/>
        </w:trPr>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Fecha</w:t>
            </w:r>
          </w:p>
        </w:tc>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Alcance</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Auditor</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No conformidades</w:t>
            </w:r>
          </w:p>
        </w:tc>
        <w:tc>
          <w:tcPr>
            <w:tcW w:type="dxa" w:w="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 2026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Primera auditoría temática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Controles de implementación inmediata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 designar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 determinar</w:t>
            </w:r>
          </w:p>
        </w:tc>
        <w:tc>
          <w:tcPr>
            <w:tcW w:type="dxa" w:w="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 iniciada</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11. Revisión por la Dirección</w:t>
      </w:r>
    </w:p>
    <w:p>
      <w:pPr>
        <w:spacing w:after="80" w:before="80"/>
      </w:pPr>
      <w:r>
        <w:rPr>
          <w:rFonts w:ascii="Arial" w:cs="Arial" w:eastAsia="Arial" w:hAnsi="Arial"/>
          <w:color w:val="374151"/>
          <w:sz w:val="22"/>
          <w:szCs w:val="22"/>
        </w:rPr>
        <w:t xml:space="preserve">La revisión por la Dirección es el mecanismo más alto del ciclo PDCA del SGSI. Es la instancia donde la Dirección General evalúa si el sistema está siendo efectivo y toma decisiones sobre recursos, prioridades y mejoras para el siguiente período.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Elemento de la revisión</w:t>
            </w:r>
          </w:p>
        </w:tc>
        <w:tc>
          <w:tcPr>
            <w:tcW w:type="dxa" w:w="4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Insumos requeridos</w:t>
            </w:r>
          </w:p>
        </w:tc>
        <w:tc>
          <w:tcPr>
            <w:tcW w:type="dxa" w:w="2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Fuente de información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Estado de los KPIs del SGSI</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Cuadro de Mando completo (Sección 9 de este documento) con datos del período.</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métricas de los 28 KPIs</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Estado de los riesgos</w:t>
            </w:r>
          </w:p>
        </w:tc>
        <w:tc>
          <w:tcPr>
            <w:tcW w:type="dxa" w:w="4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Perfil de riesgo actual vs. período anterior. Riesgos nuevos identificados. Riesgos tratados.</w:t>
            </w:r>
          </w:p>
        </w:tc>
        <w:tc>
          <w:tcPr>
            <w:tcW w:type="dxa" w:w="2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Registro de Riesgos — Documento 4</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Resultados de auditorías internas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Informe de auditoría(s) del período. No conformidades abiertas y estado de cierre.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Informes de auditoría — Sección 10 de este documento</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Estado de incidentes</w:t>
            </w:r>
          </w:p>
        </w:tc>
        <w:tc>
          <w:tcPr>
            <w:tcW w:type="dxa" w:w="4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Resumen de incidentes del período: total, por tipo, MTTD, MTTR, lecciones aprendidas relevantes.</w:t>
            </w:r>
          </w:p>
        </w:tc>
        <w:tc>
          <w:tcPr>
            <w:tcW w:type="dxa" w:w="2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Registro de Incidentes — Documento 8</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Estado de la capacitación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Cobertura, tasa de aprobación, resultados de simulacros de phishing.</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Registros del programa — Documento 9</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Estado del cumplimiento normativo</w:t>
            </w:r>
          </w:p>
        </w:tc>
        <w:tc>
          <w:tcPr>
            <w:tcW w:type="dxa" w:w="4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Grado de cumplimiento LFPDPPP. Solicitudes ARCO atendidas. Notificaciones al INAI.</w:t>
            </w:r>
          </w:p>
        </w:tc>
        <w:tc>
          <w:tcPr>
            <w:tcW w:type="dxa" w:w="2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Informe del DPO — Documento 11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Cambios en el contexto</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Cambios en la organización, tecnología, regulación o panorama de amenazas que afecten al SGSI.</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Gerentes de área</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Recursos necesarios</w:t>
            </w:r>
          </w:p>
        </w:tc>
        <w:tc>
          <w:tcPr>
            <w:tcW w:type="dxa" w:w="4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Recursos humanos, tecnológicos y financieros requeridos para el siguiente período.</w:t>
            </w:r>
          </w:p>
        </w:tc>
        <w:tc>
          <w:tcPr>
            <w:tcW w:type="dxa" w:w="2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con presupuesto estimado</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12.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200"/>
        <w:gridCol w:w="3660"/>
      </w:tblGrid>
      <w:tr>
        <w:trPr>
          <w:tblHeader/>
        </w:trPr>
        <w:tc>
          <w:tcPr>
            <w:tcW w:type="dxa" w:w="1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Versión</w:t>
            </w:r>
          </w:p>
        </w:tc>
        <w:tc>
          <w:tcPr>
            <w:tcW w:type="dxa" w:w="1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Fecha</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Autor</w:t>
            </w:r>
          </w:p>
        </w:tc>
        <w:tc>
          <w:tcPr>
            <w:tcW w:type="dxa" w:w="36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2026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Comité de Seguridad de la Información</w:t>
            </w:r>
          </w:p>
        </w:tc>
        <w:tc>
          <w:tcPr>
            <w:tcW w:type="dxa" w:w="3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Versión inicial del marco de métricas (28 KPIs) y plan de auditoría interna del SGSI de NovaTech Solutions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El ciclo de mejora continua en la práctica</w:t>
            </w:r>
          </w:p>
          <w:p>
            <w:pPr>
              <w:pStyle w:val="ListParagraph"/>
              <w:numPr>
                <w:ilvl w:val="0"/>
                <w:numId w:val="2"/>
              </w:numPr>
              <w:spacing w:after="40" w:before="40"/>
            </w:pPr>
            <w:r>
              <w:rPr>
                <w:rFonts w:ascii="Arial" w:cs="Arial" w:eastAsia="Arial" w:hAnsi="Arial"/>
                <w:color w:val="374151"/>
                <w:sz w:val="21"/>
                <w:szCs w:val="21"/>
              </w:rPr>
              <w:t xml:space="preserve">Las métricas sin acciones son estadísticas. Las auditorías sin correcciones son ceremonias. La revisión por la Dirección sin decisiones es teatro.</w:t>
            </w:r>
          </w:p>
          <w:p>
            <w:pPr>
              <w:pStyle w:val="ListParagraph"/>
              <w:numPr>
                <w:ilvl w:val="0"/>
                <w:numId w:val="2"/>
              </w:numPr>
              <w:spacing w:after="40" w:before="40"/>
            </w:pPr>
            <w:r>
              <w:rPr>
                <w:rFonts w:ascii="Arial" w:cs="Arial" w:eastAsia="Arial" w:hAnsi="Arial"/>
                <w:color w:val="374151"/>
                <w:sz w:val="21"/>
                <w:szCs w:val="21"/>
              </w:rPr>
              <w:t xml:space="preserve">El valor de este documento se realiza cuando: (1) los KPIs se calculan cada período, (2) los resultados generan decisiones concretas, (3) las no conformidades de auditoría se cierran en el plazo comprometido, y (4) la Dirección asigna los recursos que el SGSI necesita para mejorar.</w:t>
            </w:r>
          </w:p>
          <w:p>
            <w:pPr>
              <w:pStyle w:val="ListParagraph"/>
              <w:numPr>
                <w:ilvl w:val="0"/>
                <w:numId w:val="2"/>
              </w:numPr>
              <w:spacing w:after="40" w:before="40"/>
            </w:pPr>
            <w:r>
              <w:rPr>
                <w:rFonts w:ascii="Arial" w:cs="Arial" w:eastAsia="Arial" w:hAnsi="Arial"/>
                <w:color w:val="374151"/>
                <w:sz w:val="21"/>
                <w:szCs w:val="21"/>
              </w:rPr>
              <w:t xml:space="preserve">El conjunto de 28 KPIs cubre todos los componentes del SGSI y alimenta directamente la Revisión por la Dirección (Cláusula 9.3 de ISO 27001), cerrando el ciclo PDCA del sistema.</w:t>
            </w:r>
          </w:p>
        </w:tc>
      </w:tr>
    </w:tbl>
    <w:p>
      <w:pP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3"/>
      </w:pBdr>
      <w:spacing w:before="80"/>
      <w:jc w:val="center"/>
    </w:pPr>
    <w:r>
      <w:rPr>
        <w:rFonts w:ascii="Arial" w:cs="Arial" w:eastAsia="Arial" w:hAnsi="Arial"/>
        <w:color w:val="374151"/>
        <w:sz w:val="16"/>
        <w:szCs w:val="16"/>
      </w:rPr>
      <w:t xml:space="preserve">Confidencial  |  NovaTech Solutions  |  Página </w:t>
    </w:r>
    <w:r>
      <w:rPr>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de </w:t>
    </w:r>
    <w:r>
      <w:rPr>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3"/>
      </w:pBdr>
      <w:spacing w:after="80" w:before="0"/>
    </w:pPr>
    <w:r>
      <w:rPr>
        <w:rFonts w:ascii="Arial" w:cs="Arial" w:eastAsia="Arial" w:hAnsi="Arial"/>
        <w:b/>
        <w:bCs/>
        <w:color w:val="1B3A6B"/>
        <w:sz w:val="18"/>
        <w:szCs w:val="18"/>
      </w:rPr>
      <w:t xml:space="preserve">SGSI — NovaTech Solutions</w:t>
    </w:r>
    <w:r>
      <w:rPr>
        <w:rFonts w:ascii="Arial" w:cs="Arial" w:eastAsia="Arial" w:hAnsi="Arial"/>
        <w:color w:val="374151"/>
        <w:sz w:val="18"/>
        <w:szCs w:val="18"/>
      </w:rPr>
      <w:t xml:space="preserve">     |     Métricas y Auditoría del SGSI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2026-04-05T02:29:51.044Z</dcterms:created>
  <dcterms:modified xsi:type="dcterms:W3CDTF">2026-04-05T02:29:51.046Z</dcterms:modified>
</cp:coreProperties>
</file>

<file path=docProps/custom.xml><?xml version="1.0" encoding="utf-8"?>
<Properties xmlns="http://schemas.openxmlformats.org/officeDocument/2006/custom-properties" xmlns:vt="http://schemas.openxmlformats.org/officeDocument/2006/docPropsVTypes"/>
</file>