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60"/>
        </w:pBdr>
      </w:pPr>
    </w:p>
    <w:p>
      <w:pPr>
        <w:spacing w:before="1440"/>
      </w:pPr>
    </w:p>
    <w:p>
      <w:pPr>
        <w:spacing w:after="200" w:before="0"/>
        <w:jc w:val="center"/>
      </w:pPr>
      <w:r>
        <w:rPr>
          <w:rFonts w:ascii="Arial" w:cs="Arial" w:eastAsia="Arial" w:hAnsi="Arial"/>
          <w:b/>
          <w:bCs/>
          <w:caps/>
          <w:color w:val="1B3A6B"/>
          <w:sz w:val="36"/>
          <w:szCs w:val="36"/>
        </w:rPr>
        <w:t xml:space="preserve">SISTEMA DE GESTIÓN DE SEGURIDAD DE LA INFORMACIÓN</w:t>
      </w:r>
    </w:p>
    <w:p>
      <w:pPr>
        <w:spacing w:after="160" w:before="0"/>
        <w:jc w:val="center"/>
      </w:pPr>
      <w:r>
        <w:rPr>
          <w:rFonts w:ascii="Arial" w:cs="Arial" w:eastAsia="Arial" w:hAnsi="Arial"/>
          <w:b/>
          <w:bCs/>
          <w:color w:val="2563EB"/>
          <w:sz w:val="52"/>
          <w:szCs w:val="52"/>
        </w:rPr>
        <w:t xml:space="preserve">POLÍTICAS DE SEGURIDAD</w:t>
      </w:r>
    </w:p>
    <w:p>
      <w:pPr>
        <w:spacing w:after="480" w:before="0"/>
        <w:jc w:val="center"/>
      </w:pPr>
      <w:r>
        <w:rPr>
          <w:rFonts w:ascii="Arial" w:cs="Arial" w:eastAsia="Arial" w:hAnsi="Arial"/>
          <w:i/>
          <w:iCs/>
          <w:color w:val="374151"/>
          <w:sz w:val="22"/>
          <w:szCs w:val="22"/>
        </w:rPr>
        <w:t xml:space="preserve">Documento 5 del Repositorio SGSI_NovaTech/</w:t>
      </w:r>
    </w:p>
    <w:p>
      <w:pPr>
        <w:spacing w:after="120" w:before="0"/>
        <w:jc w:val="center"/>
      </w:pPr>
      <w:r>
        <w:rPr>
          <w:rFonts w:ascii="Arial" w:cs="Arial" w:eastAsia="Arial" w:hAnsi="Arial"/>
          <w:b/>
          <w:bCs/>
          <w:color w:val="374151"/>
          <w:sz w:val="36"/>
          <w:szCs w:val="36"/>
        </w:rPr>
        <w:t xml:space="preserve">NovaTech Solutions</w:t>
      </w:r>
    </w:p>
    <w:p>
      <w:pPr>
        <w:spacing w:after="720" w:before="0"/>
        <w:jc w:val="center"/>
      </w:pPr>
      <w:r>
        <w:rPr>
          <w:rFonts w:ascii="Arial" w:cs="Arial" w:eastAsia="Arial" w:hAnsi="Arial"/>
          <w:color w:val="374151"/>
          <w:sz w:val="24"/>
          <w:szCs w:val="24"/>
        </w:rPr>
        <w:t xml:space="preserve">Monterrey, Nuevo León, México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Inicial</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Confidencial — Uso interno</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Borrador para aprobación por Dirección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Elaborado por</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Comité de Seguridad de la Información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2026</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Referencia normativa</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ISO/IEC 27001:2022 — Cláusula 5 y Anexo A | LFPDPPP</w:t>
            </w:r>
          </w:p>
        </w:tc>
      </w:tr>
    </w:tbl>
    <w:p>
      <w:pPr>
        <w:spacing w:before="1440"/>
      </w:pPr>
    </w:p>
    <w:p>
      <w:pPr>
        <w:pBdr>
          <w:top w:val="single" w:color="2563EB" w:sz="8" w:space="4"/>
        </w:pBdr>
        <w:spacing w:before="120"/>
        <w:jc w:val="center"/>
      </w:pPr>
      <w:r>
        <w:rPr>
          <w:rFonts w:ascii="Arial" w:cs="Arial" w:eastAsia="Arial" w:hAnsi="Arial"/>
          <w:i/>
          <w:iCs/>
          <w:color w:val="374151"/>
          <w:sz w:val="18"/>
          <w:szCs w:val="18"/>
        </w:rPr>
        <w:t xml:space="preserve">Misión: Blindaje Organizacional  |  Comité de Seguridad de la Información</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 Marco General de Políticas de Seguridad</w:t>
      </w:r>
    </w:p>
    <w:p>
      <w:pPr>
        <w:pStyle w:val="Heading2"/>
        <w:spacing w:after="140" w:before="280"/>
      </w:pPr>
      <w:r>
        <w:rPr>
          <w:rFonts w:ascii="Arial" w:cs="Arial" w:eastAsia="Arial" w:hAnsi="Arial"/>
          <w:b/>
          <w:bCs/>
          <w:color w:val="2563EB"/>
          <w:sz w:val="28"/>
          <w:szCs w:val="28"/>
        </w:rPr>
        <w:t xml:space="preserve">1.1 Propósito</w:t>
      </w:r>
    </w:p>
    <w:p>
      <w:pPr>
        <w:spacing w:after="80" w:before="80"/>
      </w:pPr>
      <w:r>
        <w:rPr>
          <w:rFonts w:ascii="Arial" w:cs="Arial" w:eastAsia="Arial" w:hAnsi="Arial"/>
          <w:color w:val="374151"/>
          <w:sz w:val="22"/>
          <w:szCs w:val="22"/>
        </w:rPr>
        <w:t xml:space="preserve">El presente documento establece el conjunto de políticas de seguridad de la información de NovaTech Solutions. Estas políticas definen las reglas, obligaciones y lineamientos que todo el personal —empleados, contratistas y proveedores con acceso a sistemas corporativos— debe conocer, comprender y cumplir como condición de su relación con la organización.</w:t>
      </w:r>
    </w:p>
    <w:p>
      <w:pPr>
        <w:spacing w:after="80" w:before="80"/>
      </w:pPr>
      <w:r>
        <w:rPr>
          <w:rFonts w:ascii="Arial" w:cs="Arial" w:eastAsia="Arial" w:hAnsi="Arial"/>
          <w:color w:val="374151"/>
          <w:sz w:val="22"/>
          <w:szCs w:val="22"/>
        </w:rPr>
        <w:t xml:space="preserve">Las políticas de seguridad son el primer nivel de la jerarquía documental del SGSI: establecen el qué y el por qué de cada obligación, mientras que los procedimientos operativos (Documentos 6 al 11) detallan el cómo.</w:t>
      </w:r>
    </w:p>
    <w:p>
      <w:pPr>
        <w:pStyle w:val="Heading2"/>
        <w:spacing w:after="140" w:before="280"/>
      </w:pPr>
      <w:r>
        <w:rPr>
          <w:rFonts w:ascii="Arial" w:cs="Arial" w:eastAsia="Arial" w:hAnsi="Arial"/>
          <w:b/>
          <w:bCs/>
          <w:color w:val="2563EB"/>
          <w:sz w:val="28"/>
          <w:szCs w:val="28"/>
        </w:rPr>
        <w:t xml:space="preserve">1.2 Fundamento normativo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Marco de referencia</w:t>
            </w:r>
          </w:p>
        </w:tc>
        <w:tc>
          <w:tcPr>
            <w:tcW w:type="dxa" w:w="6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Relación con las políticas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ISO/IEC 27001:2022 — Cláusula 5.2</w:t>
            </w:r>
          </w:p>
        </w:tc>
        <w:tc>
          <w:tcPr>
            <w:tcW w:type="dxa" w:w="6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Requisito de que la Dirección establezca una Política de Seguridad de la Información.</w:t>
            </w:r>
          </w:p>
        </w:tc>
      </w:tr>
      <w:tr>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ISO/IEC 27001:2022 — Cláusula 5.3</w:t>
            </w:r>
          </w:p>
        </w:tc>
        <w:tc>
          <w:tcPr>
            <w:tcW w:type="dxa" w:w="6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Requisito de definir roles y responsabilidades relacionadas con la seguridad.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ISO/IEC 27001:2022 — Anexo A</w:t>
            </w:r>
          </w:p>
        </w:tc>
        <w:tc>
          <w:tcPr>
            <w:tcW w:type="dxa" w:w="6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Controles de referencia que se materializan como políticas específicas.</w:t>
            </w:r>
          </w:p>
        </w:tc>
      </w:tr>
      <w:tr>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LFPDPPP — Arts. 8, 19, 20</w:t>
            </w:r>
          </w:p>
        </w:tc>
        <w:tc>
          <w:tcPr>
            <w:tcW w:type="dxa" w:w="6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Obligación de implementar medidas de seguridad para datos personales.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Documento 4 — Gestión de riesgos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Las políticas son la respuesta organizacional a los riesgos identificados con OCTAVE Allegro.</w:t>
            </w:r>
          </w:p>
        </w:tc>
      </w:tr>
    </w:tbl>
    <w:p>
      <w:pPr>
        <w:spacing w:before="200"/>
      </w:pPr>
    </w:p>
    <w:p>
      <w:pPr>
        <w:pStyle w:val="Heading2"/>
        <w:spacing w:after="140" w:before="280"/>
      </w:pPr>
      <w:r>
        <w:rPr>
          <w:rFonts w:ascii="Arial" w:cs="Arial" w:eastAsia="Arial" w:hAnsi="Arial"/>
          <w:b/>
          <w:bCs/>
          <w:color w:val="2563EB"/>
          <w:sz w:val="28"/>
          <w:szCs w:val="28"/>
        </w:rPr>
        <w:t xml:space="preserve">1.3 Políticas incluidas en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4460"/>
      </w:tblGrid>
      <w:tr>
        <w:trPr>
          <w:tblHeader/>
        </w:trPr>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3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Nombre de la política</w:t>
            </w:r>
          </w:p>
        </w:tc>
        <w:tc>
          <w:tcPr>
            <w:tcW w:type="dxa" w:w="44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Riesgos que atiende (Doc. 4)</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POL-01</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Política General de Seguridad de la Información</w:t>
            </w:r>
          </w:p>
        </w:tc>
        <w:tc>
          <w:tcPr>
            <w:tcW w:type="dxa" w:w="4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Todos los escenarios de riesgo identificados</w:t>
            </w:r>
          </w:p>
        </w:tc>
      </w:tr>
      <w:tr>
        <w:tc>
          <w:tcPr>
            <w:tcW w:type="dxa" w:w="11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POL-02</w:t>
            </w:r>
          </w:p>
        </w:tc>
        <w:tc>
          <w:tcPr>
            <w:tcW w:type="dxa" w:w="3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Política de Control de Accesos</w:t>
            </w:r>
          </w:p>
        </w:tc>
        <w:tc>
          <w:tcPr>
            <w:tcW w:type="dxa" w:w="4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A-01, A-02, A-09, A-13, A-14, A-21</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POL-03</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Política de Uso Aceptable de Recursos y Activos</w:t>
            </w:r>
          </w:p>
        </w:tc>
        <w:tc>
          <w:tcPr>
            <w:tcW w:type="dxa" w:w="4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A-02, A-05, A-07, A-09, A-20, A-22</w:t>
            </w:r>
          </w:p>
        </w:tc>
      </w:tr>
      <w:tr>
        <w:tc>
          <w:tcPr>
            <w:tcW w:type="dxa" w:w="11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POL-04</w:t>
            </w:r>
          </w:p>
        </w:tc>
        <w:tc>
          <w:tcPr>
            <w:tcW w:type="dxa" w:w="3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Política de Gestión de Contraseñas</w:t>
            </w:r>
          </w:p>
        </w:tc>
        <w:tc>
          <w:tcPr>
            <w:tcW w:type="dxa" w:w="4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A-01, A-11, A-12, A-13, A-14</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POL-05</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Política de Clasificación y Manejo de Información</w:t>
            </w:r>
          </w:p>
        </w:tc>
        <w:tc>
          <w:tcPr>
            <w:tcW w:type="dxa" w:w="4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A-03, A-05, A-07, A-20, A-22</w:t>
            </w:r>
          </w:p>
        </w:tc>
      </w:tr>
      <w:tr>
        <w:tc>
          <w:tcPr>
            <w:tcW w:type="dxa" w:w="11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POL-06</w:t>
            </w:r>
          </w:p>
        </w:tc>
        <w:tc>
          <w:tcPr>
            <w:tcW w:type="dxa" w:w="3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Política de Seguridad en el Desarrollo de Software</w:t>
            </w:r>
          </w:p>
        </w:tc>
        <w:tc>
          <w:tcPr>
            <w:tcW w:type="dxa" w:w="4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A-03, A-04, A-05, A-06, A-17</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POL-07</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Política de Gestión de Incidentes de Seguridad</w:t>
            </w:r>
          </w:p>
        </w:tc>
        <w:tc>
          <w:tcPr>
            <w:tcW w:type="dxa" w:w="4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A-01 al A-23 (respuesta a todos los escenarios)</w:t>
            </w:r>
          </w:p>
        </w:tc>
      </w:tr>
      <w:tr>
        <w:tc>
          <w:tcPr>
            <w:tcW w:type="dxa" w:w="11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POL-08</w:t>
            </w:r>
          </w:p>
        </w:tc>
        <w:tc>
          <w:tcPr>
            <w:tcW w:type="dxa" w:w="3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Política de Escritorios Limpios y Pantallas Limpias</w:t>
            </w:r>
          </w:p>
        </w:tc>
        <w:tc>
          <w:tcPr>
            <w:tcW w:type="dxa" w:w="4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A-02, A-22</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POL-09</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Política de Gestión de Terceros y Proveedores</w:t>
            </w:r>
          </w:p>
        </w:tc>
        <w:tc>
          <w:tcPr>
            <w:tcW w:type="dxa" w:w="4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A-04, A-13, A-16, A-19</w:t>
            </w:r>
          </w:p>
        </w:tc>
      </w:tr>
      <w:tr>
        <w:tc>
          <w:tcPr>
            <w:tcW w:type="dxa" w:w="11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POL-10</w:t>
            </w:r>
          </w:p>
        </w:tc>
        <w:tc>
          <w:tcPr>
            <w:tcW w:type="dxa" w:w="3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Política de Copias de Seguridad (Backups)</w:t>
            </w:r>
          </w:p>
        </w:tc>
        <w:tc>
          <w:tcPr>
            <w:tcW w:type="dxa" w:w="4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A-08, A-10, A-15, A-18, A-23</w:t>
            </w:r>
          </w:p>
        </w:tc>
      </w:tr>
    </w:tbl>
    <w:p>
      <w:pPr>
        <w:spacing w:before="200"/>
      </w:pPr>
    </w:p>
    <w:p>
      <w:pPr>
        <w:pStyle w:val="Heading2"/>
        <w:spacing w:after="140" w:before="280"/>
      </w:pPr>
      <w:r>
        <w:rPr>
          <w:rFonts w:ascii="Arial" w:cs="Arial" w:eastAsia="Arial" w:hAnsi="Arial"/>
          <w:b/>
          <w:bCs/>
          <w:color w:val="2563EB"/>
          <w:sz w:val="28"/>
          <w:szCs w:val="28"/>
        </w:rPr>
        <w:t xml:space="preserve">1.4 Obligatoriedad y consecuencias del incumplimiento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single" w:color="991B1B" w:sz="8"/>
              <w:bottom w:val="single" w:color="991B1B" w:sz="8"/>
              <w:right w:val="single" w:color="991B1B" w:sz="8"/>
            </w:tcBorders>
            <w:shd w:fill="FEE2E2" w:val="clear"/>
            <w:tcMar>
              <w:top w:type="dxa" w:w="120"/>
              <w:left w:type="dxa" w:w="160"/>
              <w:bottom w:type="dxa" w:w="120"/>
              <w:right w:type="dxa" w:w="160"/>
            </w:tcMar>
          </w:tcPr>
          <w:p>
            <w:pPr>
              <w:spacing w:after="80" w:before="60"/>
            </w:pPr>
            <w:r>
              <w:rPr>
                <w:rFonts w:ascii="Arial" w:cs="Arial" w:eastAsia="Arial" w:hAnsi="Arial"/>
                <w:b/>
                <w:bCs/>
                <w:color w:val="991B1B"/>
                <w:sz w:val="22"/>
                <w:szCs w:val="22"/>
              </w:rPr>
              <w:t xml:space="preserve">Declaración de obligatoriedad</w:t>
            </w:r>
          </w:p>
          <w:p>
            <w:pPr>
              <w:pStyle w:val="ListParagraph"/>
              <w:numPr>
                <w:ilvl w:val="0"/>
                <w:numId w:val="2"/>
              </w:numPr>
              <w:spacing w:after="40" w:before="40"/>
            </w:pPr>
            <w:r>
              <w:rPr>
                <w:rFonts w:ascii="Arial" w:cs="Arial" w:eastAsia="Arial" w:hAnsi="Arial"/>
                <w:color w:val="374151"/>
                <w:sz w:val="21"/>
                <w:szCs w:val="21"/>
              </w:rPr>
              <w:t xml:space="preserve">Todas las políticas contenidas en este documento son de cumplimiento OBLIGATORIO para todos los empleados, contratistas y proveedores de NovaTech Solutions con acceso a activos de información corporativos.</w:t>
            </w:r>
          </w:p>
          <w:p>
            <w:pPr>
              <w:pStyle w:val="ListParagraph"/>
              <w:numPr>
                <w:ilvl w:val="0"/>
                <w:numId w:val="2"/>
              </w:numPr>
              <w:spacing w:after="40" w:before="40"/>
            </w:pPr>
            <w:r>
              <w:rPr>
                <w:rFonts w:ascii="Arial" w:cs="Arial" w:eastAsia="Arial" w:hAnsi="Arial"/>
                <w:color w:val="374151"/>
                <w:sz w:val="21"/>
                <w:szCs w:val="21"/>
              </w:rPr>
              <w:t xml:space="preserve">El incumplimiento de estas políticas puede derivar en medidas disciplinarias que van desde una amonestación formal hasta la terminación de la relación laboral o contractual, según la gravedad del caso.</w:t>
            </w:r>
          </w:p>
          <w:p>
            <w:pPr>
              <w:pStyle w:val="ListParagraph"/>
              <w:numPr>
                <w:ilvl w:val="0"/>
                <w:numId w:val="2"/>
              </w:numPr>
              <w:spacing w:after="40" w:before="40"/>
            </w:pPr>
            <w:r>
              <w:rPr>
                <w:rFonts w:ascii="Arial" w:cs="Arial" w:eastAsia="Arial" w:hAnsi="Arial"/>
                <w:color w:val="374151"/>
                <w:sz w:val="21"/>
                <w:szCs w:val="21"/>
              </w:rPr>
              <w:t xml:space="preserve">En caso de que el incumplimiento derive en violaciones a la LFPDPPP u otras disposiciones legales, NovaTech Solutions se reserva el derecho de emprender acciones legales adicionales.</w:t>
            </w:r>
          </w:p>
          <w:p>
            <w:pPr>
              <w:pStyle w:val="ListParagraph"/>
              <w:numPr>
                <w:ilvl w:val="0"/>
                <w:numId w:val="2"/>
              </w:numPr>
              <w:spacing w:after="40" w:before="40"/>
            </w:pPr>
            <w:r>
              <w:rPr>
                <w:rFonts w:ascii="Arial" w:cs="Arial" w:eastAsia="Arial" w:hAnsi="Arial"/>
                <w:color w:val="374151"/>
                <w:sz w:val="21"/>
                <w:szCs w:val="21"/>
              </w:rPr>
              <w:t xml:space="preserve">Todos los empleados deben firmar un acuse de recibo de estas políticas al momento de su incorporación y cada vez que sean actualizadas significativamente.</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2. POL-01 — Política General de Seguridad de la Información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Política General de Seguridad de la Información</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ID de política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POL-01</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Versión</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1.0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Fecha de emisión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2026</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Aprueba</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Director General de NovaTech Solutions</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Aplica 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Todos los empleados, contratistas y proveedores con acceso a activos de información</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Referencias normativas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ISO/IEC 27001:2022 Cláusula 5.2 | LFPDPPP Arts. 19-20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Riesgos que atiende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Todos los escenarios de riesgo identificados en el Documento 4</w:t>
            </w:r>
          </w:p>
        </w:tc>
      </w:tr>
    </w:tbl>
    <w:p>
      <w:pPr>
        <w:spacing w:before="200"/>
      </w:pPr>
    </w:p>
    <w:p>
      <w:pPr>
        <w:pStyle w:val="Heading2"/>
        <w:spacing w:after="140" w:before="280"/>
      </w:pPr>
      <w:r>
        <w:rPr>
          <w:rFonts w:ascii="Arial" w:cs="Arial" w:eastAsia="Arial" w:hAnsi="Arial"/>
          <w:b/>
          <w:bCs/>
          <w:color w:val="2563EB"/>
          <w:sz w:val="28"/>
          <w:szCs w:val="28"/>
        </w:rPr>
        <w:t xml:space="preserve">2.1 Declaración de la Dirección</w:t>
      </w:r>
    </w:p>
    <w:p>
      <w:pPr>
        <w:spacing w:after="80" w:before="80"/>
      </w:pPr>
      <w:r>
        <w:rPr>
          <w:rFonts w:ascii="Arial" w:cs="Arial" w:eastAsia="Arial" w:hAnsi="Arial"/>
          <w:color w:val="374151"/>
          <w:sz w:val="22"/>
          <w:szCs w:val="22"/>
        </w:rPr>
        <w:t xml:space="preserve">NovaTech Solutions reconoce que la información es uno de sus activos más valiosos y que su protección es fundamental para la continuidad del negocio, la confianza de los clientes y el cumplimiento de las obligaciones legales aplicables.</w:t>
      </w:r>
    </w:p>
    <w:p>
      <w:pPr>
        <w:spacing w:after="80" w:before="80"/>
      </w:pPr>
      <w:r>
        <w:rPr>
          <w:rFonts w:ascii="Arial" w:cs="Arial" w:eastAsia="Arial" w:hAnsi="Arial"/>
          <w:color w:val="374151"/>
          <w:sz w:val="22"/>
          <w:szCs w:val="22"/>
        </w:rPr>
        <w:t xml:space="preserve">La Dirección General de NovaTech Solutions se compromete a gestionar la seguridad de la información como una prioridad estratégica, asignando los recursos necesarios para diseñar, implementar, mantener y mejorar continuamente el Sistema de Gestión de Seguridad de la Información (SGSI).</w:t>
      </w:r>
    </w:p>
    <w:p>
      <w:pPr>
        <w:pStyle w:val="Heading2"/>
        <w:spacing w:after="140" w:before="280"/>
      </w:pPr>
      <w:r>
        <w:rPr>
          <w:rFonts w:ascii="Arial" w:cs="Arial" w:eastAsia="Arial" w:hAnsi="Arial"/>
          <w:b/>
          <w:bCs/>
          <w:color w:val="2563EB"/>
          <w:sz w:val="28"/>
          <w:szCs w:val="28"/>
        </w:rPr>
        <w:t xml:space="preserve">2.2 Objetivos de seguridad de la información</w:t>
      </w:r>
    </w:p>
    <w:p>
      <w:pPr>
        <w:pStyle w:val="ListParagraph"/>
        <w:numPr>
          <w:ilvl w:val="0"/>
          <w:numId w:val="2"/>
        </w:numPr>
        <w:spacing w:after="60" w:before="60"/>
      </w:pPr>
      <w:r>
        <w:rPr>
          <w:rFonts w:ascii="Arial" w:cs="Arial" w:eastAsia="Arial" w:hAnsi="Arial"/>
          <w:color w:val="374151"/>
          <w:sz w:val="22"/>
          <w:szCs w:val="22"/>
        </w:rPr>
        <w:t xml:space="preserve">Proteger la confidencialidad, integridad y disponibilidad de toda la información gestionada por NovaTech Solutions.</w:t>
      </w:r>
    </w:p>
    <w:p>
      <w:pPr>
        <w:pStyle w:val="ListParagraph"/>
        <w:numPr>
          <w:ilvl w:val="0"/>
          <w:numId w:val="2"/>
        </w:numPr>
        <w:spacing w:after="60" w:before="60"/>
      </w:pPr>
      <w:r>
        <w:rPr>
          <w:rFonts w:ascii="Arial" w:cs="Arial" w:eastAsia="Arial" w:hAnsi="Arial"/>
          <w:color w:val="374151"/>
          <w:sz w:val="22"/>
          <w:szCs w:val="22"/>
        </w:rPr>
        <w:t xml:space="preserve">Garantizar el cumplimiento de la Ley Federal de Protección de Datos Personales en Posesión de los Particulares (LFPDPPP) y demás regulaciones aplicables.</w:t>
      </w:r>
    </w:p>
    <w:p>
      <w:pPr>
        <w:pStyle w:val="ListParagraph"/>
        <w:numPr>
          <w:ilvl w:val="0"/>
          <w:numId w:val="2"/>
        </w:numPr>
        <w:spacing w:after="60" w:before="60"/>
      </w:pPr>
      <w:r>
        <w:rPr>
          <w:rFonts w:ascii="Arial" w:cs="Arial" w:eastAsia="Arial" w:hAnsi="Arial"/>
          <w:color w:val="374151"/>
          <w:sz w:val="22"/>
          <w:szCs w:val="22"/>
        </w:rPr>
        <w:t xml:space="preserve">Gestionar los riesgos de seguridad de manera sistemática, proporcional y documentada.</w:t>
      </w:r>
    </w:p>
    <w:p>
      <w:pPr>
        <w:pStyle w:val="ListParagraph"/>
        <w:numPr>
          <w:ilvl w:val="0"/>
          <w:numId w:val="2"/>
        </w:numPr>
        <w:spacing w:after="60" w:before="60"/>
      </w:pPr>
      <w:r>
        <w:rPr>
          <w:rFonts w:ascii="Arial" w:cs="Arial" w:eastAsia="Arial" w:hAnsi="Arial"/>
          <w:color w:val="374151"/>
          <w:sz w:val="22"/>
          <w:szCs w:val="22"/>
        </w:rPr>
        <w:t xml:space="preserve">Asegurar la continuidad de los servicios digitales prestados a los clientes ante eventos de seguridad o contingencias tecnológicas.</w:t>
      </w:r>
    </w:p>
    <w:p>
      <w:pPr>
        <w:pStyle w:val="ListParagraph"/>
        <w:numPr>
          <w:ilvl w:val="0"/>
          <w:numId w:val="2"/>
        </w:numPr>
        <w:spacing w:after="60" w:before="60"/>
      </w:pPr>
      <w:r>
        <w:rPr>
          <w:rFonts w:ascii="Arial" w:cs="Arial" w:eastAsia="Arial" w:hAnsi="Arial"/>
          <w:color w:val="374151"/>
          <w:sz w:val="22"/>
          <w:szCs w:val="22"/>
        </w:rPr>
        <w:t xml:space="preserve">Fomentar una cultura organizacional de seguridad de la información en todos los niveles de la empresa.</w:t>
      </w:r>
    </w:p>
    <w:p>
      <w:pPr>
        <w:pStyle w:val="ListParagraph"/>
        <w:numPr>
          <w:ilvl w:val="0"/>
          <w:numId w:val="2"/>
        </w:numPr>
        <w:spacing w:after="60" w:before="60"/>
      </w:pPr>
      <w:r>
        <w:rPr>
          <w:rFonts w:ascii="Arial" w:cs="Arial" w:eastAsia="Arial" w:hAnsi="Arial"/>
          <w:color w:val="374151"/>
          <w:sz w:val="22"/>
          <w:szCs w:val="22"/>
        </w:rPr>
        <w:t xml:space="preserve">Responder de manera efectiva y oportuna ante incidentes de seguridad, minimizando su impacto.</w:t>
      </w:r>
    </w:p>
    <w:p>
      <w:pPr>
        <w:spacing w:before="120"/>
      </w:pPr>
    </w:p>
    <w:p>
      <w:pPr>
        <w:pStyle w:val="Heading2"/>
        <w:spacing w:after="140" w:before="280"/>
      </w:pPr>
      <w:r>
        <w:rPr>
          <w:rFonts w:ascii="Arial" w:cs="Arial" w:eastAsia="Arial" w:hAnsi="Arial"/>
          <w:b/>
          <w:bCs/>
          <w:color w:val="2563EB"/>
          <w:sz w:val="28"/>
          <w:szCs w:val="28"/>
        </w:rPr>
        <w:t xml:space="preserve">2.3 Principios rectores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Principio</w:t>
            </w:r>
          </w:p>
        </w:tc>
        <w:tc>
          <w:tcPr>
            <w:tcW w:type="dxa" w:w="7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 aplicada a NovaTech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Confidencialidad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La información debe ser accesible únicamente a las personas autorizadas para ello. NovaTech no divulgará información de clientes, empleados o del negocio a terceros no autorizados.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Integridad</w:t>
            </w:r>
          </w:p>
        </w:tc>
        <w:tc>
          <w:tcPr>
            <w:tcW w:type="dxa" w:w="7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La información debe mantenerse exacta, completa y protegida contra modificaciones no autorizadas. Especialmente el código fuente y los datos de clientes.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Disponibilidad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Los sistemas y datos deben estar disponibles para los usuarios autorizados cuando los necesiten, garantizando la continuidad de los servicios.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Mínimo privilegio</w:t>
            </w:r>
          </w:p>
        </w:tc>
        <w:tc>
          <w:tcPr>
            <w:tcW w:type="dxa" w:w="7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Cada empleado o sistema debe tener acceso únicamente a la información y recursos estrictamente necesarios para desempeñar sus funciones.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Responsabilidad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 acceso a los sistemas y activos de información es trazable e identificable. Cada usuario es responsable de las acciones realizadas con sus credenciales.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Mejora continua</w:t>
            </w:r>
          </w:p>
        </w:tc>
        <w:tc>
          <w:tcPr>
            <w:tcW w:type="dxa" w:w="7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La seguridad de la información es un proceso dinámico. El SGSI será revisado y mejorado periódicamente mediante el ciclo PDCA.</w:t>
            </w:r>
          </w:p>
        </w:tc>
      </w:tr>
    </w:tbl>
    <w:p>
      <w:pPr>
        <w:spacing w:before="200"/>
      </w:pPr>
    </w:p>
    <w:p>
      <w:pPr>
        <w:pStyle w:val="Heading2"/>
        <w:spacing w:after="140" w:before="280"/>
      </w:pPr>
      <w:r>
        <w:rPr>
          <w:rFonts w:ascii="Arial" w:cs="Arial" w:eastAsia="Arial" w:hAnsi="Arial"/>
          <w:b/>
          <w:bCs/>
          <w:color w:val="2563EB"/>
          <w:sz w:val="28"/>
          <w:szCs w:val="28"/>
        </w:rPr>
        <w:t xml:space="preserve">2.4 Responsabilidades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Rol</w:t>
            </w:r>
          </w:p>
        </w:tc>
        <w:tc>
          <w:tcPr>
            <w:tcW w:type="dxa" w:w="6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Responsabilidad en el marco de esta política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Director General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Aprobar y respaldar la Política de Seguridad; asignar recursos; participar en revisiones anuales del SGSI.</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Diseñar, implementar y supervisar el cumplimiento de todas las políticas de seguridad; reportar el estado del SGSI a la dirección.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Gerentes de área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Asegurar que su equipo conozca y cumpla las políticas; notificar al CISO cualquier incidente o riesgo detectado.</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Todos los empleados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Leer, comprender y cumplir todas las políticas de seguridad aplicables a su rol; reportar incidentes y comportamientos sospechosos.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Contratistas y proveedores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Cumplir con las políticas de seguridad aplicables como condición de su relación contractual con NovaTech Solutions.</w:t>
            </w:r>
          </w:p>
        </w:tc>
      </w:tr>
    </w:tbl>
    <w:p>
      <w:pPr>
        <w:spacing w:before="200"/>
      </w:pPr>
    </w:p>
    <w:p>
      <w:pPr>
        <w:pStyle w:val="Heading2"/>
        <w:spacing w:after="140" w:before="280"/>
      </w:pPr>
      <w:r>
        <w:rPr>
          <w:rFonts w:ascii="Arial" w:cs="Arial" w:eastAsia="Arial" w:hAnsi="Arial"/>
          <w:b/>
          <w:bCs/>
          <w:color w:val="2563EB"/>
          <w:sz w:val="28"/>
          <w:szCs w:val="28"/>
        </w:rPr>
        <w:t xml:space="preserve">2.5 Revisión de la política</w:t>
      </w:r>
    </w:p>
    <w:p>
      <w:pPr>
        <w:spacing w:after="80" w:before="80"/>
      </w:pPr>
      <w:r>
        <w:rPr>
          <w:rFonts w:ascii="Arial" w:cs="Arial" w:eastAsia="Arial" w:hAnsi="Arial"/>
          <w:color w:val="374151"/>
          <w:sz w:val="22"/>
          <w:szCs w:val="22"/>
        </w:rPr>
        <w:t xml:space="preserve">Esta política será revisada al menos una vez al año, o ante cualquier cambio significativo en la organización, el entorno regulatorio o el panorama de amenazas, por el CISO con aprobación de la Dirección General.</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3. POL-02 — Política de Control de Accesos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Política de Control de Accesos</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ID de política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POL-02</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Versión</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1.0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Fecha de emisión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2026</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Aprueba</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CISO con aprobación del Director General</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Aplica 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Todos los empleados, contratistas y proveedores con acceso a sistemas de NovaTech</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Referencias normativas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ISO/IEC 27001:2022 Anexo A — A.5.15, A.5.16, A.5.17, A.5.18 | LFPDPPP Art. 19</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Riesgos que atiende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A-01, A-02, A-09, A-13, A-14, A-19, A-21 (Documento 4)</w:t>
            </w:r>
          </w:p>
        </w:tc>
      </w:tr>
    </w:tbl>
    <w:p>
      <w:pPr>
        <w:spacing w:before="200"/>
      </w:pPr>
    </w:p>
    <w:p>
      <w:pPr>
        <w:pStyle w:val="Heading2"/>
        <w:spacing w:after="140" w:before="280"/>
      </w:pPr>
      <w:r>
        <w:rPr>
          <w:rFonts w:ascii="Arial" w:cs="Arial" w:eastAsia="Arial" w:hAnsi="Arial"/>
          <w:b/>
          <w:bCs/>
          <w:color w:val="2563EB"/>
          <w:sz w:val="28"/>
          <w:szCs w:val="28"/>
        </w:rPr>
        <w:t xml:space="preserve">3.1 Principio de mínimo privilegio</w:t>
      </w:r>
    </w:p>
    <w:p>
      <w:pPr>
        <w:spacing w:after="80" w:before="80"/>
      </w:pPr>
      <w:r>
        <w:rPr>
          <w:rFonts w:ascii="Arial" w:cs="Arial" w:eastAsia="Arial" w:hAnsi="Arial"/>
          <w:color w:val="374151"/>
          <w:sz w:val="22"/>
          <w:szCs w:val="22"/>
        </w:rPr>
        <w:t xml:space="preserve">Todo acceso a sistemas, datos y recursos de NovaTech Solutions se rige por el principio de mínimo privilegio: cada persona o sistema tendrá acceso únicamente a la información y funcionalidades estrictamente necesarias para el desempeño de sus responsabilidades, y nada más.</w:t>
      </w:r>
    </w:p>
    <w:p>
      <w:pPr>
        <w:pStyle w:val="Heading2"/>
        <w:spacing w:after="140" w:before="280"/>
      </w:pPr>
      <w:r>
        <w:rPr>
          <w:rFonts w:ascii="Arial" w:cs="Arial" w:eastAsia="Arial" w:hAnsi="Arial"/>
          <w:b/>
          <w:bCs/>
          <w:color w:val="2563EB"/>
          <w:sz w:val="28"/>
          <w:szCs w:val="28"/>
        </w:rPr>
        <w:t xml:space="preserve">3.2 Gestión del ciclo de vida de los accesos</w:t>
      </w:r>
    </w:p>
    <w:p>
      <w:pPr>
        <w:pStyle w:val="Heading3"/>
        <w:spacing w:after="100" w:before="200"/>
      </w:pPr>
      <w:r>
        <w:rPr>
          <w:rFonts w:ascii="Arial" w:cs="Arial" w:eastAsia="Arial" w:hAnsi="Arial"/>
          <w:b/>
          <w:bCs/>
          <w:color w:val="1B3A6B"/>
          <w:sz w:val="24"/>
          <w:szCs w:val="24"/>
        </w:rPr>
        <w:t xml:space="preserve">Alta de accesos</w:t>
      </w:r>
    </w:p>
    <w:p>
      <w:pPr>
        <w:pStyle w:val="ListParagraph"/>
        <w:numPr>
          <w:ilvl w:val="0"/>
          <w:numId w:val="2"/>
        </w:numPr>
        <w:spacing w:after="60" w:before="60"/>
      </w:pPr>
      <w:r>
        <w:rPr>
          <w:rFonts w:ascii="Arial" w:cs="Arial" w:eastAsia="Arial" w:hAnsi="Arial"/>
          <w:color w:val="374151"/>
          <w:sz w:val="22"/>
          <w:szCs w:val="22"/>
        </w:rPr>
        <w:t xml:space="preserve">Toda solicitud de acceso a sistemas corporativos debe tramitarse formalmente a través del CISO o el área de TI, con autorización del gerente del área correspondiente.</w:t>
      </w:r>
    </w:p>
    <w:p>
      <w:pPr>
        <w:pStyle w:val="ListParagraph"/>
        <w:numPr>
          <w:ilvl w:val="0"/>
          <w:numId w:val="2"/>
        </w:numPr>
        <w:spacing w:after="60" w:before="60"/>
      </w:pPr>
      <w:r>
        <w:rPr>
          <w:rFonts w:ascii="Arial" w:cs="Arial" w:eastAsia="Arial" w:hAnsi="Arial"/>
          <w:color w:val="374151"/>
          <w:sz w:val="22"/>
          <w:szCs w:val="22"/>
        </w:rPr>
        <w:t xml:space="preserve">Los accesos serán otorgados por rol o función, no de manera individual, usando el modelo de Control de Acceso Basado en Roles (RBAC).</w:t>
      </w:r>
    </w:p>
    <w:p>
      <w:pPr>
        <w:pStyle w:val="ListParagraph"/>
        <w:numPr>
          <w:ilvl w:val="0"/>
          <w:numId w:val="2"/>
        </w:numPr>
        <w:spacing w:after="60" w:before="60"/>
      </w:pPr>
      <w:r>
        <w:rPr>
          <w:rFonts w:ascii="Arial" w:cs="Arial" w:eastAsia="Arial" w:hAnsi="Arial"/>
          <w:color w:val="374151"/>
          <w:sz w:val="22"/>
          <w:szCs w:val="22"/>
        </w:rPr>
        <w:t xml:space="preserve">Queda prohibido otorgar accesos basados en herencia informal ('siempre hemos tenido acceso'). Todo acceso debe tener una justificación documentada.</w:t>
      </w:r>
    </w:p>
    <w:p>
      <w:pPr>
        <w:spacing w:before="80"/>
      </w:pPr>
    </w:p>
    <w:p>
      <w:pPr>
        <w:pStyle w:val="Heading3"/>
        <w:spacing w:after="100" w:before="200"/>
      </w:pPr>
      <w:r>
        <w:rPr>
          <w:rFonts w:ascii="Arial" w:cs="Arial" w:eastAsia="Arial" w:hAnsi="Arial"/>
          <w:b/>
          <w:bCs/>
          <w:color w:val="1B3A6B"/>
          <w:sz w:val="24"/>
          <w:szCs w:val="24"/>
        </w:rPr>
        <w:t xml:space="preserve">Modificación de accesos</w:t>
      </w:r>
    </w:p>
    <w:p>
      <w:pPr>
        <w:pStyle w:val="ListParagraph"/>
        <w:numPr>
          <w:ilvl w:val="0"/>
          <w:numId w:val="2"/>
        </w:numPr>
        <w:spacing w:after="60" w:before="60"/>
      </w:pPr>
      <w:r>
        <w:rPr>
          <w:rFonts w:ascii="Arial" w:cs="Arial" w:eastAsia="Arial" w:hAnsi="Arial"/>
          <w:color w:val="374151"/>
          <w:sz w:val="22"/>
          <w:szCs w:val="22"/>
        </w:rPr>
        <w:t xml:space="preserve">Cualquier cambio en el rol o responsabilidades de un empleado debe notificarse al CISO dentro de los 2 días hábiles para actualizar sus accesos.</w:t>
      </w:r>
    </w:p>
    <w:p>
      <w:pPr>
        <w:pStyle w:val="ListParagraph"/>
        <w:numPr>
          <w:ilvl w:val="0"/>
          <w:numId w:val="2"/>
        </w:numPr>
        <w:spacing w:after="60" w:before="60"/>
      </w:pPr>
      <w:r>
        <w:rPr>
          <w:rFonts w:ascii="Arial" w:cs="Arial" w:eastAsia="Arial" w:hAnsi="Arial"/>
          <w:color w:val="374151"/>
          <w:sz w:val="22"/>
          <w:szCs w:val="22"/>
        </w:rPr>
        <w:t xml:space="preserve">Los accesos otorgados temporalmente (proyectos, visitas, soporte) deben tener una fecha de expiración definida desde el momento de su creación.</w:t>
      </w:r>
    </w:p>
    <w:p>
      <w:pPr>
        <w:spacing w:before="80"/>
      </w:pPr>
    </w:p>
    <w:p>
      <w:pPr>
        <w:pStyle w:val="Heading3"/>
        <w:spacing w:after="100" w:before="200"/>
      </w:pPr>
      <w:r>
        <w:rPr>
          <w:rFonts w:ascii="Arial" w:cs="Arial" w:eastAsia="Arial" w:hAnsi="Arial"/>
          <w:b/>
          <w:bCs/>
          <w:color w:val="1B3A6B"/>
          <w:sz w:val="24"/>
          <w:szCs w:val="24"/>
        </w:rPr>
        <w:t xml:space="preserve">Baja de accesos</w:t>
      </w:r>
    </w:p>
    <w:p>
      <w:pPr>
        <w:pStyle w:val="ListParagraph"/>
        <w:numPr>
          <w:ilvl w:val="0"/>
          <w:numId w:val="2"/>
        </w:numPr>
        <w:spacing w:after="60" w:before="60"/>
      </w:pPr>
      <w:r>
        <w:rPr>
          <w:rFonts w:ascii="Arial" w:cs="Arial" w:eastAsia="Arial" w:hAnsi="Arial"/>
          <w:color w:val="374151"/>
          <w:sz w:val="22"/>
          <w:szCs w:val="22"/>
        </w:rPr>
        <w:t xml:space="preserve">El día del cese de la relación laboral o contractual de cualquier persona, el área de RRHH notificará al CISO para la revocación INMEDIATA de TODOS sus accesos.</w:t>
      </w:r>
    </w:p>
    <w:p>
      <w:pPr>
        <w:pStyle w:val="ListParagraph"/>
        <w:numPr>
          <w:ilvl w:val="0"/>
          <w:numId w:val="2"/>
        </w:numPr>
        <w:spacing w:after="60" w:before="60"/>
      </w:pPr>
      <w:r>
        <w:rPr>
          <w:rFonts w:ascii="Arial" w:cs="Arial" w:eastAsia="Arial" w:hAnsi="Arial"/>
          <w:color w:val="374151"/>
          <w:sz w:val="22"/>
          <w:szCs w:val="22"/>
        </w:rPr>
        <w:t xml:space="preserve">El CISO ejecutará un checklist de baja que incluye: correo corporativo, CRM, repositorios Git, VPN, sistemas ERP, almacenamiento en la nube y cualquier otro sistema al que tuviera acceso.</w:t>
      </w:r>
    </w:p>
    <w:p>
      <w:pPr>
        <w:pStyle w:val="ListParagraph"/>
        <w:numPr>
          <w:ilvl w:val="0"/>
          <w:numId w:val="2"/>
        </w:numPr>
        <w:spacing w:after="60" w:before="60"/>
      </w:pPr>
      <w:r>
        <w:rPr>
          <w:rFonts w:ascii="Arial" w:cs="Arial" w:eastAsia="Arial" w:hAnsi="Arial"/>
          <w:color w:val="374151"/>
          <w:sz w:val="22"/>
          <w:szCs w:val="22"/>
        </w:rPr>
        <w:t xml:space="preserve">Ningún ex-empleado o ex-contratista debe mantener acceso activo a ningún sistema de NovaTech por ningún motivo.</w:t>
      </w:r>
    </w:p>
    <w:p>
      <w:pPr>
        <w:spacing w:before="120"/>
      </w:pPr>
    </w:p>
    <w:p>
      <w:pPr>
        <w:pStyle w:val="Heading2"/>
        <w:spacing w:after="140" w:before="280"/>
      </w:pPr>
      <w:r>
        <w:rPr>
          <w:rFonts w:ascii="Arial" w:cs="Arial" w:eastAsia="Arial" w:hAnsi="Arial"/>
          <w:b/>
          <w:bCs/>
          <w:color w:val="2563EB"/>
          <w:sz w:val="28"/>
          <w:szCs w:val="28"/>
        </w:rPr>
        <w:t xml:space="preserve">3.3 Autenticación y control de sesiones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Sistema / Recurso</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Requisito de autenticación</w:t>
            </w:r>
          </w:p>
        </w:tc>
        <w:tc>
          <w:tcPr>
            <w:tcW w:type="dxa" w:w="2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MFA obligatorio</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Repositorios Git (código fuente)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Usuario + contraseña fuerte o llave SSH</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Sí — obligatorio</w:t>
            </w:r>
          </w:p>
        </w:tc>
      </w:tr>
      <w:tr>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 CRM</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Usuario + contraseña fuerte</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Sí — obligatorio</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Consola de administración de nube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Usuario + contraseña fuerte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Sí — obligatorio</w:t>
            </w:r>
          </w:p>
        </w:tc>
      </w:tr>
      <w:tr>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Correo corporativo</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Usuario + contraseña fuerte</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Sí — obligatorio</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VPN corporativa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Usuario + certificado o contraseña fuerte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Sí — obligatorio</w:t>
            </w:r>
          </w:p>
        </w:tc>
      </w:tr>
      <w:tr>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 ERP / financiero</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Usuario + contraseña fuerte</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Sí — obligatorio</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Almacenamiento en la nube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Usuario + contraseña fuerte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Sí — recomendado</w:t>
            </w:r>
          </w:p>
        </w:tc>
      </w:tr>
      <w:tr>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Herramientas de desarrollo (IDE, locales)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Autenticación local del equipo</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 aplicable</w:t>
            </w:r>
          </w:p>
        </w:tc>
      </w:tr>
    </w:tbl>
    <w:p>
      <w:pPr>
        <w:spacing w:before="200"/>
      </w:pPr>
    </w:p>
    <w:p>
      <w:pPr>
        <w:pStyle w:val="Heading2"/>
        <w:spacing w:after="140" w:before="280"/>
      </w:pPr>
      <w:r>
        <w:rPr>
          <w:rFonts w:ascii="Arial" w:cs="Arial" w:eastAsia="Arial" w:hAnsi="Arial"/>
          <w:b/>
          <w:bCs/>
          <w:color w:val="2563EB"/>
          <w:sz w:val="28"/>
          <w:szCs w:val="28"/>
        </w:rPr>
        <w:t xml:space="preserve">3.4 Reglas de sesión</w:t>
      </w:r>
    </w:p>
    <w:p>
      <w:pPr>
        <w:pStyle w:val="ListParagraph"/>
        <w:numPr>
          <w:ilvl w:val="0"/>
          <w:numId w:val="2"/>
        </w:numPr>
        <w:spacing w:after="60" w:before="60"/>
      </w:pPr>
      <w:r>
        <w:rPr>
          <w:rFonts w:ascii="Arial" w:cs="Arial" w:eastAsia="Arial" w:hAnsi="Arial"/>
          <w:color w:val="374151"/>
          <w:sz w:val="22"/>
          <w:szCs w:val="22"/>
        </w:rPr>
        <w:t xml:space="preserve">Las sesiones inactivas por más de 15 minutos en sistemas críticos deben cerrarse automáticamente o requerir reautenticación.</w:t>
      </w:r>
    </w:p>
    <w:p>
      <w:pPr>
        <w:pStyle w:val="ListParagraph"/>
        <w:numPr>
          <w:ilvl w:val="0"/>
          <w:numId w:val="2"/>
        </w:numPr>
        <w:spacing w:after="60" w:before="60"/>
      </w:pPr>
      <w:r>
        <w:rPr>
          <w:rFonts w:ascii="Arial" w:cs="Arial" w:eastAsia="Arial" w:hAnsi="Arial"/>
          <w:color w:val="374151"/>
          <w:sz w:val="22"/>
          <w:szCs w:val="22"/>
        </w:rPr>
        <w:t xml:space="preserve">Está prohibido compartir credenciales de acceso con cualquier persona, incluyendo compañeros de trabajo o superiores.</w:t>
      </w:r>
    </w:p>
    <w:p>
      <w:pPr>
        <w:pStyle w:val="ListParagraph"/>
        <w:numPr>
          <w:ilvl w:val="0"/>
          <w:numId w:val="2"/>
        </w:numPr>
        <w:spacing w:after="60" w:before="60"/>
      </w:pPr>
      <w:r>
        <w:rPr>
          <w:rFonts w:ascii="Arial" w:cs="Arial" w:eastAsia="Arial" w:hAnsi="Arial"/>
          <w:color w:val="374151"/>
          <w:sz w:val="22"/>
          <w:szCs w:val="22"/>
        </w:rPr>
        <w:t xml:space="preserve">Cada usuario es responsable de todas las acciones realizadas con sus credenciales. El uso indebido de las credenciales de otro usuario constituye una falta grave.</w:t>
      </w:r>
    </w:p>
    <w:p>
      <w:pPr>
        <w:pStyle w:val="ListParagraph"/>
        <w:numPr>
          <w:ilvl w:val="0"/>
          <w:numId w:val="2"/>
        </w:numPr>
        <w:spacing w:after="60" w:before="60"/>
      </w:pPr>
      <w:r>
        <w:rPr>
          <w:rFonts w:ascii="Arial" w:cs="Arial" w:eastAsia="Arial" w:hAnsi="Arial"/>
          <w:color w:val="374151"/>
          <w:sz w:val="22"/>
          <w:szCs w:val="22"/>
        </w:rPr>
        <w:t xml:space="preserve">Está prohibido acceder a sistemas corporativos desde equipos o redes no autorizadas sin utilizar la VPN corporativa.</w:t>
      </w:r>
    </w:p>
    <w:p>
      <w:pPr>
        <w:spacing w:before="120"/>
      </w:pPr>
    </w:p>
    <w:p>
      <w:pPr>
        <w:pStyle w:val="Heading2"/>
        <w:spacing w:after="140" w:before="280"/>
      </w:pPr>
      <w:r>
        <w:rPr>
          <w:rFonts w:ascii="Arial" w:cs="Arial" w:eastAsia="Arial" w:hAnsi="Arial"/>
          <w:b/>
          <w:bCs/>
          <w:color w:val="2563EB"/>
          <w:sz w:val="28"/>
          <w:szCs w:val="28"/>
        </w:rPr>
        <w:t xml:space="preserve">3.5 Revisión periódica de accesos</w:t>
      </w:r>
    </w:p>
    <w:p>
      <w:pPr>
        <w:spacing w:after="80" w:before="80"/>
      </w:pPr>
      <w:r>
        <w:rPr>
          <w:rFonts w:ascii="Arial" w:cs="Arial" w:eastAsia="Arial" w:hAnsi="Arial"/>
          <w:color w:val="374151"/>
          <w:sz w:val="22"/>
          <w:szCs w:val="22"/>
        </w:rPr>
        <w:t xml:space="preserve">El CISO realizará una auditoría semestral de todos los accesos activos en los sistemas críticos para verificar que sean proporcionales a las funciones actuales de cada usuario. Los accesos que no tengan justificación vigente serán revocados.</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4. POL-03 — Política de Uso Aceptable de Recursos y Activos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Política de Uso Aceptable de Recursos y Activos</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ID de política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POL-03</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Versión</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1.0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Fecha de emisión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2026</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Aprueba</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CISO con aprobación del Director General</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Aplica 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Todos los empleados y contratistas de NovaTech Solutions</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Referencias normativas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ISO/IEC 27001:2022 Anexo A — A.5.10 | LFPDPPP Art. 19</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Riesgos que atiende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A-02, A-05, A-07, A-09, A-20, A-22 (Documento 4)</w:t>
            </w:r>
          </w:p>
        </w:tc>
      </w:tr>
    </w:tbl>
    <w:p>
      <w:pPr>
        <w:spacing w:before="200"/>
      </w:pPr>
    </w:p>
    <w:p>
      <w:pPr>
        <w:pStyle w:val="Heading2"/>
        <w:spacing w:after="140" w:before="280"/>
      </w:pPr>
      <w:r>
        <w:rPr>
          <w:rFonts w:ascii="Arial" w:cs="Arial" w:eastAsia="Arial" w:hAnsi="Arial"/>
          <w:b/>
          <w:bCs/>
          <w:color w:val="2563EB"/>
          <w:sz w:val="28"/>
          <w:szCs w:val="28"/>
        </w:rPr>
        <w:t xml:space="preserve">4.1 Uso aceptable de los recursos tecnológicos</w:t>
      </w:r>
    </w:p>
    <w:p>
      <w:pPr>
        <w:spacing w:after="80" w:before="80"/>
      </w:pPr>
      <w:r>
        <w:rPr>
          <w:rFonts w:ascii="Arial" w:cs="Arial" w:eastAsia="Arial" w:hAnsi="Arial"/>
          <w:color w:val="374151"/>
          <w:sz w:val="22"/>
          <w:szCs w:val="22"/>
        </w:rPr>
        <w:t xml:space="preserve">Los equipos de cómputo, sistemas, redes, correo electrónico, Internet y demás recursos tecnológicos de NovaTech Solutions son proporcionados para el desempeño de actividades laborales. Su uso debe ser responsable, profesional y conforme a esta política.</w:t>
      </w:r>
    </w:p>
    <w:p>
      <w:pPr>
        <w:pStyle w:val="Heading3"/>
        <w:spacing w:after="100" w:before="200"/>
      </w:pPr>
      <w:r>
        <w:rPr>
          <w:rFonts w:ascii="Arial" w:cs="Arial" w:eastAsia="Arial" w:hAnsi="Arial"/>
          <w:b/>
          <w:bCs/>
          <w:color w:val="1B3A6B"/>
          <w:sz w:val="24"/>
          <w:szCs w:val="24"/>
        </w:rPr>
        <w:t xml:space="preserve">Usos permitidos</w:t>
      </w:r>
    </w:p>
    <w:p>
      <w:pPr>
        <w:pStyle w:val="ListParagraph"/>
        <w:numPr>
          <w:ilvl w:val="0"/>
          <w:numId w:val="2"/>
        </w:numPr>
        <w:spacing w:after="60" w:before="60"/>
      </w:pPr>
      <w:r>
        <w:rPr>
          <w:rFonts w:ascii="Arial" w:cs="Arial" w:eastAsia="Arial" w:hAnsi="Arial"/>
          <w:color w:val="374151"/>
          <w:sz w:val="22"/>
          <w:szCs w:val="22"/>
        </w:rPr>
        <w:t xml:space="preserve">Uso de sistemas y aplicaciones corporativas para el desempeño de las funciones asignadas.</w:t>
      </w:r>
    </w:p>
    <w:p>
      <w:pPr>
        <w:pStyle w:val="ListParagraph"/>
        <w:numPr>
          <w:ilvl w:val="0"/>
          <w:numId w:val="2"/>
        </w:numPr>
        <w:spacing w:after="60" w:before="60"/>
      </w:pPr>
      <w:r>
        <w:rPr>
          <w:rFonts w:ascii="Arial" w:cs="Arial" w:eastAsia="Arial" w:hAnsi="Arial"/>
          <w:color w:val="374151"/>
          <w:sz w:val="22"/>
          <w:szCs w:val="22"/>
        </w:rPr>
        <w:t xml:space="preserve">Comunicación profesional con clientes, proveedores y compañeros a través del correo corporativo.</w:t>
      </w:r>
    </w:p>
    <w:p>
      <w:pPr>
        <w:pStyle w:val="ListParagraph"/>
        <w:numPr>
          <w:ilvl w:val="0"/>
          <w:numId w:val="2"/>
        </w:numPr>
        <w:spacing w:after="60" w:before="60"/>
      </w:pPr>
      <w:r>
        <w:rPr>
          <w:rFonts w:ascii="Arial" w:cs="Arial" w:eastAsia="Arial" w:hAnsi="Arial"/>
          <w:color w:val="374151"/>
          <w:sz w:val="22"/>
          <w:szCs w:val="22"/>
        </w:rPr>
        <w:t xml:space="preserve">Acceso a recursos de internet relacionados con las responsabilidades laborales.</w:t>
      </w:r>
    </w:p>
    <w:p>
      <w:pPr>
        <w:pStyle w:val="ListParagraph"/>
        <w:numPr>
          <w:ilvl w:val="0"/>
          <w:numId w:val="2"/>
        </w:numPr>
        <w:spacing w:after="60" w:before="60"/>
      </w:pPr>
      <w:r>
        <w:rPr>
          <w:rFonts w:ascii="Arial" w:cs="Arial" w:eastAsia="Arial" w:hAnsi="Arial"/>
          <w:color w:val="374151"/>
          <w:sz w:val="22"/>
          <w:szCs w:val="22"/>
        </w:rPr>
        <w:t xml:space="preserve">Uso de herramientas de desarrollo, repositorios y plataformas de colaboración autorizadas.</w:t>
      </w:r>
    </w:p>
    <w:p>
      <w:pPr>
        <w:spacing w:before="80"/>
      </w:pPr>
    </w:p>
    <w:p>
      <w:pPr>
        <w:pStyle w:val="Heading3"/>
        <w:spacing w:after="100" w:before="200"/>
      </w:pPr>
      <w:r>
        <w:rPr>
          <w:rFonts w:ascii="Arial" w:cs="Arial" w:eastAsia="Arial" w:hAnsi="Arial"/>
          <w:b/>
          <w:bCs/>
          <w:color w:val="1B3A6B"/>
          <w:sz w:val="24"/>
          <w:szCs w:val="24"/>
        </w:rPr>
        <w:t xml:space="preserve">Usos prohibidos</w:t>
      </w:r>
    </w:p>
    <w:p>
      <w:pPr>
        <w:pStyle w:val="ListParagraph"/>
        <w:numPr>
          <w:ilvl w:val="0"/>
          <w:numId w:val="2"/>
        </w:numPr>
        <w:spacing w:after="60" w:before="60"/>
      </w:pPr>
      <w:r>
        <w:rPr>
          <w:rFonts w:ascii="Arial" w:cs="Arial" w:eastAsia="Arial" w:hAnsi="Arial"/>
          <w:color w:val="374151"/>
          <w:sz w:val="22"/>
          <w:szCs w:val="22"/>
        </w:rPr>
        <w:t xml:space="preserve">Instalar software no autorizado por el área de TI en equipos corporativos.</w:t>
      </w:r>
    </w:p>
    <w:p>
      <w:pPr>
        <w:pStyle w:val="ListParagraph"/>
        <w:numPr>
          <w:ilvl w:val="0"/>
          <w:numId w:val="2"/>
        </w:numPr>
        <w:spacing w:after="60" w:before="60"/>
      </w:pPr>
      <w:r>
        <w:rPr>
          <w:rFonts w:ascii="Arial" w:cs="Arial" w:eastAsia="Arial" w:hAnsi="Arial"/>
          <w:color w:val="374151"/>
          <w:sz w:val="22"/>
          <w:szCs w:val="22"/>
        </w:rPr>
        <w:t xml:space="preserve">Acceder, descargar o transmitir contenido ilegal, ofensivo, discriminatorio o que viole derechos de terceros.</w:t>
      </w:r>
    </w:p>
    <w:p>
      <w:pPr>
        <w:pStyle w:val="ListParagraph"/>
        <w:numPr>
          <w:ilvl w:val="0"/>
          <w:numId w:val="2"/>
        </w:numPr>
        <w:spacing w:after="60" w:before="60"/>
      </w:pPr>
      <w:r>
        <w:rPr>
          <w:rFonts w:ascii="Arial" w:cs="Arial" w:eastAsia="Arial" w:hAnsi="Arial"/>
          <w:color w:val="374151"/>
          <w:sz w:val="22"/>
          <w:szCs w:val="22"/>
        </w:rPr>
        <w:t xml:space="preserve">Utilizar los recursos de NovaTech para actividades personales de naturaleza comercial o que compitan con los intereses de la empresa.</w:t>
      </w:r>
    </w:p>
    <w:p>
      <w:pPr>
        <w:pStyle w:val="ListParagraph"/>
        <w:numPr>
          <w:ilvl w:val="0"/>
          <w:numId w:val="2"/>
        </w:numPr>
        <w:spacing w:after="60" w:before="60"/>
      </w:pPr>
      <w:r>
        <w:rPr>
          <w:rFonts w:ascii="Arial" w:cs="Arial" w:eastAsia="Arial" w:hAnsi="Arial"/>
          <w:color w:val="374151"/>
          <w:sz w:val="22"/>
          <w:szCs w:val="22"/>
        </w:rPr>
        <w:t xml:space="preserve">Conectar dispositivos de almacenamiento externo (USB, discos duros) a equipos corporativos sin autorización previa del CISO.</w:t>
      </w:r>
    </w:p>
    <w:p>
      <w:pPr>
        <w:pStyle w:val="ListParagraph"/>
        <w:numPr>
          <w:ilvl w:val="0"/>
          <w:numId w:val="2"/>
        </w:numPr>
        <w:spacing w:after="60" w:before="60"/>
      </w:pPr>
      <w:r>
        <w:rPr>
          <w:rFonts w:ascii="Arial" w:cs="Arial" w:eastAsia="Arial" w:hAnsi="Arial"/>
          <w:color w:val="374151"/>
          <w:sz w:val="22"/>
          <w:szCs w:val="22"/>
        </w:rPr>
        <w:t xml:space="preserve">Transferir información corporativa a cuentas personales de correo, almacenamiento en la nube o dispositivos no autorizados.</w:t>
      </w:r>
    </w:p>
    <w:p>
      <w:pPr>
        <w:pStyle w:val="ListParagraph"/>
        <w:numPr>
          <w:ilvl w:val="0"/>
          <w:numId w:val="2"/>
        </w:numPr>
        <w:spacing w:after="60" w:before="60"/>
      </w:pPr>
      <w:r>
        <w:rPr>
          <w:rFonts w:ascii="Arial" w:cs="Arial" w:eastAsia="Arial" w:hAnsi="Arial"/>
          <w:color w:val="374151"/>
          <w:sz w:val="22"/>
          <w:szCs w:val="22"/>
        </w:rPr>
        <w:t xml:space="preserve">Deshabilitar o eludir controles de seguridad instalados en equipos corporativos (antivirus, cifrado, VPN).</w:t>
      </w:r>
    </w:p>
    <w:p>
      <w:pPr>
        <w:pStyle w:val="ListParagraph"/>
        <w:numPr>
          <w:ilvl w:val="0"/>
          <w:numId w:val="2"/>
        </w:numPr>
        <w:spacing w:after="60" w:before="60"/>
      </w:pPr>
      <w:r>
        <w:rPr>
          <w:rFonts w:ascii="Arial" w:cs="Arial" w:eastAsia="Arial" w:hAnsi="Arial"/>
          <w:color w:val="374151"/>
          <w:sz w:val="22"/>
          <w:szCs w:val="22"/>
        </w:rPr>
        <w:t xml:space="preserve">Acceder a sistemas o datos para los cuales no se cuenta con autorización explícita.</w:t>
      </w:r>
    </w:p>
    <w:p>
      <w:pPr>
        <w:spacing w:before="120"/>
      </w:pPr>
    </w:p>
    <w:p>
      <w:pPr>
        <w:pStyle w:val="Heading2"/>
        <w:spacing w:after="140" w:before="280"/>
      </w:pPr>
      <w:r>
        <w:rPr>
          <w:rFonts w:ascii="Arial" w:cs="Arial" w:eastAsia="Arial" w:hAnsi="Arial"/>
          <w:b/>
          <w:bCs/>
          <w:color w:val="2563EB"/>
          <w:sz w:val="28"/>
          <w:szCs w:val="28"/>
        </w:rPr>
        <w:t xml:space="preserve">4.2 Uso del correo electrónico corporativo</w:t>
      </w:r>
    </w:p>
    <w:p>
      <w:pPr>
        <w:pStyle w:val="ListParagraph"/>
        <w:numPr>
          <w:ilvl w:val="0"/>
          <w:numId w:val="2"/>
        </w:numPr>
        <w:spacing w:after="60" w:before="60"/>
      </w:pPr>
      <w:r>
        <w:rPr>
          <w:rFonts w:ascii="Arial" w:cs="Arial" w:eastAsia="Arial" w:hAnsi="Arial"/>
          <w:color w:val="374151"/>
          <w:sz w:val="22"/>
          <w:szCs w:val="22"/>
        </w:rPr>
        <w:t xml:space="preserve">El correo corporativo es una herramienta de trabajo. Toda comunicación realizada a través de él puede ser revisada por NovaTech Solutions en caso de investigación de incidentes de seguridad, con apego a la legislación aplicable.</w:t>
      </w:r>
    </w:p>
    <w:p>
      <w:pPr>
        <w:pStyle w:val="ListParagraph"/>
        <w:numPr>
          <w:ilvl w:val="0"/>
          <w:numId w:val="2"/>
        </w:numPr>
        <w:spacing w:after="60" w:before="60"/>
      </w:pPr>
      <w:r>
        <w:rPr>
          <w:rFonts w:ascii="Arial" w:cs="Arial" w:eastAsia="Arial" w:hAnsi="Arial"/>
          <w:color w:val="374151"/>
          <w:sz w:val="22"/>
          <w:szCs w:val="22"/>
        </w:rPr>
        <w:t xml:space="preserve">Antes de enviar información clasificada como Confidencial o Crítica por correo, el remitente debe verificar TRES VECES que los destinatarios sean correctos.</w:t>
      </w:r>
    </w:p>
    <w:p>
      <w:pPr>
        <w:pStyle w:val="ListParagraph"/>
        <w:numPr>
          <w:ilvl w:val="0"/>
          <w:numId w:val="2"/>
        </w:numPr>
        <w:spacing w:after="60" w:before="60"/>
      </w:pPr>
      <w:r>
        <w:rPr>
          <w:rFonts w:ascii="Arial" w:cs="Arial" w:eastAsia="Arial" w:hAnsi="Arial"/>
          <w:color w:val="374151"/>
          <w:sz w:val="22"/>
          <w:szCs w:val="22"/>
        </w:rPr>
        <w:t xml:space="preserve">Está prohibido abrir archivos adjuntos o hacer clic en enlaces de correos sospechosos o no solicitados. Ante cualquier duda, reportar al CISO inmediatamente.</w:t>
      </w:r>
    </w:p>
    <w:p>
      <w:pPr>
        <w:pStyle w:val="ListParagraph"/>
        <w:numPr>
          <w:ilvl w:val="0"/>
          <w:numId w:val="2"/>
        </w:numPr>
        <w:spacing w:after="60" w:before="60"/>
      </w:pPr>
      <w:r>
        <w:rPr>
          <w:rFonts w:ascii="Arial" w:cs="Arial" w:eastAsia="Arial" w:hAnsi="Arial"/>
          <w:color w:val="374151"/>
          <w:sz w:val="22"/>
          <w:szCs w:val="22"/>
        </w:rPr>
        <w:t xml:space="preserve">Está prohibido utilizar el correo corporativo para suscribirse a servicios, boletines o comunicaciones de naturaleza personal.</w:t>
      </w:r>
    </w:p>
    <w:p>
      <w:pPr>
        <w:spacing w:before="120"/>
      </w:pPr>
    </w:p>
    <w:p>
      <w:pPr>
        <w:pStyle w:val="Heading2"/>
        <w:spacing w:after="140" w:before="280"/>
      </w:pPr>
      <w:r>
        <w:rPr>
          <w:rFonts w:ascii="Arial" w:cs="Arial" w:eastAsia="Arial" w:hAnsi="Arial"/>
          <w:b/>
          <w:bCs/>
          <w:color w:val="2563EB"/>
          <w:sz w:val="28"/>
          <w:szCs w:val="28"/>
        </w:rPr>
        <w:t xml:space="preserve">4.3 Uso de dispositivos personales (BYOD)</w:t>
      </w:r>
    </w:p>
    <w:p>
      <w:pPr>
        <w:spacing w:after="80" w:before="80"/>
      </w:pPr>
      <w:r>
        <w:rPr>
          <w:rFonts w:ascii="Arial" w:cs="Arial" w:eastAsia="Arial" w:hAnsi="Arial"/>
          <w:color w:val="374151"/>
          <w:sz w:val="22"/>
          <w:szCs w:val="22"/>
        </w:rPr>
        <w:t xml:space="preserve">NovaTech Solutions no tiene una política formal de BYOD (Bring Your Own Device) habilitada en esta versión del SGSI. El uso de dispositivos personales para acceder a sistemas corporativos requiere autorización explícita del CISO y debe realizarse siempre a través de la VPN corporativa con MFA activo.</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5. POL-04 — Política de Gestión de Contraseñas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Política de Gestión de Contraseñas</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ID de política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POL-04</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Versión</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1.0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Fecha de emisión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2026</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Aprueba</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CISO con aprobación del Director General</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Aplica 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Todos los empleados, contratistas y sistemas automatizados de NovaTech</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Referencias normativas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ISO/IEC 27001:2022 Anexo A — A.5.17 | NIST SP 800-63B (referencia)</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Riesgos que atiende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A-01, A-11, A-12, A-13, A-14 (Documento 4)</w:t>
            </w:r>
          </w:p>
        </w:tc>
      </w:tr>
    </w:tbl>
    <w:p>
      <w:pPr>
        <w:spacing w:before="200"/>
      </w:pPr>
    </w:p>
    <w:p>
      <w:pPr>
        <w:pStyle w:val="Heading2"/>
        <w:spacing w:after="140" w:before="280"/>
      </w:pPr>
      <w:r>
        <w:rPr>
          <w:rFonts w:ascii="Arial" w:cs="Arial" w:eastAsia="Arial" w:hAnsi="Arial"/>
          <w:b/>
          <w:bCs/>
          <w:color w:val="2563EB"/>
          <w:sz w:val="28"/>
          <w:szCs w:val="28"/>
        </w:rPr>
        <w:t xml:space="preserve">5.1 Requisitos de contraseñas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200"/>
        <w:gridCol w:w="1760"/>
      </w:tblGrid>
      <w:tr>
        <w:trPr>
          <w:tblHeader/>
        </w:trPr>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cuenta</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Longitud mínima</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Requisitos adicionales</w:t>
            </w:r>
          </w:p>
        </w:tc>
        <w:tc>
          <w:tcPr>
            <w:tcW w:type="dxa" w:w="1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Vigencia máxima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Cuentas de usuario estándar (correo, CRM, ERP)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12 caracteres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 menos una mayúscula, una minúscula, un número y un carácter especial.</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180 días</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Cuentas de administrador / privilegiadas</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16 caracteres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 menos una mayúscula, una minúscula, un número y dos caracteres especiales.</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90 días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Claves de API y tokens de servicio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32 caracteres (generadas automáticamente)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Generadas por herramienta aprobada; nunca escritas manualmente.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90 días o por evento</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Llaves SSH</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4096 bits (RSA) o curva Ed25519</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Protegidas con passphrase obligatoria.</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Anual o por evento de seguridad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Credenciales de producción (BD, servidores)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20 caracteres mínimo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Almacenadas exclusivamente en el gestor de contraseñas corporativo.</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90 días</w:t>
            </w:r>
          </w:p>
        </w:tc>
      </w:tr>
    </w:tbl>
    <w:p>
      <w:pPr>
        <w:spacing w:before="200"/>
      </w:pPr>
    </w:p>
    <w:p>
      <w:pPr>
        <w:pStyle w:val="Heading2"/>
        <w:spacing w:after="140" w:before="280"/>
      </w:pPr>
      <w:r>
        <w:rPr>
          <w:rFonts w:ascii="Arial" w:cs="Arial" w:eastAsia="Arial" w:hAnsi="Arial"/>
          <w:b/>
          <w:bCs/>
          <w:color w:val="2563EB"/>
          <w:sz w:val="28"/>
          <w:szCs w:val="28"/>
        </w:rPr>
        <w:t xml:space="preserve">5.2 Reglas de manejo de contraseñas</w:t>
      </w:r>
    </w:p>
    <w:p>
      <w:pPr>
        <w:pStyle w:val="ListParagraph"/>
        <w:numPr>
          <w:ilvl w:val="0"/>
          <w:numId w:val="2"/>
        </w:numPr>
        <w:spacing w:after="60" w:before="60"/>
      </w:pPr>
      <w:r>
        <w:rPr>
          <w:rFonts w:ascii="Arial" w:cs="Arial" w:eastAsia="Arial" w:hAnsi="Arial"/>
          <w:color w:val="374151"/>
          <w:sz w:val="22"/>
          <w:szCs w:val="22"/>
        </w:rPr>
        <w:t xml:space="preserve">Está PROHIBIDO compartir contraseñas con cualquier persona, incluyendo el CISO, gerentes o soporte técnico. NovaTech nunca solicitará contraseñas por ningún medio.</w:t>
      </w:r>
    </w:p>
    <w:p>
      <w:pPr>
        <w:pStyle w:val="ListParagraph"/>
        <w:numPr>
          <w:ilvl w:val="0"/>
          <w:numId w:val="2"/>
        </w:numPr>
        <w:spacing w:after="60" w:before="60"/>
      </w:pPr>
      <w:r>
        <w:rPr>
          <w:rFonts w:ascii="Arial" w:cs="Arial" w:eastAsia="Arial" w:hAnsi="Arial"/>
          <w:color w:val="374151"/>
          <w:sz w:val="22"/>
          <w:szCs w:val="22"/>
        </w:rPr>
        <w:t xml:space="preserve">Está PROHIBIDO reutilizar las últimas 10 contraseñas usadas en cualquier cuenta.</w:t>
      </w:r>
    </w:p>
    <w:p>
      <w:pPr>
        <w:pStyle w:val="ListParagraph"/>
        <w:numPr>
          <w:ilvl w:val="0"/>
          <w:numId w:val="2"/>
        </w:numPr>
        <w:spacing w:after="60" w:before="60"/>
      </w:pPr>
      <w:r>
        <w:rPr>
          <w:rFonts w:ascii="Arial" w:cs="Arial" w:eastAsia="Arial" w:hAnsi="Arial"/>
          <w:color w:val="374151"/>
          <w:sz w:val="22"/>
          <w:szCs w:val="22"/>
        </w:rPr>
        <w:t xml:space="preserve">Está PROHIBIDO almacenar contraseñas en texto plano en documentos, hojas de cálculo, repositorios, correos electrónicos o notas físicas.</w:t>
      </w:r>
    </w:p>
    <w:p>
      <w:pPr>
        <w:pStyle w:val="ListParagraph"/>
        <w:numPr>
          <w:ilvl w:val="0"/>
          <w:numId w:val="2"/>
        </w:numPr>
        <w:spacing w:after="60" w:before="60"/>
      </w:pPr>
      <w:r>
        <w:rPr>
          <w:rFonts w:ascii="Arial" w:cs="Arial" w:eastAsia="Arial" w:hAnsi="Arial"/>
          <w:color w:val="374151"/>
          <w:sz w:val="22"/>
          <w:szCs w:val="22"/>
        </w:rPr>
        <w:t xml:space="preserve">Está PROHIBIDO hardcodear contraseñas, tokens o claves en el código fuente de cualquier aplicación o script.</w:t>
      </w:r>
    </w:p>
    <w:p>
      <w:pPr>
        <w:pStyle w:val="ListParagraph"/>
        <w:numPr>
          <w:ilvl w:val="0"/>
          <w:numId w:val="2"/>
        </w:numPr>
        <w:spacing w:after="60" w:before="60"/>
      </w:pPr>
      <w:r>
        <w:rPr>
          <w:rFonts w:ascii="Arial" w:cs="Arial" w:eastAsia="Arial" w:hAnsi="Arial"/>
          <w:color w:val="374151"/>
          <w:sz w:val="22"/>
          <w:szCs w:val="22"/>
        </w:rPr>
        <w:t xml:space="preserve">Toda contraseña debe almacenarse en el gestor de contraseñas corporativo aprobado por el CISO.</w:t>
      </w:r>
    </w:p>
    <w:p>
      <w:pPr>
        <w:pStyle w:val="ListParagraph"/>
        <w:numPr>
          <w:ilvl w:val="0"/>
          <w:numId w:val="2"/>
        </w:numPr>
        <w:spacing w:after="60" w:before="60"/>
      </w:pPr>
      <w:r>
        <w:rPr>
          <w:rFonts w:ascii="Arial" w:cs="Arial" w:eastAsia="Arial" w:hAnsi="Arial"/>
          <w:color w:val="374151"/>
          <w:sz w:val="22"/>
          <w:szCs w:val="22"/>
        </w:rPr>
        <w:t xml:space="preserve">Ante sospecha de que una contraseña ha sido comprometida, el usuario debe cambiarla INMEDIATAMENTE y notificar al CISO.</w:t>
      </w:r>
    </w:p>
    <w:p>
      <w:pPr>
        <w:spacing w:before="120"/>
      </w:pPr>
    </w:p>
    <w:p>
      <w:pPr>
        <w:pStyle w:val="Heading2"/>
        <w:spacing w:after="140" w:before="280"/>
      </w:pPr>
      <w:r>
        <w:rPr>
          <w:rFonts w:ascii="Arial" w:cs="Arial" w:eastAsia="Arial" w:hAnsi="Arial"/>
          <w:b/>
          <w:bCs/>
          <w:color w:val="2563EB"/>
          <w:sz w:val="28"/>
          <w:szCs w:val="28"/>
        </w:rPr>
        <w:t xml:space="preserve">5.3 Gestor de contraseñas corporativo</w:t>
      </w:r>
    </w:p>
    <w:p>
      <w:pPr>
        <w:spacing w:after="80" w:before="80"/>
      </w:pPr>
      <w:r>
        <w:rPr>
          <w:rFonts w:ascii="Arial" w:cs="Arial" w:eastAsia="Arial" w:hAnsi="Arial"/>
          <w:color w:val="374151"/>
          <w:sz w:val="22"/>
          <w:szCs w:val="22"/>
        </w:rPr>
        <w:t xml:space="preserve">NovaTech Solutions adoptará un gestor de contraseñas corporativo (ej. 1Password Teams, Bitwarden for Business) como único repositorio autorizado para el almacenamiento de credenciales. Su uso es obligatorio para todos los empleados con acceso a sistemas corporativos.</w:t>
      </w:r>
    </w:p>
    <w:p>
      <w:pPr>
        <w:pStyle w:val="Heading2"/>
        <w:spacing w:after="140" w:before="280"/>
      </w:pPr>
      <w:r>
        <w:rPr>
          <w:rFonts w:ascii="Arial" w:cs="Arial" w:eastAsia="Arial" w:hAnsi="Arial"/>
          <w:b/>
          <w:bCs/>
          <w:color w:val="2563EB"/>
          <w:sz w:val="28"/>
          <w:szCs w:val="28"/>
        </w:rPr>
        <w:t xml:space="preserve">5.4 Bloqueo de cuentas</w:t>
      </w:r>
    </w:p>
    <w:p>
      <w:pPr>
        <w:pStyle w:val="ListParagraph"/>
        <w:numPr>
          <w:ilvl w:val="0"/>
          <w:numId w:val="2"/>
        </w:numPr>
        <w:spacing w:after="60" w:before="60"/>
      </w:pPr>
      <w:r>
        <w:rPr>
          <w:rFonts w:ascii="Arial" w:cs="Arial" w:eastAsia="Arial" w:hAnsi="Arial"/>
          <w:color w:val="374151"/>
          <w:sz w:val="22"/>
          <w:szCs w:val="22"/>
        </w:rPr>
        <w:t xml:space="preserve">Las cuentas se bloquearán automáticamente tras 5 intentos de autenticación fallidos consecutivos.</w:t>
      </w:r>
    </w:p>
    <w:p>
      <w:pPr>
        <w:pStyle w:val="ListParagraph"/>
        <w:numPr>
          <w:ilvl w:val="0"/>
          <w:numId w:val="2"/>
        </w:numPr>
        <w:spacing w:after="60" w:before="60"/>
      </w:pPr>
      <w:r>
        <w:rPr>
          <w:rFonts w:ascii="Arial" w:cs="Arial" w:eastAsia="Arial" w:hAnsi="Arial"/>
          <w:color w:val="374151"/>
          <w:sz w:val="22"/>
          <w:szCs w:val="22"/>
        </w:rPr>
        <w:t xml:space="preserve">El desbloqueo de cuentas corporativas solo puede realizarlo el CISO o el administrador de TI designado, previa verificación de identidad del usuario.</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6. POL-05 — Política de Clasificación y Manejo de Información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Política de Clasificación y Manejo de Información</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ID de política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POL-05</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Versión</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1.0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Fecha de emisión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2026</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Aprueba</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CISO con aprobación del Director General</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Aplica 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Todos los empleados y contratistas de NovaTech Solutions</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Referencias normativas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ISO/IEC 27001:2022 Anexo A — A.5.12, A.5.13, A.5.14 | LFPDPPP Arts. 8, 12, 13, 19</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Riesgos que atiende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A-03, A-05, A-07, A-20, A-22 (Documento 4)</w:t>
            </w:r>
          </w:p>
        </w:tc>
      </w:tr>
    </w:tbl>
    <w:p>
      <w:pPr>
        <w:spacing w:before="200"/>
      </w:pPr>
    </w:p>
    <w:p>
      <w:pPr>
        <w:pStyle w:val="Heading2"/>
        <w:spacing w:after="140" w:before="280"/>
      </w:pPr>
      <w:r>
        <w:rPr>
          <w:rFonts w:ascii="Arial" w:cs="Arial" w:eastAsia="Arial" w:hAnsi="Arial"/>
          <w:b/>
          <w:bCs/>
          <w:color w:val="2563EB"/>
          <w:sz w:val="28"/>
          <w:szCs w:val="28"/>
        </w:rPr>
        <w:t xml:space="preserve">6.1 Niveles de clasificación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3560"/>
      </w:tblGrid>
      <w:tr>
        <w:trPr>
          <w:tblHeader/>
        </w:trPr>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Definición</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Etiqueta obligatoria</w:t>
            </w:r>
          </w:p>
        </w:tc>
        <w:tc>
          <w:tcPr>
            <w:tcW w:type="dxa" w:w="3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Ejemplos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Público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Información que puede divulgarse sin restricciones.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PÚBLICO</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Sitio web, comunicados de prensa, materiales de marketing</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Interno</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Información de uso exclusivo del personal autorizado de NovaTech.</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INTERNO</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Manuales, procedimientos, organigrama, comunicados internos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Confidencial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Información cuya divulgación no autorizada causa daño significativo.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CONFIDENCIAL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Datos personales de clientes y empleados, contratos, información financiera, código fuente</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Crítico</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Información cuya pérdida o divulgación compromete la continuidad del negocio o genera responsabilidad legal grave.</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CRÍTICO</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Credenciales de producción, claves de API, configuraciones de sistemas críticos</w:t>
            </w:r>
          </w:p>
        </w:tc>
      </w:tr>
    </w:tbl>
    <w:p>
      <w:pPr>
        <w:spacing w:before="200"/>
      </w:pPr>
    </w:p>
    <w:p>
      <w:pPr>
        <w:pStyle w:val="Heading2"/>
        <w:spacing w:after="140" w:before="280"/>
      </w:pPr>
      <w:r>
        <w:rPr>
          <w:rFonts w:ascii="Arial" w:cs="Arial" w:eastAsia="Arial" w:hAnsi="Arial"/>
          <w:b/>
          <w:bCs/>
          <w:color w:val="2563EB"/>
          <w:sz w:val="28"/>
          <w:szCs w:val="28"/>
        </w:rPr>
        <w:t xml:space="preserve">6.2 Reglas de manejo por nivel de clasificación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rPr>
          <w:tblHeader/>
        </w:trPr>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Almacenamiento</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Transmisión</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Impresión</w:t>
            </w:r>
          </w:p>
        </w:tc>
        <w:tc>
          <w:tcPr>
            <w:tcW w:type="dxa" w:w="1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Eliminación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Público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restricciones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restricciones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restricciones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Papelera normal</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Interno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Sistemas corporativos autorizados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Correo corporativo; no enviar a cuentas personales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Permitida; desechar en papelera normal</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Papelera o eliminación estándar</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Confidencial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Sistemas corporativos con control de acceso; cifrado en reposo recomendado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Solo correo corporativo con destinatarios verificados; cifrado en tránsito (HTTPS/TLS)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Solo cuando sea necesario; recoger inmediatamente de la impresora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Destrucción segura (triturado o eliminación definitiva digital)</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Crítico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Solo en sistemas aprobados por el CISO; cifrado en reposo obligatorio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Solo canales cifrados y aprobados; nunca por correo sin cifrado adicional</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Prohibida salvo autorización expresa del CISO</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Eliminación segura certificada; desmagnetización o destrucción física para soportes físicos</w:t>
            </w:r>
          </w:p>
        </w:tc>
      </w:tr>
    </w:tbl>
    <w:p>
      <w:pPr>
        <w:spacing w:before="200"/>
      </w:pPr>
    </w:p>
    <w:p>
      <w:pPr>
        <w:pStyle w:val="Heading2"/>
        <w:spacing w:after="140" w:before="280"/>
      </w:pPr>
      <w:r>
        <w:rPr>
          <w:rFonts w:ascii="Arial" w:cs="Arial" w:eastAsia="Arial" w:hAnsi="Arial"/>
          <w:b/>
          <w:bCs/>
          <w:color w:val="2563EB"/>
          <w:sz w:val="28"/>
          <w:szCs w:val="28"/>
        </w:rPr>
        <w:t xml:space="preserve">6.3 Responsabilidades de clasificación</w:t>
      </w:r>
    </w:p>
    <w:p>
      <w:pPr>
        <w:pStyle w:val="ListParagraph"/>
        <w:numPr>
          <w:ilvl w:val="0"/>
          <w:numId w:val="2"/>
        </w:numPr>
        <w:spacing w:after="60" w:before="60"/>
      </w:pPr>
      <w:r>
        <w:rPr>
          <w:rFonts w:ascii="Arial" w:cs="Arial" w:eastAsia="Arial" w:hAnsi="Arial"/>
          <w:color w:val="374151"/>
          <w:sz w:val="22"/>
          <w:szCs w:val="22"/>
        </w:rPr>
        <w:t xml:space="preserve">El propietario de cada activo de información (definido en el Documento 3) es responsable de clasificarlo correctamente y de asegurarse de que los controles correspondientes se apliquen.</w:t>
      </w:r>
    </w:p>
    <w:p>
      <w:pPr>
        <w:pStyle w:val="ListParagraph"/>
        <w:numPr>
          <w:ilvl w:val="0"/>
          <w:numId w:val="2"/>
        </w:numPr>
        <w:spacing w:after="60" w:before="60"/>
      </w:pPr>
      <w:r>
        <w:rPr>
          <w:rFonts w:ascii="Arial" w:cs="Arial" w:eastAsia="Arial" w:hAnsi="Arial"/>
          <w:color w:val="374151"/>
          <w:sz w:val="22"/>
          <w:szCs w:val="22"/>
        </w:rPr>
        <w:t xml:space="preserve">Cuando se genere un nuevo documento, archivo o base de datos, el responsable debe asignarle un nivel de clasificación antes de compartirlo o almacenarlo.</w:t>
      </w:r>
    </w:p>
    <w:p>
      <w:pPr>
        <w:pStyle w:val="ListParagraph"/>
        <w:numPr>
          <w:ilvl w:val="0"/>
          <w:numId w:val="2"/>
        </w:numPr>
        <w:spacing w:after="60" w:before="60"/>
      </w:pPr>
      <w:r>
        <w:rPr>
          <w:rFonts w:ascii="Arial" w:cs="Arial" w:eastAsia="Arial" w:hAnsi="Arial"/>
          <w:color w:val="374151"/>
          <w:sz w:val="22"/>
          <w:szCs w:val="22"/>
        </w:rPr>
        <w:t xml:space="preserve">En caso de duda sobre el nivel de clasificación de un activo, debe aplicarse el nivel inmediatamente superior (más restrictivo) y consultar al CISO.</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7. POL-06 — Política de Seguridad en el Desarrollo de Software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Política de Seguridad en el Desarrollo de Software</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ID de política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POL-06</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Versión</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1.0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Fecha de emisión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2026</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Aprueba</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Gerente de Desarrollo y CISO con aprobación del Director General</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Aplica 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Todo el equipo de Desarrollo de Software y DevOps de NovaTech Solutions</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Referencias normativas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ISO/IEC 27001:2022 Anexo A — A.8.25, A.8.26, A.8.27, A.8.28, A.8.29, A.8.30, A.8.31</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Riesgos que atiende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A-03, A-04, A-05, A-06, A-15, A-17, A-18 (Documento 4)</w:t>
            </w:r>
          </w:p>
        </w:tc>
      </w:tr>
    </w:tbl>
    <w:p>
      <w:pPr>
        <w:spacing w:before="200"/>
      </w:pPr>
    </w:p>
    <w:p>
      <w:pPr>
        <w:pStyle w:val="Heading2"/>
        <w:spacing w:after="140" w:before="280"/>
      </w:pPr>
      <w:r>
        <w:rPr>
          <w:rFonts w:ascii="Arial" w:cs="Arial" w:eastAsia="Arial" w:hAnsi="Arial"/>
          <w:b/>
          <w:bCs/>
          <w:color w:val="2563EB"/>
          <w:sz w:val="28"/>
          <w:szCs w:val="28"/>
        </w:rPr>
        <w:t xml:space="preserve">7.1 Principios de desarrollo seguro</w:t>
      </w:r>
    </w:p>
    <w:p>
      <w:pPr>
        <w:pStyle w:val="ListParagraph"/>
        <w:numPr>
          <w:ilvl w:val="0"/>
          <w:numId w:val="2"/>
        </w:numPr>
        <w:spacing w:after="60" w:before="60"/>
      </w:pPr>
      <w:r>
        <w:rPr>
          <w:rFonts w:ascii="Arial" w:cs="Arial" w:eastAsia="Arial" w:hAnsi="Arial"/>
          <w:color w:val="374151"/>
          <w:sz w:val="22"/>
          <w:szCs w:val="22"/>
        </w:rPr>
        <w:t xml:space="preserve">Security by design: la seguridad debe considerarse desde las fases de diseño de cada aplicación o funcionalidad, no añadirse al final del desarrollo.</w:t>
      </w:r>
    </w:p>
    <w:p>
      <w:pPr>
        <w:pStyle w:val="ListParagraph"/>
        <w:numPr>
          <w:ilvl w:val="0"/>
          <w:numId w:val="2"/>
        </w:numPr>
        <w:spacing w:after="60" w:before="60"/>
      </w:pPr>
      <w:r>
        <w:rPr>
          <w:rFonts w:ascii="Arial" w:cs="Arial" w:eastAsia="Arial" w:hAnsi="Arial"/>
          <w:color w:val="374151"/>
          <w:sz w:val="22"/>
          <w:szCs w:val="22"/>
        </w:rPr>
        <w:t xml:space="preserve">Separación de ambientes: los ambientes de desarrollo, pruebas (staging) y producción deben estar físicamente y lógicamente separados. Ningún desarrollador debe aplicar cambios directamente en producción sin pasar por el proceso de gestión de cambios.</w:t>
      </w:r>
    </w:p>
    <w:p>
      <w:pPr>
        <w:pStyle w:val="ListParagraph"/>
        <w:numPr>
          <w:ilvl w:val="0"/>
          <w:numId w:val="2"/>
        </w:numPr>
        <w:spacing w:after="60" w:before="60"/>
      </w:pPr>
      <w:r>
        <w:rPr>
          <w:rFonts w:ascii="Arial" w:cs="Arial" w:eastAsia="Arial" w:hAnsi="Arial"/>
          <w:color w:val="374151"/>
          <w:sz w:val="22"/>
          <w:szCs w:val="22"/>
        </w:rPr>
        <w:t xml:space="preserve">Datos de prueba: está prohibido usar datos reales de clientes o empleados en ambientes de desarrollo o pruebas. Deben usarse datos sintéticos o anonimizados.</w:t>
      </w:r>
    </w:p>
    <w:p>
      <w:pPr>
        <w:spacing w:before="120"/>
      </w:pPr>
    </w:p>
    <w:p>
      <w:pPr>
        <w:pStyle w:val="Heading2"/>
        <w:spacing w:after="140" w:before="280"/>
      </w:pPr>
      <w:r>
        <w:rPr>
          <w:rFonts w:ascii="Arial" w:cs="Arial" w:eastAsia="Arial" w:hAnsi="Arial"/>
          <w:b/>
          <w:bCs/>
          <w:color w:val="2563EB"/>
          <w:sz w:val="28"/>
          <w:szCs w:val="28"/>
        </w:rPr>
        <w:t xml:space="preserve">7.2 Gestión segura de secretos y credenciales en el código</w:t>
      </w:r>
    </w:p>
    <w:p>
      <w:pPr>
        <w:pStyle w:val="ListParagraph"/>
        <w:numPr>
          <w:ilvl w:val="0"/>
          <w:numId w:val="2"/>
        </w:numPr>
        <w:spacing w:after="60" w:before="60"/>
      </w:pPr>
      <w:r>
        <w:rPr>
          <w:rFonts w:ascii="Arial" w:cs="Arial" w:eastAsia="Arial" w:hAnsi="Arial"/>
          <w:color w:val="374151"/>
          <w:sz w:val="22"/>
          <w:szCs w:val="22"/>
        </w:rPr>
        <w:t xml:space="preserve">Está PROHIBIDO almacenar contraseñas, tokens, claves de API, claves privadas o cualquier secreto directamente en el código fuente (hardcoding).</w:t>
      </w:r>
    </w:p>
    <w:p>
      <w:pPr>
        <w:pStyle w:val="ListParagraph"/>
        <w:numPr>
          <w:ilvl w:val="0"/>
          <w:numId w:val="2"/>
        </w:numPr>
        <w:spacing w:after="60" w:before="60"/>
      </w:pPr>
      <w:r>
        <w:rPr>
          <w:rFonts w:ascii="Arial" w:cs="Arial" w:eastAsia="Arial" w:hAnsi="Arial"/>
          <w:color w:val="374151"/>
          <w:sz w:val="22"/>
          <w:szCs w:val="22"/>
        </w:rPr>
        <w:t xml:space="preserve">Todo secreto debe gestionarse mediante variables de entorno, servicios de gestión de secretos (ej. AWS Secrets Manager, HashiCorp Vault) o el gestor de contraseñas corporativo.</w:t>
      </w:r>
    </w:p>
    <w:p>
      <w:pPr>
        <w:pStyle w:val="ListParagraph"/>
        <w:numPr>
          <w:ilvl w:val="0"/>
          <w:numId w:val="2"/>
        </w:numPr>
        <w:spacing w:after="60" w:before="60"/>
      </w:pPr>
      <w:r>
        <w:rPr>
          <w:rFonts w:ascii="Arial" w:cs="Arial" w:eastAsia="Arial" w:hAnsi="Arial"/>
          <w:color w:val="374151"/>
          <w:sz w:val="22"/>
          <w:szCs w:val="22"/>
        </w:rPr>
        <w:t xml:space="preserve">El pipeline de CI/CD debe incluir un paso de escaneo automático de secretos (ej. GitGuardian, TruffleHog, gitleaks) que bloquee el merge si se detectan credenciales en el código.</w:t>
      </w:r>
    </w:p>
    <w:p>
      <w:pPr>
        <w:pStyle w:val="ListParagraph"/>
        <w:numPr>
          <w:ilvl w:val="0"/>
          <w:numId w:val="2"/>
        </w:numPr>
        <w:spacing w:after="60" w:before="60"/>
      </w:pPr>
      <w:r>
        <w:rPr>
          <w:rFonts w:ascii="Arial" w:cs="Arial" w:eastAsia="Arial" w:hAnsi="Arial"/>
          <w:color w:val="374151"/>
          <w:sz w:val="22"/>
          <w:szCs w:val="22"/>
        </w:rPr>
        <w:t xml:space="preserve">Los repositorios de NovaTech deben ser privados por defecto. Ningún repositorio con código productivo o datos de clientes debe ser público.</w:t>
      </w:r>
    </w:p>
    <w:p>
      <w:pPr>
        <w:spacing w:before="120"/>
      </w:pPr>
    </w:p>
    <w:p>
      <w:pPr>
        <w:pStyle w:val="Heading2"/>
        <w:spacing w:after="140" w:before="280"/>
      </w:pPr>
      <w:r>
        <w:rPr>
          <w:rFonts w:ascii="Arial" w:cs="Arial" w:eastAsia="Arial" w:hAnsi="Arial"/>
          <w:b/>
          <w:bCs/>
          <w:color w:val="2563EB"/>
          <w:sz w:val="28"/>
          <w:szCs w:val="28"/>
        </w:rPr>
        <w:t xml:space="preserve">7.3 Proceso de revisión y gestión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Etapa del proceso</w:t>
            </w:r>
          </w:p>
        </w:tc>
        <w:tc>
          <w:tcPr>
            <w:tcW w:type="dxa" w:w="6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Requisito de seguridad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Diseño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Análisis de requisitos de seguridad; modelado de amenazas para funcionalidades críticas.</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Desarrollo</w:t>
            </w:r>
          </w:p>
        </w:tc>
        <w:tc>
          <w:tcPr>
            <w:tcW w:type="dxa" w:w="6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Aplicación de estándares de codificación segura (OWASP Top 10); prohibición de hardcoding de secretos.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Revisión de código (Code Review)</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 código debe ser revisado por al menos otro desarrollador antes de hacer merge a la rama principal; revisión orientada a seguridad.</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Pruebas de seguridad</w:t>
            </w:r>
          </w:p>
        </w:tc>
        <w:tc>
          <w:tcPr>
            <w:tcW w:type="dxa" w:w="6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Pruebas de seguridad de aplicaciones (SAST/DAST) para cambios de alto impacto antes de despliegue.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Despliegue (Deploy)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Solo a través del pipeline CI/CD aprobado; prohibido el despliegue manual directo a producción sin aprobación.</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Gestión de cambios en producción</w:t>
            </w:r>
          </w:p>
        </w:tc>
        <w:tc>
          <w:tcPr>
            <w:tcW w:type="dxa" w:w="6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Toda modificación en producción requiere: solicitud documentada, aprobación del Gerente de Desarrollo y el CISO, y plan de rollback documentado.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Post-despliegue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Monitoreo activo por al menos 2 horas tras cada despliegue; rollback inmediato si se detectan anomalías.</w:t>
            </w:r>
          </w:p>
        </w:tc>
      </w:tr>
    </w:tbl>
    <w:p>
      <w:pPr>
        <w:spacing w:before="200"/>
      </w:pPr>
    </w:p>
    <w:p>
      <w:pPr>
        <w:pStyle w:val="Heading2"/>
        <w:spacing w:after="140" w:before="280"/>
      </w:pPr>
      <w:r>
        <w:rPr>
          <w:rFonts w:ascii="Arial" w:cs="Arial" w:eastAsia="Arial" w:hAnsi="Arial"/>
          <w:b/>
          <w:bCs/>
          <w:color w:val="2563EB"/>
          <w:sz w:val="28"/>
          <w:szCs w:val="28"/>
        </w:rPr>
        <w:t xml:space="preserve">7.4 Gestión de vulnerabilidades en software</w:t>
      </w:r>
    </w:p>
    <w:p>
      <w:pPr>
        <w:pStyle w:val="ListParagraph"/>
        <w:numPr>
          <w:ilvl w:val="0"/>
          <w:numId w:val="2"/>
        </w:numPr>
        <w:spacing w:after="60" w:before="60"/>
      </w:pPr>
      <w:r>
        <w:rPr>
          <w:rFonts w:ascii="Arial" w:cs="Arial" w:eastAsia="Arial" w:hAnsi="Arial"/>
          <w:color w:val="374151"/>
          <w:sz w:val="22"/>
          <w:szCs w:val="22"/>
        </w:rPr>
        <w:t xml:space="preserve">El equipo de DevOps realizará un escaneo de vulnerabilidades mensual en los sistemas operativos y dependencias de los servidores de producción.</w:t>
      </w:r>
    </w:p>
    <w:p>
      <w:pPr>
        <w:pStyle w:val="ListParagraph"/>
        <w:numPr>
          <w:ilvl w:val="0"/>
          <w:numId w:val="2"/>
        </w:numPr>
        <w:spacing w:after="60" w:before="60"/>
      </w:pPr>
      <w:r>
        <w:rPr>
          <w:rFonts w:ascii="Arial" w:cs="Arial" w:eastAsia="Arial" w:hAnsi="Arial"/>
          <w:color w:val="374151"/>
          <w:sz w:val="22"/>
          <w:szCs w:val="22"/>
        </w:rPr>
        <w:t xml:space="preserve">Los parches de seguridad críticos deben aplicarse dentro de los 15 días naturales posteriores a su publicación.</w:t>
      </w:r>
    </w:p>
    <w:p>
      <w:pPr>
        <w:pStyle w:val="ListParagraph"/>
        <w:numPr>
          <w:ilvl w:val="0"/>
          <w:numId w:val="2"/>
        </w:numPr>
        <w:spacing w:after="60" w:before="60"/>
      </w:pPr>
      <w:r>
        <w:rPr>
          <w:rFonts w:ascii="Arial" w:cs="Arial" w:eastAsia="Arial" w:hAnsi="Arial"/>
          <w:color w:val="374151"/>
          <w:sz w:val="22"/>
          <w:szCs w:val="22"/>
        </w:rPr>
        <w:t xml:space="preserve">Las dependencias de código abierto (librerías, frameworks) deben revisarse periódicamente para identificar vulnerabilidades conocidas (CVE). Herramientas recomendadas: Dependabot, OWASP Dependency-Check.</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8. POL-07 — Política de Gestión de Incidentes de Seguridad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Política de Gestión de Incidentes de Seguridad</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ID de política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POL-07</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Versión</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1.0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Fecha de emisión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2026</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Aprueba</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CISO con aprobación del Director General</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Aplica 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Todos los empleados, contratistas y el equipo CSIRT de NovaTech Solutions</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Referencias normativas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ISO/IEC 27001:2022 Anexo A — A.5.24, A.5.25, A.5.26, A.5.27, A.5.28 | LFPDPPP Art. 20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Riesgos que atiende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Todos los escenarios de riesgo identificados — respuesta ante materialización de cualquier amenaza</w:t>
            </w:r>
          </w:p>
        </w:tc>
      </w:tr>
    </w:tbl>
    <w:p>
      <w:pPr>
        <w:spacing w:before="200"/>
      </w:pPr>
    </w:p>
    <w:p>
      <w:pPr>
        <w:pStyle w:val="Heading2"/>
        <w:spacing w:after="140" w:before="280"/>
      </w:pPr>
      <w:r>
        <w:rPr>
          <w:rFonts w:ascii="Arial" w:cs="Arial" w:eastAsia="Arial" w:hAnsi="Arial"/>
          <w:b/>
          <w:bCs/>
          <w:color w:val="2563EB"/>
          <w:sz w:val="28"/>
          <w:szCs w:val="28"/>
        </w:rPr>
        <w:t xml:space="preserve">8.1 Definición de incidente de seguridad</w:t>
      </w:r>
    </w:p>
    <w:p>
      <w:pPr>
        <w:spacing w:after="80" w:before="80"/>
      </w:pPr>
      <w:r>
        <w:rPr>
          <w:rFonts w:ascii="Arial" w:cs="Arial" w:eastAsia="Arial" w:hAnsi="Arial"/>
          <w:color w:val="374151"/>
          <w:sz w:val="22"/>
          <w:szCs w:val="22"/>
        </w:rPr>
        <w:t xml:space="preserve">Un incidente de seguridad de la información es cualquier evento que comprometa o amenace la confidencialidad, integridad o disponibilidad de los activos de información de NovaTech Solutions, ya sea de forma confirmada o sospechada.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Ejemplos de incidentes que DEBEN reportarse</w:t>
            </w:r>
          </w:p>
        </w:tc>
        <w:tc>
          <w:tcPr>
            <w:tcW w:type="dxa" w:w="3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Clasificación inicial</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Acceso no autorizado sospechado o confirmado a cualquier sistema o dato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Incidente de seguridad</w:t>
            </w:r>
          </w:p>
        </w:tc>
      </w:tr>
      <w:tr>
        <w:tc>
          <w:tcPr>
            <w:tcW w:type="dxa" w:w="6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Recepción de correos de phishing o intentos de ingeniería social</w:t>
            </w:r>
          </w:p>
        </w:tc>
        <w:tc>
          <w:tcPr>
            <w:tcW w:type="dxa" w:w="3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Intento de incidente</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Pérdida o robo de un dispositivo corporativo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Incidente de seguridad</w:t>
            </w:r>
          </w:p>
        </w:tc>
      </w:tr>
      <w:tr>
        <w:tc>
          <w:tcPr>
            <w:tcW w:type="dxa" w:w="6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Detección de malware o comportamiento anómalo en un equipo</w:t>
            </w:r>
          </w:p>
        </w:tc>
        <w:tc>
          <w:tcPr>
            <w:tcW w:type="dxa" w:w="3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 de seguridad</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Filtración de información a destinatarios no autorizados (incluyendo errores)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Incidente de seguridad</w:t>
            </w:r>
          </w:p>
        </w:tc>
      </w:tr>
      <w:tr>
        <w:tc>
          <w:tcPr>
            <w:tcW w:type="dxa" w:w="6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Interrupción no planificada de sistemas críticos (CRM, repositorios, producción)</w:t>
            </w:r>
          </w:p>
        </w:tc>
        <w:tc>
          <w:tcPr>
            <w:tcW w:type="dxa" w:w="3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 de disponibilidad</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Sospecha de que una contraseña corporativa ha sido comprometida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Incidente de seguridad</w:t>
            </w:r>
          </w:p>
        </w:tc>
      </w:tr>
      <w:tr>
        <w:tc>
          <w:tcPr>
            <w:tcW w:type="dxa" w:w="6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Detección de cambios no autorizados en el código fuente o configuraciones</w:t>
            </w:r>
          </w:p>
        </w:tc>
        <w:tc>
          <w:tcPr>
            <w:tcW w:type="dxa" w:w="3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 de integridad</w:t>
            </w:r>
          </w:p>
        </w:tc>
      </w:tr>
    </w:tbl>
    <w:p>
      <w:pPr>
        <w:spacing w:before="200"/>
      </w:pPr>
    </w:p>
    <w:p>
      <w:pPr>
        <w:pStyle w:val="Heading2"/>
        <w:spacing w:after="140" w:before="280"/>
      </w:pPr>
      <w:r>
        <w:rPr>
          <w:rFonts w:ascii="Arial" w:cs="Arial" w:eastAsia="Arial" w:hAnsi="Arial"/>
          <w:b/>
          <w:bCs/>
          <w:color w:val="2563EB"/>
          <w:sz w:val="28"/>
          <w:szCs w:val="28"/>
        </w:rPr>
        <w:t xml:space="preserve">8.2 Obligación de reporte</w:t>
      </w:r>
    </w:p>
    <w:p>
      <w:pPr>
        <w:pStyle w:val="ListParagraph"/>
        <w:numPr>
          <w:ilvl w:val="0"/>
          <w:numId w:val="2"/>
        </w:numPr>
        <w:spacing w:after="60" w:before="60"/>
      </w:pPr>
      <w:r>
        <w:rPr>
          <w:rFonts w:ascii="Arial" w:cs="Arial" w:eastAsia="Arial" w:hAnsi="Arial"/>
          <w:color w:val="374151"/>
          <w:sz w:val="22"/>
          <w:szCs w:val="22"/>
        </w:rPr>
        <w:t xml:space="preserve">TODO empleado que detecte o sospeche un incidente de seguridad tiene la obligación INMEDIATA de reportarlo al CISO, independientemente de si considera que el impacto es menor.</w:t>
      </w:r>
    </w:p>
    <w:p>
      <w:pPr>
        <w:pStyle w:val="ListParagraph"/>
        <w:numPr>
          <w:ilvl w:val="0"/>
          <w:numId w:val="2"/>
        </w:numPr>
        <w:spacing w:after="60" w:before="60"/>
      </w:pPr>
      <w:r>
        <w:rPr>
          <w:rFonts w:ascii="Arial" w:cs="Arial" w:eastAsia="Arial" w:hAnsi="Arial"/>
          <w:color w:val="374151"/>
          <w:sz w:val="22"/>
          <w:szCs w:val="22"/>
        </w:rPr>
        <w:t xml:space="preserve">El reporte puede realizarse por correo electrónico al CISO, por teléfono directo o a través del canal de reporte de incidentes designado por el CISO.</w:t>
      </w:r>
    </w:p>
    <w:p>
      <w:pPr>
        <w:pStyle w:val="ListParagraph"/>
        <w:numPr>
          <w:ilvl w:val="0"/>
          <w:numId w:val="2"/>
        </w:numPr>
        <w:spacing w:after="60" w:before="60"/>
      </w:pPr>
      <w:r>
        <w:rPr>
          <w:rFonts w:ascii="Arial" w:cs="Arial" w:eastAsia="Arial" w:hAnsi="Arial"/>
          <w:color w:val="374151"/>
          <w:sz w:val="22"/>
          <w:szCs w:val="22"/>
        </w:rPr>
        <w:t xml:space="preserve">Está prohibido intentar resolver un incidente de seguridad de manera individual sin notificar al CISO. Solo el equipo CSIRT coordina la respuesta formal.</w:t>
      </w:r>
    </w:p>
    <w:p>
      <w:pPr>
        <w:pStyle w:val="ListParagraph"/>
        <w:numPr>
          <w:ilvl w:val="0"/>
          <w:numId w:val="2"/>
        </w:numPr>
        <w:spacing w:after="60" w:before="60"/>
      </w:pPr>
      <w:r>
        <w:rPr>
          <w:rFonts w:ascii="Arial" w:cs="Arial" w:eastAsia="Arial" w:hAnsi="Arial"/>
          <w:color w:val="374151"/>
          <w:sz w:val="22"/>
          <w:szCs w:val="22"/>
        </w:rPr>
        <w:t xml:space="preserve">No reportar un incidente de seguridad conocido es una falta disciplinaria grave.</w:t>
      </w:r>
    </w:p>
    <w:p>
      <w:pPr>
        <w:spacing w:before="120"/>
      </w:pPr>
    </w:p>
    <w:p>
      <w:pPr>
        <w:pStyle w:val="Heading2"/>
        <w:spacing w:after="140" w:before="280"/>
      </w:pPr>
      <w:r>
        <w:rPr>
          <w:rFonts w:ascii="Arial" w:cs="Arial" w:eastAsia="Arial" w:hAnsi="Arial"/>
          <w:b/>
          <w:bCs/>
          <w:color w:val="2563EB"/>
          <w:sz w:val="28"/>
          <w:szCs w:val="28"/>
        </w:rPr>
        <w:t xml:space="preserve">8.3 Proceso de gestión de incidentes (resumen)</w:t>
      </w:r>
    </w:p>
    <w:p>
      <w:pPr>
        <w:spacing w:after="80" w:before="80"/>
      </w:pPr>
      <w:r>
        <w:rPr>
          <w:rFonts w:ascii="Arial" w:cs="Arial" w:eastAsia="Arial" w:hAnsi="Arial"/>
          <w:color w:val="374151"/>
          <w:sz w:val="22"/>
          <w:szCs w:val="22"/>
        </w:rPr>
        <w:t xml:space="preserve">El proceso detallado de gestión de incidentes se desarrolla en el Documento 8 — Respuesta a Incidentes. A continuación se presenta el resumen de las fases obligatorias: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360"/>
      </w:tblGrid>
      <w:tr>
        <w:trPr>
          <w:tblHeader/>
        </w:trPr>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Fase</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 clave</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2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Tiempo máximo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Detección y reporte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Cualquier empleado detecta y reporta al CISO.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 el personal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Inmediato (máx. 1 hora)</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 Clasificación y priorización</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evalúa el alcance e impacto; activa al CSIRT si es necesario.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 2 horas del reporte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 Contención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Aislar sistemas afectados; evitar la propagación del daño.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CSIRT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Dentro de 4 horas de clasificación</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 Erradicación</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Eliminar la causa raíz del incidente.</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CSIRT + área técnica</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Variable según complejidad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 Recuperación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Restaurar los sistemas y datos afectados a su estado operativo normal.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CSIRT + DevOps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Variable según impacto</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 Lecciones aprendidas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Documentar el incidente; analizar la causa raíz; proponer mejoras.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CSIRT</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Dentro de los 5 días hábiles posteriores</w:t>
            </w:r>
          </w:p>
        </w:tc>
      </w:tr>
    </w:tbl>
    <w:p>
      <w:pPr>
        <w:spacing w:before="200"/>
      </w:pPr>
    </w:p>
    <w:p>
      <w:pPr>
        <w:pStyle w:val="Heading2"/>
        <w:spacing w:after="140" w:before="280"/>
      </w:pPr>
      <w:r>
        <w:rPr>
          <w:rFonts w:ascii="Arial" w:cs="Arial" w:eastAsia="Arial" w:hAnsi="Arial"/>
          <w:b/>
          <w:bCs/>
          <w:color w:val="2563EB"/>
          <w:sz w:val="28"/>
          <w:szCs w:val="28"/>
        </w:rPr>
        <w:t xml:space="preserve">8.4 Notificación a autoridades y titulares</w:t>
      </w:r>
    </w:p>
    <w:p>
      <w:pPr>
        <w:spacing w:after="80" w:before="80"/>
      </w:pPr>
      <w:r>
        <w:rPr>
          <w:rFonts w:ascii="Arial" w:cs="Arial" w:eastAsia="Arial" w:hAnsi="Arial"/>
          <w:color w:val="374151"/>
          <w:sz w:val="22"/>
          <w:szCs w:val="22"/>
        </w:rPr>
        <w:t xml:space="preserve">En caso de que el incidente implique una vulneración de seguridad de datos personales (conforme al artículo 20 de la LFPDPPP), el DPO notificará al INAI dentro del plazo legal aplicable, y a los titulares afectados cuando la vulneración suponga un riesgo significativo para sus derechos y libertades.</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9. POL-08 — Política de Escritorios Limpios y Pantallas Limpias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Política de Escritorios Limpios y Pantallas Limpias</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ID de política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POL-08</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Versión</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1.0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Fecha de emisión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2026</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Aprueba</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CISO con aprobación del Director General</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Aplica 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Todos los empleados y contratistas con acceso a instalaciones o equipos de NovaTech</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Referencias normativas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ISO/IEC 27001:2022 Anexo A — A.7.7, A.7.9</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Riesgos que atiende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A-02, A-22 (Documento 4) — mitigación del riesgo físico de exposición de información</w:t>
            </w:r>
          </w:p>
        </w:tc>
      </w:tr>
    </w:tbl>
    <w:p>
      <w:pPr>
        <w:spacing w:before="200"/>
      </w:pPr>
    </w:p>
    <w:p>
      <w:pPr>
        <w:pStyle w:val="Heading2"/>
        <w:spacing w:after="140" w:before="280"/>
      </w:pPr>
      <w:r>
        <w:rPr>
          <w:rFonts w:ascii="Arial" w:cs="Arial" w:eastAsia="Arial" w:hAnsi="Arial"/>
          <w:b/>
          <w:bCs/>
          <w:color w:val="2563EB"/>
          <w:sz w:val="28"/>
          <w:szCs w:val="28"/>
        </w:rPr>
        <w:t xml:space="preserve">9.1 Regla de escritorio limpio</w:t>
      </w:r>
    </w:p>
    <w:p>
      <w:pPr>
        <w:pStyle w:val="ListParagraph"/>
        <w:numPr>
          <w:ilvl w:val="0"/>
          <w:numId w:val="2"/>
        </w:numPr>
        <w:spacing w:after="60" w:before="60"/>
      </w:pPr>
      <w:r>
        <w:rPr>
          <w:rFonts w:ascii="Arial" w:cs="Arial" w:eastAsia="Arial" w:hAnsi="Arial"/>
          <w:color w:val="374151"/>
          <w:sz w:val="22"/>
          <w:szCs w:val="22"/>
        </w:rPr>
        <w:t xml:space="preserve">Al ausentarse del puesto de trabajo, aunque sea temporalmente, el empleado debe retirar o guardar bajo llave cualquier documento físico que contenga información clasificada como Interna, Confidencial o Crítica.</w:t>
      </w:r>
    </w:p>
    <w:p>
      <w:pPr>
        <w:pStyle w:val="ListParagraph"/>
        <w:numPr>
          <w:ilvl w:val="0"/>
          <w:numId w:val="2"/>
        </w:numPr>
        <w:spacing w:after="60" w:before="60"/>
      </w:pPr>
      <w:r>
        <w:rPr>
          <w:rFonts w:ascii="Arial" w:cs="Arial" w:eastAsia="Arial" w:hAnsi="Arial"/>
          <w:color w:val="374151"/>
          <w:sz w:val="22"/>
          <w:szCs w:val="22"/>
        </w:rPr>
        <w:t xml:space="preserve">Los documentos confidenciales no deben dejarse sobre escritorios, impresoras o áreas de acceso general sin supervisión.</w:t>
      </w:r>
    </w:p>
    <w:p>
      <w:pPr>
        <w:pStyle w:val="ListParagraph"/>
        <w:numPr>
          <w:ilvl w:val="0"/>
          <w:numId w:val="2"/>
        </w:numPr>
        <w:spacing w:after="60" w:before="60"/>
      </w:pPr>
      <w:r>
        <w:rPr>
          <w:rFonts w:ascii="Arial" w:cs="Arial" w:eastAsia="Arial" w:hAnsi="Arial"/>
          <w:color w:val="374151"/>
          <w:sz w:val="22"/>
          <w:szCs w:val="22"/>
        </w:rPr>
        <w:t xml:space="preserve">Los dispositivos de almacenamiento externo (USB, discos duros) deben guardarse de manera segura cuando no estén en uso.</w:t>
      </w:r>
    </w:p>
    <w:p>
      <w:pPr>
        <w:pStyle w:val="ListParagraph"/>
        <w:numPr>
          <w:ilvl w:val="0"/>
          <w:numId w:val="2"/>
        </w:numPr>
        <w:spacing w:after="60" w:before="60"/>
      </w:pPr>
      <w:r>
        <w:rPr>
          <w:rFonts w:ascii="Arial" w:cs="Arial" w:eastAsia="Arial" w:hAnsi="Arial"/>
          <w:color w:val="374151"/>
          <w:sz w:val="22"/>
          <w:szCs w:val="22"/>
        </w:rPr>
        <w:t xml:space="preserve">Los documentos físicos que ya no sean necesarios deben destruirse de forma segura mediante trituradora de papel, especialmente si contienen información Confidencial o Crítica.</w:t>
      </w:r>
    </w:p>
    <w:p>
      <w:pPr>
        <w:spacing w:before="120"/>
      </w:pPr>
    </w:p>
    <w:p>
      <w:pPr>
        <w:pStyle w:val="Heading2"/>
        <w:spacing w:after="140" w:before="280"/>
      </w:pPr>
      <w:r>
        <w:rPr>
          <w:rFonts w:ascii="Arial" w:cs="Arial" w:eastAsia="Arial" w:hAnsi="Arial"/>
          <w:b/>
          <w:bCs/>
          <w:color w:val="2563EB"/>
          <w:sz w:val="28"/>
          <w:szCs w:val="28"/>
        </w:rPr>
        <w:t xml:space="preserve">9.2 Regla de pantalla limpia</w:t>
      </w:r>
    </w:p>
    <w:p>
      <w:pPr>
        <w:pStyle w:val="ListParagraph"/>
        <w:numPr>
          <w:ilvl w:val="0"/>
          <w:numId w:val="2"/>
        </w:numPr>
        <w:spacing w:after="60" w:before="60"/>
      </w:pPr>
      <w:r>
        <w:rPr>
          <w:rFonts w:ascii="Arial" w:cs="Arial" w:eastAsia="Arial" w:hAnsi="Arial"/>
          <w:color w:val="374151"/>
          <w:sz w:val="22"/>
          <w:szCs w:val="22"/>
        </w:rPr>
        <w:t xml:space="preserve">Al ausentarse del equipo de trabajo por más de 3 minutos, el empleado debe bloquear la pantalla (Windows: Win+L | Mac: Ctrl+Cmd+Q).</w:t>
      </w:r>
    </w:p>
    <w:p>
      <w:pPr>
        <w:pStyle w:val="ListParagraph"/>
        <w:numPr>
          <w:ilvl w:val="0"/>
          <w:numId w:val="2"/>
        </w:numPr>
        <w:spacing w:after="60" w:before="60"/>
      </w:pPr>
      <w:r>
        <w:rPr>
          <w:rFonts w:ascii="Arial" w:cs="Arial" w:eastAsia="Arial" w:hAnsi="Arial"/>
          <w:color w:val="374151"/>
          <w:sz w:val="22"/>
          <w:szCs w:val="22"/>
        </w:rPr>
        <w:t xml:space="preserve">Los equipos deben configurarse para bloquear automáticamente la pantalla tras 5 minutos de inactividad como máximo.</w:t>
      </w:r>
    </w:p>
    <w:p>
      <w:pPr>
        <w:pStyle w:val="ListParagraph"/>
        <w:numPr>
          <w:ilvl w:val="0"/>
          <w:numId w:val="2"/>
        </w:numPr>
        <w:spacing w:after="60" w:before="60"/>
      </w:pPr>
      <w:r>
        <w:rPr>
          <w:rFonts w:ascii="Arial" w:cs="Arial" w:eastAsia="Arial" w:hAnsi="Arial"/>
          <w:color w:val="374151"/>
          <w:sz w:val="22"/>
          <w:szCs w:val="22"/>
        </w:rPr>
        <w:t xml:space="preserve">Está prohibido dejar sesiones abiertas en sistemas corporativos en equipos compartidos, equipos de clientes o en cualquier equipo no gestionado por NovaTech (lección directa del Incidente I).</w:t>
      </w:r>
    </w:p>
    <w:p>
      <w:pPr>
        <w:pStyle w:val="ListParagraph"/>
        <w:numPr>
          <w:ilvl w:val="0"/>
          <w:numId w:val="2"/>
        </w:numPr>
        <w:spacing w:after="60" w:before="60"/>
      </w:pPr>
      <w:r>
        <w:rPr>
          <w:rFonts w:ascii="Arial" w:cs="Arial" w:eastAsia="Arial" w:hAnsi="Arial"/>
          <w:color w:val="374151"/>
          <w:sz w:val="22"/>
          <w:szCs w:val="22"/>
        </w:rPr>
        <w:t xml:space="preserve">Al finalizar la jornada laboral o al término de una sesión de trabajo remoto, el empleado debe cerrar sesión completamente en todos los sistemas corporativos.</w:t>
      </w:r>
    </w:p>
    <w:p>
      <w:pPr>
        <w:spacing w:before="120"/>
      </w:pPr>
    </w:p>
    <w:p>
      <w:pPr>
        <w:pStyle w:val="Heading2"/>
        <w:spacing w:after="140" w:before="280"/>
      </w:pPr>
      <w:r>
        <w:rPr>
          <w:rFonts w:ascii="Arial" w:cs="Arial" w:eastAsia="Arial" w:hAnsi="Arial"/>
          <w:b/>
          <w:bCs/>
          <w:color w:val="2563EB"/>
          <w:sz w:val="28"/>
          <w:szCs w:val="28"/>
        </w:rPr>
        <w:t xml:space="preserve">9.3 Trabajo remoto</w:t>
      </w:r>
    </w:p>
    <w:p>
      <w:pPr>
        <w:pStyle w:val="ListParagraph"/>
        <w:numPr>
          <w:ilvl w:val="0"/>
          <w:numId w:val="2"/>
        </w:numPr>
        <w:spacing w:after="60" w:before="60"/>
      </w:pPr>
      <w:r>
        <w:rPr>
          <w:rFonts w:ascii="Arial" w:cs="Arial" w:eastAsia="Arial" w:hAnsi="Arial"/>
          <w:color w:val="374151"/>
          <w:sz w:val="22"/>
          <w:szCs w:val="22"/>
        </w:rPr>
        <w:t xml:space="preserve">Los empleados que trabajen de manera remota deben asegurarse de que su entorno de trabajo no permita que personas no autorizadas vean información confidencial en la pantalla.</w:t>
      </w:r>
    </w:p>
    <w:p>
      <w:pPr>
        <w:pStyle w:val="ListParagraph"/>
        <w:numPr>
          <w:ilvl w:val="0"/>
          <w:numId w:val="2"/>
        </w:numPr>
        <w:spacing w:after="60" w:before="60"/>
      </w:pPr>
      <w:r>
        <w:rPr>
          <w:rFonts w:ascii="Arial" w:cs="Arial" w:eastAsia="Arial" w:hAnsi="Arial"/>
          <w:color w:val="374151"/>
          <w:sz w:val="22"/>
          <w:szCs w:val="22"/>
        </w:rPr>
        <w:t xml:space="preserve">En videoconferencias, el empleado debe verificar que no haya información confidencial visible en el fondo o compartida accidentalmente en pantalla.</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10. POL-09 — Política de Gestión de Terceros y Proveedores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Política de Gestión de Terceros y Proveedores</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ID de política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POL-09</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Versión</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1.0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Fecha de emisión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2026</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Aprueba</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CISO y Gerente de Administración con aprobación del Director General</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Aplica 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Proveedores, contratistas y cualquier tercero con acceso a activos de NovaTech Solutions</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Referencias normativas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ISO/IEC 27001:2022 Anexo A — A.5.19, A.5.20, A.5.21, A.5.22 | LFPDPPP Art. 14</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Riesgos que atiende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A-04, A-13, A-16, A-19 (Documento 4)</w:t>
            </w:r>
          </w:p>
        </w:tc>
      </w:tr>
    </w:tbl>
    <w:p>
      <w:pPr>
        <w:spacing w:before="200"/>
      </w:pPr>
    </w:p>
    <w:p>
      <w:pPr>
        <w:pStyle w:val="Heading2"/>
        <w:spacing w:after="140" w:before="280"/>
      </w:pPr>
      <w:r>
        <w:rPr>
          <w:rFonts w:ascii="Arial" w:cs="Arial" w:eastAsia="Arial" w:hAnsi="Arial"/>
          <w:b/>
          <w:bCs/>
          <w:color w:val="2563EB"/>
          <w:sz w:val="28"/>
          <w:szCs w:val="28"/>
        </w:rPr>
        <w:t xml:space="preserve">10.1 Requisitos previos al acceso de terceros</w:t>
      </w:r>
    </w:p>
    <w:p>
      <w:pPr>
        <w:pStyle w:val="ListParagraph"/>
        <w:numPr>
          <w:ilvl w:val="0"/>
          <w:numId w:val="2"/>
        </w:numPr>
        <w:spacing w:after="60" w:before="60"/>
      </w:pPr>
      <w:r>
        <w:rPr>
          <w:rFonts w:ascii="Arial" w:cs="Arial" w:eastAsia="Arial" w:hAnsi="Arial"/>
          <w:color w:val="374151"/>
          <w:sz w:val="22"/>
          <w:szCs w:val="22"/>
        </w:rPr>
        <w:t xml:space="preserve">Todo proveedor o contratista que requiera acceso a sistemas, datos o instalaciones de NovaTech Solutions debe firmar un Acuerdo de Confidencialidad (NDA) antes de recibir cualquier acceso.</w:t>
      </w:r>
    </w:p>
    <w:p>
      <w:pPr>
        <w:pStyle w:val="ListParagraph"/>
        <w:numPr>
          <w:ilvl w:val="0"/>
          <w:numId w:val="2"/>
        </w:numPr>
        <w:spacing w:after="60" w:before="60"/>
      </w:pPr>
      <w:r>
        <w:rPr>
          <w:rFonts w:ascii="Arial" w:cs="Arial" w:eastAsia="Arial" w:hAnsi="Arial"/>
          <w:color w:val="374151"/>
          <w:sz w:val="22"/>
          <w:szCs w:val="22"/>
        </w:rPr>
        <w:t xml:space="preserve">Los contratos con proveedores que manejen datos personales de clientes o empleados deben incluir cláusulas de responsabilidad en materia de protección de datos (conforme a la LFPDPPP).</w:t>
      </w:r>
    </w:p>
    <w:p>
      <w:pPr>
        <w:pStyle w:val="ListParagraph"/>
        <w:numPr>
          <w:ilvl w:val="0"/>
          <w:numId w:val="2"/>
        </w:numPr>
        <w:spacing w:after="60" w:before="60"/>
      </w:pPr>
      <w:r>
        <w:rPr>
          <w:rFonts w:ascii="Arial" w:cs="Arial" w:eastAsia="Arial" w:hAnsi="Arial"/>
          <w:color w:val="374151"/>
          <w:sz w:val="22"/>
          <w:szCs w:val="22"/>
        </w:rPr>
        <w:t xml:space="preserve">NovaTech Solutions evaluará el nivel de seguridad de los proveedores críticos (especialmente proveedores de nube e infraestructura) antes de contratarlos y anualmente durante la relación.</w:t>
      </w:r>
    </w:p>
    <w:p>
      <w:pPr>
        <w:spacing w:before="120"/>
      </w:pPr>
    </w:p>
    <w:p>
      <w:pPr>
        <w:pStyle w:val="Heading2"/>
        <w:spacing w:after="140" w:before="280"/>
      </w:pPr>
      <w:r>
        <w:rPr>
          <w:rFonts w:ascii="Arial" w:cs="Arial" w:eastAsia="Arial" w:hAnsi="Arial"/>
          <w:b/>
          <w:bCs/>
          <w:color w:val="2563EB"/>
          <w:sz w:val="28"/>
          <w:szCs w:val="28"/>
        </w:rPr>
        <w:t xml:space="preserve">10.2 Gestión de accesos de terceros</w:t>
      </w:r>
    </w:p>
    <w:p>
      <w:pPr>
        <w:pStyle w:val="ListParagraph"/>
        <w:numPr>
          <w:ilvl w:val="0"/>
          <w:numId w:val="2"/>
        </w:numPr>
        <w:spacing w:after="60" w:before="60"/>
      </w:pPr>
      <w:r>
        <w:rPr>
          <w:rFonts w:ascii="Arial" w:cs="Arial" w:eastAsia="Arial" w:hAnsi="Arial"/>
          <w:color w:val="374151"/>
          <w:sz w:val="22"/>
          <w:szCs w:val="22"/>
        </w:rPr>
        <w:t xml:space="preserve">Los accesos otorgados a terceros deben ser los mínimos necesarios para ejecutar la actividad contratada, por el tiempo estrictamente necesario, y deben documentarse con una fecha de expiración.</w:t>
      </w:r>
    </w:p>
    <w:p>
      <w:pPr>
        <w:pStyle w:val="ListParagraph"/>
        <w:numPr>
          <w:ilvl w:val="0"/>
          <w:numId w:val="2"/>
        </w:numPr>
        <w:spacing w:after="60" w:before="60"/>
      </w:pPr>
      <w:r>
        <w:rPr>
          <w:rFonts w:ascii="Arial" w:cs="Arial" w:eastAsia="Arial" w:hAnsi="Arial"/>
          <w:color w:val="374151"/>
          <w:sz w:val="22"/>
          <w:szCs w:val="22"/>
        </w:rPr>
        <w:t xml:space="preserve">Los accesos temporales para soporte o mantenimiento deben ser monitoreados y revocados inmediatamente al concluir la actividad.</w:t>
      </w:r>
    </w:p>
    <w:p>
      <w:pPr>
        <w:pStyle w:val="ListParagraph"/>
        <w:numPr>
          <w:ilvl w:val="0"/>
          <w:numId w:val="2"/>
        </w:numPr>
        <w:spacing w:after="60" w:before="60"/>
      </w:pPr>
      <w:r>
        <w:rPr>
          <w:rFonts w:ascii="Arial" w:cs="Arial" w:eastAsia="Arial" w:hAnsi="Arial"/>
          <w:color w:val="374151"/>
          <w:sz w:val="22"/>
          <w:szCs w:val="22"/>
        </w:rPr>
        <w:t xml:space="preserve">Ningún proveedor debe tener acceso a credenciales permanentes de producción. El acceso temporal debe gestionarse mediante cuentas de servicio específicas y de corta duración.</w:t>
      </w:r>
    </w:p>
    <w:p>
      <w:pPr>
        <w:spacing w:before="120"/>
      </w:pPr>
    </w:p>
    <w:p>
      <w:pPr>
        <w:pStyle w:val="Heading2"/>
        <w:spacing w:after="140" w:before="280"/>
      </w:pPr>
      <w:r>
        <w:rPr>
          <w:rFonts w:ascii="Arial" w:cs="Arial" w:eastAsia="Arial" w:hAnsi="Arial"/>
          <w:b/>
          <w:bCs/>
          <w:color w:val="2563EB"/>
          <w:sz w:val="28"/>
          <w:szCs w:val="28"/>
        </w:rPr>
        <w:t xml:space="preserve">10.3 Proveedores de servicios en la nube</w:t>
      </w:r>
    </w:p>
    <w:p>
      <w:pPr>
        <w:pStyle w:val="ListParagraph"/>
        <w:numPr>
          <w:ilvl w:val="0"/>
          <w:numId w:val="2"/>
        </w:numPr>
        <w:spacing w:after="60" w:before="60"/>
      </w:pPr>
      <w:r>
        <w:rPr>
          <w:rFonts w:ascii="Arial" w:cs="Arial" w:eastAsia="Arial" w:hAnsi="Arial"/>
          <w:color w:val="374151"/>
          <w:sz w:val="22"/>
          <w:szCs w:val="22"/>
        </w:rPr>
        <w:t xml:space="preserve">Los proveedores de infraestructura en la nube (IaaS, PaaS, SaaS) deben contar con certificaciones de seguridad reconocidas (ISO 27001, SOC 2 Type II o equivalentes).</w:t>
      </w:r>
    </w:p>
    <w:p>
      <w:pPr>
        <w:pStyle w:val="ListParagraph"/>
        <w:numPr>
          <w:ilvl w:val="0"/>
          <w:numId w:val="2"/>
        </w:numPr>
        <w:spacing w:after="60" w:before="60"/>
      </w:pPr>
      <w:r>
        <w:rPr>
          <w:rFonts w:ascii="Arial" w:cs="Arial" w:eastAsia="Arial" w:hAnsi="Arial"/>
          <w:color w:val="374151"/>
          <w:sz w:val="22"/>
          <w:szCs w:val="22"/>
        </w:rPr>
        <w:t xml:space="preserve">La consola de administración del proveedor de nube debe protegerse con MFA obligatorio y cuentas con mínimo privilegio.</w:t>
      </w:r>
    </w:p>
    <w:p>
      <w:pPr>
        <w:pStyle w:val="ListParagraph"/>
        <w:numPr>
          <w:ilvl w:val="0"/>
          <w:numId w:val="2"/>
        </w:numPr>
        <w:spacing w:after="60" w:before="60"/>
      </w:pPr>
      <w:r>
        <w:rPr>
          <w:rFonts w:ascii="Arial" w:cs="Arial" w:eastAsia="Arial" w:hAnsi="Arial"/>
          <w:color w:val="374151"/>
          <w:sz w:val="22"/>
          <w:szCs w:val="22"/>
        </w:rPr>
        <w:t xml:space="preserve">Se deben activar las alertas de acceso anómalo y los registros de auditoría (logs) de todas las actividades en la consola de administración de la nube.</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11. POL-10 — Política de Copias de Seguridad (Backups)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Política de Copias de Seguridad</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ID de política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POL-10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Versión</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1.0</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Fecha de emisión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2026</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Aprueba</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CISO y Gerente de Desarrollo con aprobación del Director General</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Aplica 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Equipo de DevOps, CISO y propietarios de activos críticos</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Referencias normativas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20"/>
                <w:szCs w:val="20"/>
              </w:rPr>
              <w:t xml:space="preserve">ISO/IEC 27001:2022 Anexo A — A.8.13 | LFPDPPP Art. 19</w:t>
            </w:r>
          </w:p>
        </w:tc>
      </w:tr>
      <w:tr>
        <w:tc>
          <w:tcPr>
            <w:tcW w:type="dxa" w:w="2600"/>
            <w:tcBorders>
              <w:top w:val="single" w:color="999999" w:sz="5"/>
              <w:left w:val="single" w:color="999999" w:sz="5"/>
              <w:bottom w:val="single" w:color="999999" w:sz="5"/>
              <w:right w:val="single" w:color="999999" w:sz="5"/>
            </w:tcBorders>
            <w:shd w:fill="DBEAFE" w:val="clear"/>
            <w:tcMar>
              <w:top w:type="dxa" w:w="80"/>
              <w:left w:type="dxa" w:w="130"/>
              <w:bottom w:type="dxa" w:w="80"/>
              <w:right w:type="dxa" w:w="130"/>
            </w:tcMar>
          </w:tcPr>
          <w:p>
            <w:r>
              <w:rPr>
                <w:rFonts w:ascii="Arial" w:cs="Arial" w:eastAsia="Arial" w:hAnsi="Arial"/>
                <w:b/>
                <w:bCs/>
                <w:color w:val="1B3A6B"/>
                <w:sz w:val="20"/>
                <w:szCs w:val="20"/>
              </w:rPr>
              <w:t xml:space="preserve">Riesgos que atiende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20"/>
                <w:szCs w:val="20"/>
              </w:rPr>
              <w:t xml:space="preserve">A-08, A-10, A-15, A-18, A-23 (Documento 4)</w:t>
            </w:r>
          </w:p>
        </w:tc>
      </w:tr>
    </w:tbl>
    <w:p>
      <w:pPr>
        <w:spacing w:before="200"/>
      </w:pPr>
    </w:p>
    <w:p>
      <w:pPr>
        <w:pStyle w:val="Heading2"/>
        <w:spacing w:after="140" w:before="280"/>
      </w:pPr>
      <w:r>
        <w:rPr>
          <w:rFonts w:ascii="Arial" w:cs="Arial" w:eastAsia="Arial" w:hAnsi="Arial"/>
          <w:b/>
          <w:bCs/>
          <w:color w:val="2563EB"/>
          <w:sz w:val="28"/>
          <w:szCs w:val="28"/>
        </w:rPr>
        <w:t xml:space="preserve">11.1 Requisitos de respaldo por tipo de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1200"/>
        <w:gridCol w:w="1960"/>
      </w:tblGrid>
      <w:tr>
        <w:trPr>
          <w:tblHeader/>
        </w:trPr>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Activo</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Frecuencia de backup</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Retención</w:t>
            </w:r>
          </w:p>
        </w:tc>
        <w:tc>
          <w:tcPr>
            <w:tcW w:type="dxa" w:w="1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Ubicación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Base de datos de clientes (CRM)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Diario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Automatizado, incremental + semanal completo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30 días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Almacenamiento en la nube — zona geográficamente separada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Bases de datos de producción</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Diario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Automatizado, incremental + semanal completo</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30 días</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Almacenamiento en la nube — zona geográficamente separada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Repositorios de código fuente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Continuo (por commit) + backup diario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Automatizado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90 días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Repositorio en la nube + copia de espejo en zona distinta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Archivos de configuración de producción</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Diario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Automatizado</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30 días</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Almacenamiento cifrado en la nube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Datos de RRHH y nómina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Semanal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Automatizado, completo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año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Almacenamiento cifrado — zona separada del sistema principal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Información financiera y contratos</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Semanal</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Automatizado, completo</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5 años (cumplimiento fiscal)</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Almacenamiento cifrado en la nube + copia fuera de línea mensual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Correo corporativo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Diario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Automatizado por el proveedor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90 días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Infraestructura del proveedor de correo</w:t>
            </w:r>
          </w:p>
        </w:tc>
      </w:tr>
    </w:tbl>
    <w:p>
      <w:pPr>
        <w:spacing w:before="200"/>
      </w:pPr>
    </w:p>
    <w:p>
      <w:pPr>
        <w:pStyle w:val="Heading2"/>
        <w:spacing w:after="140" w:before="280"/>
      </w:pPr>
      <w:r>
        <w:rPr>
          <w:rFonts w:ascii="Arial" w:cs="Arial" w:eastAsia="Arial" w:hAnsi="Arial"/>
          <w:b/>
          <w:bCs/>
          <w:color w:val="2563EB"/>
          <w:sz w:val="28"/>
          <w:szCs w:val="28"/>
        </w:rPr>
        <w:t xml:space="preserve">11.2 Requisitos de verificación de backups</w:t>
      </w:r>
    </w:p>
    <w:p>
      <w:pPr>
        <w:pStyle w:val="ListParagraph"/>
        <w:numPr>
          <w:ilvl w:val="0"/>
          <w:numId w:val="2"/>
        </w:numPr>
        <w:spacing w:after="60" w:before="60"/>
      </w:pPr>
      <w:r>
        <w:rPr>
          <w:rFonts w:ascii="Arial" w:cs="Arial" w:eastAsia="Arial" w:hAnsi="Arial"/>
          <w:color w:val="374151"/>
          <w:sz w:val="22"/>
          <w:szCs w:val="22"/>
        </w:rPr>
        <w:t xml:space="preserve">Cada backup automatizado debe verificarse mediante una prueba de restauración mensual documentada. No basta con confirmar que el backup se completó; debe verificarse que los datos son recuperables.</w:t>
      </w:r>
    </w:p>
    <w:p>
      <w:pPr>
        <w:pStyle w:val="ListParagraph"/>
        <w:numPr>
          <w:ilvl w:val="0"/>
          <w:numId w:val="2"/>
        </w:numPr>
        <w:spacing w:after="60" w:before="60"/>
      </w:pPr>
      <w:r>
        <w:rPr>
          <w:rFonts w:ascii="Arial" w:cs="Arial" w:eastAsia="Arial" w:hAnsi="Arial"/>
          <w:color w:val="374151"/>
          <w:sz w:val="22"/>
          <w:szCs w:val="22"/>
        </w:rPr>
        <w:t xml:space="preserve">El CISO debe recibir un reporte mensual del estado de todos los backups activos, incluyendo los resultados de las pruebas de restauración.</w:t>
      </w:r>
    </w:p>
    <w:p>
      <w:pPr>
        <w:pStyle w:val="ListParagraph"/>
        <w:numPr>
          <w:ilvl w:val="0"/>
          <w:numId w:val="2"/>
        </w:numPr>
        <w:spacing w:after="60" w:before="60"/>
      </w:pPr>
      <w:r>
        <w:rPr>
          <w:rFonts w:ascii="Arial" w:cs="Arial" w:eastAsia="Arial" w:hAnsi="Arial"/>
          <w:color w:val="374151"/>
          <w:sz w:val="22"/>
          <w:szCs w:val="22"/>
        </w:rPr>
        <w:t xml:space="preserve">Los backups de activos críticos (bases de datos de producción, código fuente) deben almacenarse en una ubicación geográficamente separada de los sistemas principales para garantizar la recuperación ante desastres regionales.</w:t>
      </w:r>
    </w:p>
    <w:p>
      <w:pPr>
        <w:pStyle w:val="ListParagraph"/>
        <w:numPr>
          <w:ilvl w:val="0"/>
          <w:numId w:val="2"/>
        </w:numPr>
        <w:spacing w:after="60" w:before="60"/>
      </w:pPr>
      <w:r>
        <w:rPr>
          <w:rFonts w:ascii="Arial" w:cs="Arial" w:eastAsia="Arial" w:hAnsi="Arial"/>
          <w:color w:val="374151"/>
          <w:sz w:val="22"/>
          <w:szCs w:val="22"/>
        </w:rPr>
        <w:t xml:space="preserve">Los backups de información Confidencial y Crítica deben estar cifrados tanto en tránsito como en reposo.</w:t>
      </w:r>
    </w:p>
    <w:p>
      <w:pPr>
        <w:spacing w:before="120"/>
      </w:pPr>
    </w:p>
    <w:p>
      <w:pPr>
        <w:pStyle w:val="Heading2"/>
        <w:spacing w:after="140" w:before="280"/>
      </w:pPr>
      <w:r>
        <w:rPr>
          <w:rFonts w:ascii="Arial" w:cs="Arial" w:eastAsia="Arial" w:hAnsi="Arial"/>
          <w:b/>
          <w:bCs/>
          <w:color w:val="2563EB"/>
          <w:sz w:val="28"/>
          <w:szCs w:val="28"/>
        </w:rPr>
        <w:t xml:space="preserve">11.3 Prueba de recuperación</w:t>
      </w:r>
    </w:p>
    <w:p>
      <w:pPr>
        <w:spacing w:after="80" w:before="80"/>
      </w:pPr>
      <w:r>
        <w:rPr>
          <w:rFonts w:ascii="Arial" w:cs="Arial" w:eastAsia="Arial" w:hAnsi="Arial"/>
          <w:color w:val="374151"/>
          <w:sz w:val="22"/>
          <w:szCs w:val="22"/>
        </w:rPr>
        <w:t xml:space="preserve">Al menos una vez al año, el equipo de DevOps y el CISO ejecutarán una prueba de recuperación completa (Disaster Recovery Test) que simule la restauración de los sistemas críticos desde los backups, validando los tiempos de recuperación contra los objetivos definidos en el Documento 7 — Continuidad del Negocio.</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12. Cumplimiento, Excepciones y Sanciones</w:t>
      </w:r>
    </w:p>
    <w:p>
      <w:pPr>
        <w:pStyle w:val="Heading2"/>
        <w:spacing w:after="140" w:before="280"/>
      </w:pPr>
      <w:r>
        <w:rPr>
          <w:rFonts w:ascii="Arial" w:cs="Arial" w:eastAsia="Arial" w:hAnsi="Arial"/>
          <w:b/>
          <w:bCs/>
          <w:color w:val="2563EB"/>
          <w:sz w:val="28"/>
          <w:szCs w:val="28"/>
        </w:rPr>
        <w:t xml:space="preserve">12.1 Mecanismo de excepciones</w:t>
      </w:r>
    </w:p>
    <w:p>
      <w:pPr>
        <w:spacing w:after="80" w:before="80"/>
      </w:pPr>
      <w:r>
        <w:rPr>
          <w:rFonts w:ascii="Arial" w:cs="Arial" w:eastAsia="Arial" w:hAnsi="Arial"/>
          <w:color w:val="374151"/>
          <w:sz w:val="22"/>
          <w:szCs w:val="22"/>
        </w:rPr>
        <w:t xml:space="preserve">Cualquier caso en que sea necesario desviarse de una política establecida en este documento debe tramitarse mediante una solicitud formal de excepción dirigida al CISO, con la siguiente información:</w:t>
      </w:r>
    </w:p>
    <w:p>
      <w:pPr>
        <w:pStyle w:val="ListParagraph"/>
        <w:numPr>
          <w:ilvl w:val="0"/>
          <w:numId w:val="2"/>
        </w:numPr>
        <w:spacing w:after="60" w:before="60"/>
      </w:pPr>
      <w:r>
        <w:rPr>
          <w:rFonts w:ascii="Arial" w:cs="Arial" w:eastAsia="Arial" w:hAnsi="Arial"/>
          <w:color w:val="374151"/>
          <w:sz w:val="22"/>
          <w:szCs w:val="22"/>
        </w:rPr>
        <w:t xml:space="preserve">Política específica de la que se solicita excepción.</w:t>
      </w:r>
    </w:p>
    <w:p>
      <w:pPr>
        <w:pStyle w:val="ListParagraph"/>
        <w:numPr>
          <w:ilvl w:val="0"/>
          <w:numId w:val="2"/>
        </w:numPr>
        <w:spacing w:after="60" w:before="60"/>
      </w:pPr>
      <w:r>
        <w:rPr>
          <w:rFonts w:ascii="Arial" w:cs="Arial" w:eastAsia="Arial" w:hAnsi="Arial"/>
          <w:color w:val="374151"/>
          <w:sz w:val="22"/>
          <w:szCs w:val="22"/>
        </w:rPr>
        <w:t xml:space="preserve">Justificación técnica o de negocio para la excepción.</w:t>
      </w:r>
    </w:p>
    <w:p>
      <w:pPr>
        <w:pStyle w:val="ListParagraph"/>
        <w:numPr>
          <w:ilvl w:val="0"/>
          <w:numId w:val="2"/>
        </w:numPr>
        <w:spacing w:after="60" w:before="60"/>
      </w:pPr>
      <w:r>
        <w:rPr>
          <w:rFonts w:ascii="Arial" w:cs="Arial" w:eastAsia="Arial" w:hAnsi="Arial"/>
          <w:color w:val="374151"/>
          <w:sz w:val="22"/>
          <w:szCs w:val="22"/>
        </w:rPr>
        <w:t xml:space="preserve">Plazo propuesto para la excepción (máximo 90 días, renovable con nueva justificación).</w:t>
      </w:r>
    </w:p>
    <w:p>
      <w:pPr>
        <w:pStyle w:val="ListParagraph"/>
        <w:numPr>
          <w:ilvl w:val="0"/>
          <w:numId w:val="2"/>
        </w:numPr>
        <w:spacing w:after="60" w:before="60"/>
      </w:pPr>
      <w:r>
        <w:rPr>
          <w:rFonts w:ascii="Arial" w:cs="Arial" w:eastAsia="Arial" w:hAnsi="Arial"/>
          <w:color w:val="374151"/>
          <w:sz w:val="22"/>
          <w:szCs w:val="22"/>
        </w:rPr>
        <w:t xml:space="preserve">Controles compensatorios que se aplicarán durante la vigencia de la excepción.</w:t>
      </w:r>
    </w:p>
    <w:p>
      <w:pPr>
        <w:pStyle w:val="ListParagraph"/>
        <w:numPr>
          <w:ilvl w:val="0"/>
          <w:numId w:val="2"/>
        </w:numPr>
        <w:spacing w:after="60" w:before="60"/>
      </w:pPr>
      <w:r>
        <w:rPr>
          <w:rFonts w:ascii="Arial" w:cs="Arial" w:eastAsia="Arial" w:hAnsi="Arial"/>
          <w:color w:val="374151"/>
          <w:sz w:val="22"/>
          <w:szCs w:val="22"/>
        </w:rPr>
        <w:t xml:space="preserve">Riesgos adicionales que la excepción puede generar.</w:t>
      </w:r>
    </w:p>
    <w:p>
      <w:pPr>
        <w:spacing w:before="80"/>
      </w:pPr>
    </w:p>
    <w:p>
      <w:pPr>
        <w:spacing w:after="80" w:before="80"/>
      </w:pPr>
      <w:r>
        <w:rPr>
          <w:rFonts w:ascii="Arial" w:cs="Arial" w:eastAsia="Arial" w:hAnsi="Arial"/>
          <w:color w:val="374151"/>
          <w:sz w:val="22"/>
          <w:szCs w:val="22"/>
        </w:rPr>
        <w:t xml:space="preserve">Las excepciones deben ser aprobadas por el CISO y, en caso de afectar activos Críticos, también por la Dirección General. Deben quedar documentadas en el Registro de Excepciones de Seguridad.</w:t>
      </w:r>
    </w:p>
    <w:p>
      <w:pPr>
        <w:spacing w:before="120"/>
      </w:pPr>
    </w:p>
    <w:p>
      <w:pPr>
        <w:pStyle w:val="Heading2"/>
        <w:spacing w:after="140" w:before="280"/>
      </w:pPr>
      <w:r>
        <w:rPr>
          <w:rFonts w:ascii="Arial" w:cs="Arial" w:eastAsia="Arial" w:hAnsi="Arial"/>
          <w:b/>
          <w:bCs/>
          <w:color w:val="2563EB"/>
          <w:sz w:val="28"/>
          <w:szCs w:val="28"/>
        </w:rPr>
        <w:t xml:space="preserve">12.2 Tabla de sanciones por incumplimiento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incumplimiento</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Gravedad</w:t>
            </w:r>
          </w:p>
        </w:tc>
        <w:tc>
          <w:tcPr>
            <w:tcW w:type="dxa" w:w="4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Consecuencia</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Primer incumplimiento menor (ej. no bloquear pantalla, no reportar correo sospechoso)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Leve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Capacitación adicional obligatoria + amonestación verbal documentada</w:t>
            </w:r>
          </w:p>
        </w:tc>
      </w:tr>
      <w:tr>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Reincidencia en incumplimiento menor o primer incumplimiento moderado (ej. no usar contraseña robusta, acceder desde red no autorizada sin VPN)</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Moderada</w:t>
            </w:r>
          </w:p>
        </w:tc>
        <w:tc>
          <w:tcPr>
            <w:tcW w:type="dxa" w:w="4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Amonestación escrita + revisión de accesos + capacitación reforzada</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Incumplimiento grave (ej. compartir credenciales, no reportar un incidente conocido, instalar software no autorizado que derive en incidente)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Grave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Suspensión temporal + investigación formal + posible terminación de la relación laboral</w:t>
            </w:r>
          </w:p>
        </w:tc>
      </w:tr>
      <w:tr>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Incumplimiento muy grave (ej. exfiltración intencional de datos, sabotaje de sistemas, acceso fraudulento a información)</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Muy grave</w:t>
            </w:r>
          </w:p>
        </w:tc>
        <w:tc>
          <w:tcPr>
            <w:tcW w:type="dxa" w:w="4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Terminación inmediata de la relación laboral o contractual + acciones legales civiles y/o penales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13.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3660"/>
      </w:tblGrid>
      <w:tr>
        <w:trPr>
          <w:tblHeader/>
        </w:trPr>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Versión</w:t>
            </w:r>
          </w:p>
        </w:tc>
        <w:tc>
          <w:tcPr>
            <w:tcW w:type="dxa" w:w="1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Autor</w:t>
            </w:r>
          </w:p>
        </w:tc>
        <w:tc>
          <w:tcPr>
            <w:tcW w:type="dxa" w:w="36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2026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Comité de Seguridad de la Información</w:t>
            </w:r>
          </w:p>
        </w:tc>
        <w:tc>
          <w:tcPr>
            <w:tcW w:type="dxa" w:w="3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Versión inicial del conjunto de políticas de seguridad de NovaTech Solutions — 10 políticas formales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92400E" w:sz="8"/>
              <w:right w:val="single" w:color="92400E" w:sz="8"/>
            </w:tcBorders>
            <w:shd w:fill="FEF3C7" w:val="clear"/>
            <w:tcMar>
              <w:top w:type="dxa" w:w="120"/>
              <w:left w:type="dxa" w:w="160"/>
              <w:bottom w:type="dxa" w:w="120"/>
              <w:right w:type="dxa" w:w="160"/>
            </w:tcMar>
          </w:tcPr>
          <w:p>
            <w:pPr>
              <w:spacing w:after="80" w:before="60"/>
            </w:pPr>
            <w:r>
              <w:rPr>
                <w:rFonts w:ascii="Arial" w:cs="Arial" w:eastAsia="Arial" w:hAnsi="Arial"/>
                <w:b/>
                <w:bCs/>
                <w:color w:val="92400E"/>
                <w:sz w:val="22"/>
                <w:szCs w:val="22"/>
              </w:rPr>
              <w:t xml:space="preserve">Acuse de recibo obligatorio</w:t>
            </w:r>
          </w:p>
          <w:p>
            <w:pPr>
              <w:pStyle w:val="ListParagraph"/>
              <w:numPr>
                <w:ilvl w:val="0"/>
                <w:numId w:val="2"/>
              </w:numPr>
              <w:spacing w:after="40" w:before="40"/>
            </w:pPr>
            <w:r>
              <w:rPr>
                <w:rFonts w:ascii="Arial" w:cs="Arial" w:eastAsia="Arial" w:hAnsi="Arial"/>
                <w:color w:val="374151"/>
                <w:sz w:val="21"/>
                <w:szCs w:val="21"/>
              </w:rPr>
              <w:t xml:space="preserve">Todos los empleados y contratistas de NovaTech Solutions deben firmar un Acuse de Recibo confirmando que han leído, comprendido y se comprometen a cumplir las políticas contenidas en este documento.</w:t>
            </w:r>
          </w:p>
          <w:p>
            <w:pPr>
              <w:pStyle w:val="ListParagraph"/>
              <w:numPr>
                <w:ilvl w:val="0"/>
                <w:numId w:val="2"/>
              </w:numPr>
              <w:spacing w:after="40" w:before="40"/>
            </w:pPr>
            <w:r>
              <w:rPr>
                <w:rFonts w:ascii="Arial" w:cs="Arial" w:eastAsia="Arial" w:hAnsi="Arial"/>
                <w:color w:val="374151"/>
                <w:sz w:val="21"/>
                <w:szCs w:val="21"/>
              </w:rPr>
              <w:t xml:space="preserve">El acuse de recibo debe firmarse al inicio de la relación laboral o contractual, y cada vez que las políticas sean actualizadas significativamente.</w:t>
            </w:r>
          </w:p>
          <w:p>
            <w:pPr>
              <w:pStyle w:val="ListParagraph"/>
              <w:numPr>
                <w:ilvl w:val="0"/>
                <w:numId w:val="2"/>
              </w:numPr>
              <w:spacing w:after="40" w:before="40"/>
            </w:pPr>
            <w:r>
              <w:rPr>
                <w:rFonts w:ascii="Arial" w:cs="Arial" w:eastAsia="Arial" w:hAnsi="Arial"/>
                <w:color w:val="374151"/>
                <w:sz w:val="21"/>
                <w:szCs w:val="21"/>
              </w:rPr>
              <w:t xml:space="preserve">El CISO llevará un registro actualizado de todos los acuses de recibo firmados, disponible para auditorías internas y externas.</w:t>
            </w:r>
          </w:p>
          <w:p>
            <w:pPr>
              <w:pStyle w:val="ListParagraph"/>
              <w:numPr>
                <w:ilvl w:val="0"/>
                <w:numId w:val="2"/>
              </w:numPr>
              <w:spacing w:after="40" w:before="40"/>
            </w:pPr>
            <w:r>
              <w:rPr>
                <w:rFonts w:ascii="Arial" w:cs="Arial" w:eastAsia="Arial" w:hAnsi="Arial"/>
                <w:color w:val="374151"/>
                <w:sz w:val="21"/>
                <w:szCs w:val="21"/>
              </w:rPr>
              <w:t xml:space="preserve">La negativa a firmar el acuse de recibo sin justificación válida se considerará un incumplimiento de la Política General de Seguridad (POL-01).</w:t>
            </w:r>
          </w:p>
        </w:tc>
      </w:tr>
    </w:tbl>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3"/>
      </w:pBdr>
      <w:spacing w:before="80"/>
      <w:jc w:val="center"/>
    </w:pPr>
    <w:r>
      <w:rPr>
        <w:rFonts w:ascii="Arial" w:cs="Arial" w:eastAsia="Arial" w:hAnsi="Arial"/>
        <w:color w:val="374151"/>
        <w:sz w:val="16"/>
        <w:szCs w:val="16"/>
      </w:rPr>
      <w:t xml:space="preserve">Confidencial  |  NovaTech Solutions  |  Página </w:t>
    </w:r>
    <w:r>
      <w:rPr>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de </w:t>
    </w:r>
    <w:r>
      <w:rPr>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3"/>
      </w:pBdr>
      <w:spacing w:after="80" w:before="0"/>
    </w:pPr>
    <w:r>
      <w:rPr>
        <w:rFonts w:ascii="Arial" w:cs="Arial" w:eastAsia="Arial" w:hAnsi="Arial"/>
        <w:b/>
        <w:bCs/>
        <w:color w:val="1B3A6B"/>
        <w:sz w:val="18"/>
        <w:szCs w:val="18"/>
      </w:rPr>
      <w:t xml:space="preserve">SGSI — NovaTech Solutions</w:t>
    </w:r>
    <w:r>
      <w:rPr>
        <w:rFonts w:ascii="Arial" w:cs="Arial" w:eastAsia="Arial" w:hAnsi="Arial"/>
        <w:color w:val="374151"/>
        <w:sz w:val="18"/>
        <w:szCs w:val="18"/>
      </w:rPr>
      <w:t xml:space="preserve">     |     Políticas de Seguridad de la Información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lvl w:ilvl="1" w15:tentative="1">
      <w:start w:val="1"/>
      <w:numFmt w:val="lowerLetter"/>
      <w:lvlText w:val="%2)"/>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2026-04-02T04:17:06.723Z</dcterms:created>
  <dcterms:modified xsi:type="dcterms:W3CDTF">2026-04-02T04:17:06.723Z</dcterms:modified>
</cp:coreProperties>
</file>

<file path=docProps/custom.xml><?xml version="1.0" encoding="utf-8"?>
<Properties xmlns="http://schemas.openxmlformats.org/officeDocument/2006/custom-properties" xmlns:vt="http://schemas.openxmlformats.org/officeDocument/2006/docPropsVTypes"/>
</file>