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60"/>
        </w:pBdr>
        <w:spacing w:after="0" w:before="0"/>
      </w:pPr>
    </w:p>
    <w:p>
      <w:pPr>
        <w:spacing w:before="1440"/>
      </w:pPr>
    </w:p>
    <w:p>
      <w:pPr>
        <w:spacing w:after="200" w:before="0"/>
        <w:jc w:val="center"/>
      </w:pPr>
      <w:r>
        <w:rPr>
          <w:rFonts w:ascii="Arial" w:cs="Arial" w:eastAsia="Arial" w:hAnsi="Arial"/>
          <w:b/>
          <w:bCs/>
          <w:caps/>
          <w:color w:val="1B3A6B"/>
          <w:sz w:val="40"/>
          <w:szCs w:val="40"/>
        </w:rPr>
        <w:t xml:space="preserve">SISTEMA DE GESTIÓN DE SEGURIDAD DE LA INFORMACIÓN</w:t>
      </w:r>
    </w:p>
    <w:p>
      <w:pPr>
        <w:spacing w:after="160" w:before="0"/>
        <w:jc w:val="center"/>
      </w:pPr>
      <w:r>
        <w:rPr>
          <w:rFonts w:ascii="Arial" w:cs="Arial" w:eastAsia="Arial" w:hAnsi="Arial"/>
          <w:b/>
          <w:bCs/>
          <w:color w:val="2563EB"/>
          <w:sz w:val="52"/>
          <w:szCs w:val="52"/>
        </w:rPr>
        <w:t xml:space="preserve">CONTEXTO ORGANIZACIONAL</w:t>
      </w:r>
    </w:p>
    <w:p>
      <w:pPr>
        <w:spacing w:after="480" w:before="0"/>
        <w:jc w:val="center"/>
      </w:pPr>
      <w:r>
        <w:rPr>
          <w:rFonts w:ascii="Arial" w:cs="Arial" w:eastAsia="Arial" w:hAnsi="Arial"/>
          <w:i/>
          <w:iCs/>
          <w:color w:val="374151"/>
          <w:sz w:val="22"/>
          <w:szCs w:val="22"/>
        </w:rPr>
        <w:t xml:space="preserve">Documento 2 del Repositorio SGSI_NovaTech/</w:t>
      </w:r>
    </w:p>
    <w:p>
      <w:pPr>
        <w:spacing w:after="120" w:before="0"/>
        <w:jc w:val="center"/>
      </w:pPr>
      <w:r>
        <w:rPr>
          <w:rFonts w:ascii="Arial" w:cs="Arial" w:eastAsia="Arial" w:hAnsi="Arial"/>
          <w:b/>
          <w:bCs/>
          <w:color w:val="374151"/>
          <w:sz w:val="36"/>
          <w:szCs w:val="36"/>
        </w:rPr>
        <w:t xml:space="preserve">NovaTech Solutions</w:t>
      </w:r>
    </w:p>
    <w:p>
      <w:pPr>
        <w:spacing w:after="720" w:before="0"/>
        <w:jc w:val="center"/>
      </w:pPr>
      <w:r>
        <w:rPr>
          <w:rFonts w:ascii="Arial" w:cs="Arial" w:eastAsia="Arial" w:hAnsi="Arial"/>
          <w:color w:val="374151"/>
          <w:sz w:val="24"/>
          <w:szCs w:val="24"/>
        </w:rPr>
        <w:t xml:space="preserve">Monterrey, Nuevo León, México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AAAA" w:sz="5"/>
              <w:left w:val="single" w:color="AAAAAA" w:sz="5"/>
              <w:bottom w:val="single" w:color="AAAAAA" w:sz="5"/>
              <w:right w:val="single" w:color="AAAAAA"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Inicial</w:t>
            </w:r>
          </w:p>
        </w:tc>
      </w:tr>
      <w:tr>
        <w:tc>
          <w:tcPr>
            <w:tcW w:type="dxa" w:w="2400"/>
            <w:tcBorders>
              <w:top w:val="single" w:color="AAAAAA" w:sz="5"/>
              <w:left w:val="single" w:color="AAAAAA" w:sz="5"/>
              <w:bottom w:val="single" w:color="AAAAAA" w:sz="5"/>
              <w:right w:val="single" w:color="AAAAAA"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Confidencial</w:t>
            </w:r>
          </w:p>
        </w:tc>
      </w:tr>
      <w:tr>
        <w:tc>
          <w:tcPr>
            <w:tcW w:type="dxa" w:w="2400"/>
            <w:tcBorders>
              <w:top w:val="single" w:color="AAAAAA" w:sz="5"/>
              <w:left w:val="single" w:color="AAAAAA" w:sz="5"/>
              <w:bottom w:val="single" w:color="AAAAAA" w:sz="5"/>
              <w:right w:val="single" w:color="AAAAAA"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Borrador para revisión</w:t>
            </w:r>
          </w:p>
        </w:tc>
      </w:tr>
      <w:tr>
        <w:tc>
          <w:tcPr>
            <w:tcW w:type="dxa" w:w="2400"/>
            <w:tcBorders>
              <w:top w:val="single" w:color="AAAAAA" w:sz="5"/>
              <w:left w:val="single" w:color="AAAAAA" w:sz="5"/>
              <w:bottom w:val="single" w:color="AAAAAA" w:sz="5"/>
              <w:right w:val="single" w:color="AAAAAA"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Elaborado por</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Comité de Seguridad de la Información</w:t>
            </w:r>
          </w:p>
        </w:tc>
      </w:tr>
      <w:tr>
        <w:tc>
          <w:tcPr>
            <w:tcW w:type="dxa" w:w="2400"/>
            <w:tcBorders>
              <w:top w:val="single" w:color="AAAAAA" w:sz="5"/>
              <w:left w:val="single" w:color="AAAAAA" w:sz="5"/>
              <w:bottom w:val="single" w:color="AAAAAA" w:sz="5"/>
              <w:right w:val="single" w:color="AAAAAA"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2026</w:t>
            </w:r>
          </w:p>
        </w:tc>
      </w:tr>
      <w:tr>
        <w:tc>
          <w:tcPr>
            <w:tcW w:type="dxa" w:w="2400"/>
            <w:tcBorders>
              <w:top w:val="single" w:color="AAAAAA" w:sz="5"/>
              <w:left w:val="single" w:color="AAAAAA" w:sz="5"/>
              <w:bottom w:val="single" w:color="AAAAAA" w:sz="5"/>
              <w:right w:val="single" w:color="AAAAAA"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Referencia normativa</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ISO/IEC 27001 Cláusula 4 | LFPDPPP</w:t>
            </w:r>
          </w:p>
        </w:tc>
      </w:tr>
    </w:tbl>
    <w:p>
      <w:pPr>
        <w:spacing w:before="1440"/>
      </w:pPr>
    </w:p>
    <w:p>
      <w:pPr>
        <w:pBdr>
          <w:top w:val="single" w:color="2563EB" w:sz="8" w:space="4"/>
        </w:pBdr>
        <w:spacing w:before="120"/>
        <w:jc w:val="center"/>
      </w:pPr>
      <w:r>
        <w:rPr>
          <w:rFonts w:ascii="Arial" w:cs="Arial" w:eastAsia="Arial" w:hAnsi="Arial"/>
          <w:i/>
          <w:iCs/>
          <w:color w:val="374151"/>
          <w:sz w:val="18"/>
          <w:szCs w:val="18"/>
        </w:rPr>
        <w:t xml:space="preserve">Misión: Blindaje Organizacional  |  Comité de Seguridad de la Información</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 Propósito del documento</w:t>
      </w:r>
    </w:p>
    <w:p>
      <w:pPr>
        <w:spacing w:after="80" w:before="80"/>
      </w:pPr>
      <w:r>
        <w:rPr>
          <w:rFonts w:ascii="Arial" w:cs="Arial" w:eastAsia="Arial" w:hAnsi="Arial"/>
          <w:color w:val="374151"/>
          <w:sz w:val="22"/>
          <w:szCs w:val="22"/>
        </w:rPr>
        <w:t xml:space="preserve">El presente documento establece el análisis detallado del contexto organizacional de NovaTech Solutions, conforme a lo requerido por la cláusula 4 de la norma ISO/IEC 27001:2022. Su objetivo es proporcionar la base de comprensión necesaria para que el SGSI sea diseñado de manera relevante, proporcional y alineada con la realidad de la organización.</w:t>
      </w:r>
    </w:p>
    <w:p>
      <w:pPr>
        <w:spacing w:after="80" w:before="80"/>
      </w:pPr>
      <w:r>
        <w:rPr>
          <w:rFonts w:ascii="Arial" w:cs="Arial" w:eastAsia="Arial" w:hAnsi="Arial"/>
          <w:color w:val="374151"/>
          <w:sz w:val="22"/>
          <w:szCs w:val="22"/>
        </w:rPr>
        <w:t xml:space="preserve">El análisis del contexto permite identificar los factores internos y externos que pueden afectar la capacidad de la organización para lograr sus objetivos de seguridad, así como las expectativas de las partes interesadas que deben considerarse en el diseño del sistema.</w:t>
      </w:r>
    </w:p>
    <w:p>
      <w:pPr>
        <w:spacing w:after="80" w:before="80"/>
      </w:pPr>
      <w:r>
        <w:rPr>
          <w:rFonts w:ascii="Arial" w:cs="Arial" w:eastAsia="Arial" w:hAnsi="Arial"/>
          <w:color w:val="374151"/>
          <w:sz w:val="22"/>
          <w:szCs w:val="22"/>
        </w:rPr>
        <w:t xml:space="preserve">Este documento alimenta directamente los componentes de gestión de riesgos, definición de alcance y selección de controles del SGSI.</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2. Descripción General de NovaTech Solutions</w:t>
      </w:r>
    </w:p>
    <w:p>
      <w:pPr>
        <w:pStyle w:val="Heading2"/>
        <w:spacing w:after="140" w:before="280"/>
      </w:pPr>
      <w:r>
        <w:rPr>
          <w:rFonts w:ascii="Arial" w:cs="Arial" w:eastAsia="Arial" w:hAnsi="Arial"/>
          <w:b/>
          <w:bCs/>
          <w:color w:val="2563EB"/>
          <w:sz w:val="28"/>
          <w:szCs w:val="28"/>
        </w:rPr>
        <w:t xml:space="preserve">2.1 Ficha organizacional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Atributo</w:t>
            </w:r>
          </w:p>
        </w:tc>
        <w:tc>
          <w:tcPr>
            <w:tcW w:type="dxa" w:w="63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Nombre de la empresa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NovaTech Solutions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Sector</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Tecnología de la información — Desarrollo de software y servicios digitales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Mercado objetivo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Pequeñas y medianas empresas (PyMEs) en México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Sede principal</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Monterrey, Nuevo León, México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Número de empleados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120 colaboradores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Años de operación</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Aproximadamente 5 años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Modelo de negocio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Desarrollo de plataformas a medida + productos SaaS en desarrollo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Tipo de infraestructura</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Basada en la nube (cloud-first)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Presencia geográfica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Clientes en varias ciudades del país</w:t>
            </w:r>
          </w:p>
        </w:tc>
      </w:tr>
    </w:tbl>
    <w:p>
      <w:pPr>
        <w:spacing w:before="200"/>
      </w:pPr>
    </w:p>
    <w:p>
      <w:pPr>
        <w:pStyle w:val="Heading2"/>
        <w:spacing w:after="140" w:before="280"/>
      </w:pPr>
      <w:r>
        <w:rPr>
          <w:rFonts w:ascii="Arial" w:cs="Arial" w:eastAsia="Arial" w:hAnsi="Arial"/>
          <w:b/>
          <w:bCs/>
          <w:color w:val="2563EB"/>
          <w:sz w:val="28"/>
          <w:szCs w:val="28"/>
        </w:rPr>
        <w:t xml:space="preserve">2.2 Historia y evolución</w:t>
      </w:r>
    </w:p>
    <w:p>
      <w:pPr>
        <w:spacing w:after="80" w:before="80"/>
      </w:pPr>
      <w:r>
        <w:rPr>
          <w:rFonts w:ascii="Arial" w:cs="Arial" w:eastAsia="Arial" w:hAnsi="Arial"/>
          <w:color w:val="374151"/>
          <w:sz w:val="22"/>
          <w:szCs w:val="22"/>
        </w:rPr>
        <w:t xml:space="preserve">NovaTech Solutions fue fundada por tres ingenieros de software con el objetivo de ofrecer plataformas web accesibles para pequeños comercios. En sus primeros años, la empresa operaba como un pequeño estudio de desarrollo con una estructura informal y proyectos de alcance limitado.</w:t>
      </w:r>
    </w:p>
    <w:p>
      <w:pPr>
        <w:spacing w:after="80" w:before="80"/>
      </w:pPr>
      <w:r>
        <w:rPr>
          <w:rFonts w:ascii="Arial" w:cs="Arial" w:eastAsia="Arial" w:hAnsi="Arial"/>
          <w:color w:val="374151"/>
          <w:sz w:val="22"/>
          <w:szCs w:val="22"/>
        </w:rPr>
        <w:t xml:space="preserve">Con el tiempo, la demanda creció y el portafolio evolucionó hacia soluciones más complejas: sistemas de comercio electrónico, plataformas de gestión de clientes (CRM), aplicaciones empresariales internas y servicios de análisis de datos. Este crecimiento acelerado transformó a NovaTech en una empresa tecnológica con más de 120 empleados y clientes distribuidos en diversas ciudades del país.</w:t>
      </w:r>
    </w:p>
    <w:p>
      <w:pPr>
        <w:spacing w:after="80" w:before="80"/>
      </w:pPr>
      <w:r>
        <w:rPr>
          <w:rFonts w:ascii="Arial" w:cs="Arial" w:eastAsia="Arial" w:hAnsi="Arial"/>
          <w:color w:val="374151"/>
          <w:sz w:val="22"/>
          <w:szCs w:val="22"/>
        </w:rPr>
        <w:t xml:space="preserve">Sin embargo, el crecimiento no estuvo acompañado de una madurez equivalente en materia de seguridad de la información, lo que derivó en una serie de incidentes que evidenciaron la necesidad de formalizar la gestión de la seguridad.</w:t>
      </w:r>
    </w:p>
    <w:p>
      <w:pPr>
        <w:pStyle w:val="Heading2"/>
        <w:spacing w:after="140" w:before="280"/>
      </w:pPr>
      <w:r>
        <w:rPr>
          <w:rFonts w:ascii="Arial" w:cs="Arial" w:eastAsia="Arial" w:hAnsi="Arial"/>
          <w:b/>
          <w:bCs/>
          <w:color w:val="2563EB"/>
          <w:sz w:val="28"/>
          <w:szCs w:val="28"/>
        </w:rPr>
        <w:t xml:space="preserve">2.3 Objetivos estratégicos del negocio</w:t>
      </w:r>
    </w:p>
    <w:p>
      <w:pPr>
        <w:spacing w:after="80" w:before="80"/>
      </w:pPr>
      <w:r>
        <w:rPr>
          <w:rFonts w:ascii="Arial" w:cs="Arial" w:eastAsia="Arial" w:hAnsi="Arial"/>
          <w:color w:val="374151"/>
          <w:sz w:val="22"/>
          <w:szCs w:val="22"/>
        </w:rPr>
        <w:t xml:space="preserve">La dirección general de NovaTech Solutions definió tres objetivos estratégicos para los próximos cinco años, todos ellos con implicaciones directas para el SGSI: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Objetivo estratégico</w:t>
            </w:r>
          </w:p>
        </w:tc>
        <w:tc>
          <w:tcPr>
            <w:tcW w:type="dxa" w:w="36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Descripción</w:t>
            </w:r>
          </w:p>
        </w:tc>
        <w:tc>
          <w:tcPr>
            <w:tcW w:type="dxa" w:w="31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Implicación para el SGSI</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Convertirse en proveedor tecnológico de referencia para PyMEs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Expandir portafolio, aumentar presencia nacional y fortalecer alianzas con proveedores de nube.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Proteger la reputación y la confianza del cliente como activo crítico del negocio.</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Desarrollar productos SaaS propios</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Transformar el conocimiento acumulado en plataformas escalables y comercializables.</w:t>
            </w:r>
          </w:p>
        </w:tc>
        <w:tc>
          <w:tcPr>
            <w:tcW w:type="dxa" w:w="3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Proteger el código fuente y la propiedad intelectual como ventaja competitiva.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Proteger la información que sustenta el negocio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Gestionar de forma segura los datos de clientes, empleados, contratos y sistemas.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Justificación directa del diseño e implementación del SGSI.</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3. Estructura Organizacional</w:t>
      </w:r>
    </w:p>
    <w:p>
      <w:pPr>
        <w:pStyle w:val="Heading2"/>
        <w:spacing w:after="140" w:before="280"/>
      </w:pPr>
      <w:r>
        <w:rPr>
          <w:rFonts w:ascii="Arial" w:cs="Arial" w:eastAsia="Arial" w:hAnsi="Arial"/>
          <w:b/>
          <w:bCs/>
          <w:color w:val="2563EB"/>
          <w:sz w:val="28"/>
          <w:szCs w:val="28"/>
        </w:rPr>
        <w:t xml:space="preserve">3.1 Organigrama funcional</w:t>
      </w:r>
    </w:p>
    <w:p>
      <w:pPr>
        <w:spacing w:after="80" w:before="80"/>
      </w:pPr>
      <w:r>
        <w:rPr>
          <w:rFonts w:ascii="Arial" w:cs="Arial" w:eastAsia="Arial" w:hAnsi="Arial"/>
          <w:color w:val="374151"/>
          <w:sz w:val="22"/>
          <w:szCs w:val="22"/>
        </w:rPr>
        <w:t xml:space="preserve">NovaTech Solutions opera con tres departamentos principales, cada uno con funciones, sistemas y activos de información distintos. La Dirección General tiene autoridad sobre los tres y es responsable última de las decisiones estratégicas relacionadas con el SGSI.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Nivel</w:t>
            </w:r>
          </w:p>
        </w:tc>
        <w:tc>
          <w:tcPr>
            <w:tcW w:type="dxa" w:w="4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Área / Rol</w:t>
            </w:r>
          </w:p>
        </w:tc>
        <w:tc>
          <w:tcPr>
            <w:tcW w:type="dxa" w:w="33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Reporta 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Dirección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Director General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Consejo / Socios fundadores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Gerencia</w:t>
            </w:r>
          </w:p>
        </w:tc>
        <w:tc>
          <w:tcPr>
            <w:tcW w:type="dxa" w:w="4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Gerente de Desarrollo de Software</w:t>
            </w:r>
          </w:p>
        </w:tc>
        <w:tc>
          <w:tcPr>
            <w:tcW w:type="dxa" w:w="3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Director General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Gerencia</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Gerente de Atención a Clientes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Director General</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Gerencia</w:t>
            </w:r>
          </w:p>
        </w:tc>
        <w:tc>
          <w:tcPr>
            <w:tcW w:type="dxa" w:w="4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Gerente de Administración</w:t>
            </w:r>
          </w:p>
        </w:tc>
        <w:tc>
          <w:tcPr>
            <w:tcW w:type="dxa" w:w="3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Director General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Staff especializado</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Responsable de Seguridad de la Información (CISO)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Director General (reporte directo)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Staff especializado</w:t>
            </w:r>
          </w:p>
        </w:tc>
        <w:tc>
          <w:tcPr>
            <w:tcW w:type="dxa" w:w="4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Oficial de Protección de Datos (DPO)</w:t>
            </w:r>
          </w:p>
        </w:tc>
        <w:tc>
          <w:tcPr>
            <w:tcW w:type="dxa" w:w="3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Director General / CISO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Operativo</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Desarrolladores, QA, DevOps (área de Desarrollo)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Gerente de Desarrollo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Operativo</w:t>
            </w:r>
          </w:p>
        </w:tc>
        <w:tc>
          <w:tcPr>
            <w:tcW w:type="dxa" w:w="4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Agentes de soporte, gestores de cuenta (Atención a Clientes)</w:t>
            </w:r>
          </w:p>
        </w:tc>
        <w:tc>
          <w:tcPr>
            <w:tcW w:type="dxa" w:w="3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Gerente de Atención a Clientes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Operativo</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Contadores, RRHH, administrativos (Administración)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Gerente de Administración</w:t>
            </w:r>
          </w:p>
        </w:tc>
      </w:tr>
    </w:tbl>
    <w:p>
      <w:pPr>
        <w:spacing w:before="200"/>
      </w:pPr>
    </w:p>
    <w:p>
      <w:pPr>
        <w:pStyle w:val="Heading2"/>
        <w:spacing w:after="140" w:before="280"/>
      </w:pPr>
      <w:r>
        <w:rPr>
          <w:rFonts w:ascii="Arial" w:cs="Arial" w:eastAsia="Arial" w:hAnsi="Arial"/>
          <w:b/>
          <w:bCs/>
          <w:color w:val="2563EB"/>
          <w:sz w:val="28"/>
          <w:szCs w:val="28"/>
        </w:rPr>
        <w:t xml:space="preserve">3.2 Departamento de Desarrollo de Software</w:t>
      </w:r>
    </w:p>
    <w:p>
      <w:pPr>
        <w:spacing w:after="80" w:before="80"/>
      </w:pPr>
      <w:r>
        <w:rPr>
          <w:rFonts w:ascii="Arial" w:cs="Arial" w:eastAsia="Arial" w:hAnsi="Arial"/>
          <w:color w:val="374151"/>
          <w:sz w:val="22"/>
          <w:szCs w:val="22"/>
        </w:rPr>
        <w:t xml:space="preserve">Es el área más estratégica de NovaTech desde la perspectiva de seguridad, pues gestiona el activo más valioso de la empresa: el código fuente de las plataformas desarrolladas.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Elemento</w:t>
            </w:r>
          </w:p>
        </w:tc>
        <w:tc>
          <w:tcPr>
            <w:tcW w:type="dxa" w:w="63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Función principal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Diseño, desarrollo, mantenimiento y aseguramiento de calidad de plataformas digitales.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Número aproximado de personas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60-70% de la plantilla total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Sistemas utilizados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Repositorios Git, servidores de integración continua (CI/CD), ambientes de desarrollo (dev/staging/prod), gestores de tareas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Activos críticos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Código fuente, credenciales de despliegue, claves de API, documentación técnica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Riesgo principal identificado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Acceso no autorizado o fuga del código fuente; introducción de código malicioso en el proceso de desarrollo</w:t>
            </w:r>
          </w:p>
        </w:tc>
      </w:tr>
    </w:tbl>
    <w:p>
      <w:pPr>
        <w:spacing w:before="200"/>
      </w:pPr>
    </w:p>
    <w:p>
      <w:pPr>
        <w:pStyle w:val="Heading2"/>
        <w:spacing w:after="140" w:before="280"/>
      </w:pPr>
      <w:r>
        <w:rPr>
          <w:rFonts w:ascii="Arial" w:cs="Arial" w:eastAsia="Arial" w:hAnsi="Arial"/>
          <w:b/>
          <w:bCs/>
          <w:color w:val="2563EB"/>
          <w:sz w:val="28"/>
          <w:szCs w:val="28"/>
        </w:rPr>
        <w:t xml:space="preserve">3.3 Departamento de Atención a Clientes</w:t>
      </w:r>
    </w:p>
    <w:p>
      <w:pPr>
        <w:spacing w:after="80" w:before="80"/>
      </w:pPr>
      <w:r>
        <w:rPr>
          <w:rFonts w:ascii="Arial" w:cs="Arial" w:eastAsia="Arial" w:hAnsi="Arial"/>
          <w:color w:val="374151"/>
          <w:sz w:val="22"/>
          <w:szCs w:val="22"/>
        </w:rPr>
        <w:t xml:space="preserve">Este departamento maneja directamente información personal de clientes, lo que lo convierte en el área con mayor exposición al riesgo de cumplimiento normativo bajo la LFPDPPP.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Elemento</w:t>
            </w:r>
          </w:p>
        </w:tc>
        <w:tc>
          <w:tcPr>
            <w:tcW w:type="dxa" w:w="63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Función principal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Soporte técnico, gestión de solicitudes, administración de la relación con el cliente.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Sistemas utilizados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CRM corporativo, correo electrónico, base de datos de clientes, portal de tickets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Activos críticos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Datos personales y de contacto de clientes, historial de soporte, configuraciones técnicas de servicios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Riesgo principal identificado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Filtración de datos personales por error humano o acceso indebido; indisponibilidad del CRM durante horas críticas de atención</w:t>
            </w:r>
          </w:p>
        </w:tc>
      </w:tr>
    </w:tbl>
    <w:p>
      <w:pPr>
        <w:spacing w:before="200"/>
      </w:pPr>
    </w:p>
    <w:p>
      <w:pPr>
        <w:pStyle w:val="Heading2"/>
        <w:spacing w:after="140" w:before="280"/>
      </w:pPr>
      <w:r>
        <w:rPr>
          <w:rFonts w:ascii="Arial" w:cs="Arial" w:eastAsia="Arial" w:hAnsi="Arial"/>
          <w:b/>
          <w:bCs/>
          <w:color w:val="2563EB"/>
          <w:sz w:val="28"/>
          <w:szCs w:val="28"/>
        </w:rPr>
        <w:t xml:space="preserve">3.4 Departamento de Administración</w:t>
      </w:r>
    </w:p>
    <w:p>
      <w:pPr>
        <w:spacing w:after="80" w:before="80"/>
      </w:pPr>
      <w:r>
        <w:rPr>
          <w:rFonts w:ascii="Arial" w:cs="Arial" w:eastAsia="Arial" w:hAnsi="Arial"/>
          <w:color w:val="374151"/>
          <w:sz w:val="22"/>
          <w:szCs w:val="22"/>
        </w:rPr>
        <w:t xml:space="preserve">El área administrativa gestiona información de alta sensibilidad legal y financiera, incluyendo datos personales de empleados sujetos a la LFPDPPP.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Elemento</w:t>
            </w:r>
          </w:p>
        </w:tc>
        <w:tc>
          <w:tcPr>
            <w:tcW w:type="dxa" w:w="63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Función principal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Facturación, contratos, pagos, nómina y gestión de recursos humanos.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Sistemas utilizados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ERP o sistema financiero, hojas de cálculo, almacenamiento en la nube, correo corporativo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Activos críticos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Datos personales de empleados, información financiera, contratos legales, documentos fiscales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Riesgo principal identificado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Acceso no autorizado a información financiera o de RRHH; pérdida de contratos o documentos legales críticos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4. Infraestructura Tecnológica</w:t>
      </w:r>
    </w:p>
    <w:p>
      <w:pPr>
        <w:pStyle w:val="Heading2"/>
        <w:spacing w:after="140" w:before="280"/>
      </w:pPr>
      <w:r>
        <w:rPr>
          <w:rFonts w:ascii="Arial" w:cs="Arial" w:eastAsia="Arial" w:hAnsi="Arial"/>
          <w:b/>
          <w:bCs/>
          <w:color w:val="2563EB"/>
          <w:sz w:val="28"/>
          <w:szCs w:val="28"/>
        </w:rPr>
        <w:t xml:space="preserve">4.1 Componentes de infraestructura</w:t>
      </w:r>
    </w:p>
    <w:p>
      <w:pPr>
        <w:spacing w:after="80" w:before="80"/>
      </w:pPr>
      <w:r>
        <w:rPr>
          <w:rFonts w:ascii="Arial" w:cs="Arial" w:eastAsia="Arial" w:hAnsi="Arial"/>
          <w:color w:val="374151"/>
          <w:sz w:val="22"/>
          <w:szCs w:val="22"/>
        </w:rPr>
        <w:t xml:space="preserve">NovaTech Solutions opera bajo un modelo cloud-first, utilizando proveedores de infraestructura en la nube para sus sistemas productivos. A continuación se describe el inventario de alto nivel de la infraestructura tecnológica: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Componente</w:t>
            </w:r>
          </w:p>
        </w:tc>
        <w:tc>
          <w:tcPr>
            <w:tcW w:type="dxa" w:w="47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Descripción</w:t>
            </w:r>
          </w:p>
        </w:tc>
        <w:tc>
          <w:tcPr>
            <w:tcW w:type="dxa" w:w="18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Criticidad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Servidores en la nube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Instancias de cómputo en proveedor cloud para hospedar aplicaciones web y servicios de backend.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Crítica</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Bases de datos</w:t>
            </w:r>
          </w:p>
        </w:tc>
        <w:tc>
          <w:tcPr>
            <w:tcW w:type="dxa" w:w="4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Bases de datos relacionales y no relacionales que almacenan información de clientes, transacciones y configuraciones.</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Crítica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Repositorios Git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Sistemas de control de versiones donde reside el código fuente de todos los proyectos.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Crítica</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Servidores CI/CD</w:t>
            </w:r>
          </w:p>
        </w:tc>
        <w:tc>
          <w:tcPr>
            <w:tcW w:type="dxa" w:w="4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Infraestructura de integración y entrega continua para automatizar pruebas y despliegues.</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Correo corporativo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Sistema de correo electrónico para comunicaciones internas y con clientes.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Alta</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CRM</w:t>
            </w:r>
          </w:p>
        </w:tc>
        <w:tc>
          <w:tcPr>
            <w:tcW w:type="dxa" w:w="4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Sistema de gestión de relaciones con clientes utilizado por el área de Atención a Clientes.</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Almacenamiento en la nube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Soluciones de almacenamiento para documentos, contratos y archivos corporativos.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Alta</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VPN corporativa</w:t>
            </w:r>
          </w:p>
        </w:tc>
        <w:tc>
          <w:tcPr>
            <w:tcW w:type="dxa" w:w="4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Red privada virtual para accesos remotos autorizados a sistemas internos.</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Equipos de trabajo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Laptops y computadoras asignadas a empleados para el desempeño de sus funciones.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Media</w:t>
            </w:r>
          </w:p>
        </w:tc>
      </w:tr>
    </w:tbl>
    <w:p>
      <w:pPr>
        <w:spacing w:before="200"/>
      </w:pPr>
    </w:p>
    <w:p>
      <w:pPr>
        <w:pStyle w:val="Heading2"/>
        <w:spacing w:after="140" w:before="280"/>
      </w:pPr>
      <w:r>
        <w:rPr>
          <w:rFonts w:ascii="Arial" w:cs="Arial" w:eastAsia="Arial" w:hAnsi="Arial"/>
          <w:b/>
          <w:bCs/>
          <w:color w:val="2563EB"/>
          <w:sz w:val="28"/>
          <w:szCs w:val="28"/>
        </w:rPr>
        <w:t xml:space="preserve">4.2 Modelo de conectividad y acceso</w:t>
      </w:r>
    </w:p>
    <w:p>
      <w:pPr>
        <w:spacing w:after="80" w:before="80"/>
      </w:pPr>
      <w:r>
        <w:rPr>
          <w:rFonts w:ascii="Arial" w:cs="Arial" w:eastAsia="Arial" w:hAnsi="Arial"/>
          <w:color w:val="374151"/>
          <w:sz w:val="22"/>
          <w:szCs w:val="22"/>
        </w:rPr>
        <w:t xml:space="preserve">La organización opera con un modelo de trabajo híbrido que incluye trabajo presencial y remoto. Los accesos a sistemas críticos se realizan a través de:</w:t>
      </w:r>
    </w:p>
    <w:p>
      <w:pPr>
        <w:pStyle w:val="ListParagraph"/>
        <w:numPr>
          <w:ilvl w:val="0"/>
          <w:numId w:val="2"/>
        </w:numPr>
        <w:spacing w:after="60" w:before="60"/>
      </w:pPr>
      <w:r>
        <w:rPr>
          <w:rFonts w:ascii="Arial" w:cs="Arial" w:eastAsia="Arial" w:hAnsi="Arial"/>
          <w:sz w:val="22"/>
          <w:szCs w:val="22"/>
        </w:rPr>
        <w:t xml:space="preserve">VPN corporativa para accesos remotos autorizados.</w:t>
      </w:r>
    </w:p>
    <w:p>
      <w:pPr>
        <w:pStyle w:val="ListParagraph"/>
        <w:numPr>
          <w:ilvl w:val="0"/>
          <w:numId w:val="2"/>
        </w:numPr>
        <w:spacing w:after="60" w:before="60"/>
      </w:pPr>
      <w:r>
        <w:rPr>
          <w:rFonts w:ascii="Arial" w:cs="Arial" w:eastAsia="Arial" w:hAnsi="Arial"/>
          <w:sz w:val="22"/>
          <w:szCs w:val="22"/>
        </w:rPr>
        <w:t xml:space="preserve">Autenticación con usuario y contraseña, con política de contraseñas básica actualmente en revisión.</w:t>
      </w:r>
    </w:p>
    <w:p>
      <w:pPr>
        <w:pStyle w:val="ListParagraph"/>
        <w:numPr>
          <w:ilvl w:val="0"/>
          <w:numId w:val="2"/>
        </w:numPr>
        <w:spacing w:after="60" w:before="60"/>
      </w:pPr>
      <w:r>
        <w:rPr>
          <w:rFonts w:ascii="Arial" w:cs="Arial" w:eastAsia="Arial" w:hAnsi="Arial"/>
          <w:sz w:val="22"/>
          <w:szCs w:val="22"/>
        </w:rPr>
        <w:t xml:space="preserve">Accesos directos a repositorios Git mediante llaves SSH o tokens de acceso personal.</w:t>
      </w:r>
    </w:p>
    <w:p>
      <w:pPr>
        <w:pStyle w:val="ListParagraph"/>
        <w:numPr>
          <w:ilvl w:val="0"/>
          <w:numId w:val="2"/>
        </w:numPr>
        <w:spacing w:after="60" w:before="60"/>
      </w:pPr>
      <w:r>
        <w:rPr>
          <w:rFonts w:ascii="Arial" w:cs="Arial" w:eastAsia="Arial" w:hAnsi="Arial"/>
          <w:sz w:val="22"/>
          <w:szCs w:val="22"/>
        </w:rPr>
        <w:t xml:space="preserve">Acceso al CRM y correo corporativo a través de navegador web con autenticación estándar.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single" w:color="991B1B" w:sz="8"/>
              <w:bottom w:val="single" w:color="991B1B" w:sz="8"/>
              <w:right w:val="single" w:color="991B1B" w:sz="8"/>
            </w:tcBorders>
            <w:shd w:fill="FEE2E2" w:val="clear"/>
            <w:tcMar>
              <w:top w:type="dxa" w:w="120"/>
              <w:left w:type="dxa" w:w="160"/>
              <w:bottom w:type="dxa" w:w="120"/>
              <w:right w:type="dxa" w:w="160"/>
            </w:tcMar>
          </w:tcPr>
          <w:p>
            <w:pPr>
              <w:spacing w:after="80" w:before="60"/>
            </w:pPr>
            <w:r>
              <w:rPr>
                <w:rFonts w:ascii="Arial" w:cs="Arial" w:eastAsia="Arial" w:hAnsi="Arial"/>
                <w:b/>
                <w:bCs/>
                <w:color w:val="991B1B"/>
                <w:sz w:val="22"/>
                <w:szCs w:val="22"/>
              </w:rPr>
              <w:t xml:space="preserve">Situación actual de seguridad (diagnóstico)</w:t>
            </w:r>
          </w:p>
          <w:p>
            <w:pPr>
              <w:pStyle w:val="ListParagraph"/>
              <w:numPr>
                <w:ilvl w:val="0"/>
                <w:numId w:val="2"/>
              </w:numPr>
              <w:spacing w:after="40" w:before="40"/>
            </w:pPr>
            <w:r>
              <w:rPr>
                <w:rFonts w:ascii="Arial" w:cs="Arial" w:eastAsia="Arial" w:hAnsi="Arial"/>
                <w:color w:val="374151"/>
                <w:sz w:val="21"/>
                <w:szCs w:val="21"/>
              </w:rPr>
              <w:t xml:space="preserve">Controles tecnológicos aislados sin integración en una estrategia formal.</w:t>
            </w:r>
          </w:p>
          <w:p>
            <w:pPr>
              <w:pStyle w:val="ListParagraph"/>
              <w:numPr>
                <w:ilvl w:val="0"/>
                <w:numId w:val="2"/>
              </w:numPr>
              <w:spacing w:after="40" w:before="40"/>
            </w:pPr>
            <w:r>
              <w:rPr>
                <w:rFonts w:ascii="Arial" w:cs="Arial" w:eastAsia="Arial" w:hAnsi="Arial"/>
                <w:color w:val="374151"/>
                <w:sz w:val="21"/>
                <w:szCs w:val="21"/>
              </w:rPr>
              <w:t xml:space="preserve">Ausencia de política de control de accesos basada en el principio de mínimo privilegio.</w:t>
            </w:r>
          </w:p>
          <w:p>
            <w:pPr>
              <w:pStyle w:val="ListParagraph"/>
              <w:numPr>
                <w:ilvl w:val="0"/>
                <w:numId w:val="2"/>
              </w:numPr>
              <w:spacing w:after="40" w:before="40"/>
            </w:pPr>
            <w:r>
              <w:rPr>
                <w:rFonts w:ascii="Arial" w:cs="Arial" w:eastAsia="Arial" w:hAnsi="Arial"/>
                <w:color w:val="374151"/>
                <w:sz w:val="21"/>
                <w:szCs w:val="21"/>
              </w:rPr>
              <w:t xml:space="preserve">Sin autenticación multifactor (MFA) implementada en sistemas críticos.</w:t>
            </w:r>
          </w:p>
          <w:p>
            <w:pPr>
              <w:pStyle w:val="ListParagraph"/>
              <w:numPr>
                <w:ilvl w:val="0"/>
                <w:numId w:val="2"/>
              </w:numPr>
              <w:spacing w:after="40" w:before="40"/>
            </w:pPr>
            <w:r>
              <w:rPr>
                <w:rFonts w:ascii="Arial" w:cs="Arial" w:eastAsia="Arial" w:hAnsi="Arial"/>
                <w:color w:val="374151"/>
                <w:sz w:val="21"/>
                <w:szCs w:val="21"/>
              </w:rPr>
              <w:t xml:space="preserve">Sin monitoreo sistemático de accesos ni gestión de registros (logs).</w:t>
            </w:r>
          </w:p>
          <w:p>
            <w:pPr>
              <w:pStyle w:val="ListParagraph"/>
              <w:numPr>
                <w:ilvl w:val="0"/>
                <w:numId w:val="2"/>
              </w:numPr>
              <w:spacing w:after="40" w:before="40"/>
            </w:pPr>
            <w:r>
              <w:rPr>
                <w:rFonts w:ascii="Arial" w:cs="Arial" w:eastAsia="Arial" w:hAnsi="Arial"/>
                <w:color w:val="374151"/>
                <w:sz w:val="21"/>
                <w:szCs w:val="21"/>
              </w:rPr>
              <w:t xml:space="preserve">Sin inventario formal de activos de información.</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5. Información Sensible Gestionada</w:t>
      </w:r>
    </w:p>
    <w:p>
      <w:pPr>
        <w:pStyle w:val="Heading2"/>
        <w:spacing w:after="140" w:before="280"/>
      </w:pPr>
      <w:r>
        <w:rPr>
          <w:rFonts w:ascii="Arial" w:cs="Arial" w:eastAsia="Arial" w:hAnsi="Arial"/>
          <w:b/>
          <w:bCs/>
          <w:color w:val="2563EB"/>
          <w:sz w:val="28"/>
          <w:szCs w:val="28"/>
        </w:rPr>
        <w:t xml:space="preserve">5.1 Clasificación de información por tipo</w:t>
      </w:r>
    </w:p>
    <w:p>
      <w:pPr>
        <w:spacing w:after="80" w:before="80"/>
      </w:pPr>
      <w:r>
        <w:rPr>
          <w:rFonts w:ascii="Arial" w:cs="Arial" w:eastAsia="Arial" w:hAnsi="Arial"/>
          <w:color w:val="374151"/>
          <w:sz w:val="22"/>
          <w:szCs w:val="22"/>
        </w:rPr>
        <w:t xml:space="preserve">NovaTech Solutions gestiona distintos tipos de información con diferentes niveles de sensibilidad. Esta clasificación es el punto de partida para definir controles proporcionales al valor y riesgo de cada tipo de información:</w:t>
      </w:r>
    </w:p>
    <w:p>
      <w:pPr>
        <w:spacing w:before="8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1400"/>
        <w:gridCol w:w="1960"/>
      </w:tblGrid>
      <w:tr>
        <w:trPr>
          <w:tblHeader/>
        </w:trPr>
        <w:tc>
          <w:tcPr>
            <w:tcW w:type="dxa" w:w="22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Tipo de información</w:t>
            </w:r>
          </w:p>
        </w:tc>
        <w:tc>
          <w:tcPr>
            <w:tcW w:type="dxa" w:w="28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Descripción</w:t>
            </w:r>
          </w:p>
        </w:tc>
        <w:tc>
          <w:tcPr>
            <w:tcW w:type="dxa" w:w="18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Área responsable</w:t>
            </w:r>
          </w:p>
        </w:tc>
        <w:tc>
          <w:tcPr>
            <w:tcW w:type="dxa" w:w="14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Nivel de sensibilidad</w:t>
            </w:r>
          </w:p>
        </w:tc>
        <w:tc>
          <w:tcPr>
            <w:tcW w:type="dxa" w:w="19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Principio CIA prioritario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Datos personales de clientes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Nombres, correos, teléfonos, datos de contacto y uso de servicios.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Atención a Clientes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Alto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Confidencialidad</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Datos personales de empleados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CURP, RFC, domicilio, datos bancarios, expediente laboral.</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Administración</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Alto</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Confidencialidad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Credenciales de acceso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Contraseñas, tokens, llaves SSH, claves de API.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TI / Desarrollo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Crítico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Confidencialidad + Integridad</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Información financiera</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Facturas, estados de cuenta, contratos de pago, nómina.</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Administración</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Alto</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Integridad + Confidencialidad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Código fuente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Repositorios de código de plataformas desarrolladas para clientes.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Desarrollo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Crítico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Integridad + Confidencialidad</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Documentos contractuales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Contratos de servicio, acuerdos de confidencialidad, SLAs.</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Administración / Legal</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Alto</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Integridad + Disponibilidad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Configuraciones técnicas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Parámetros de servidores, bases de datos y servicios en producción.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Desarrollo / TI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Crítico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Integridad + Disponibilidad</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Propiedad intelectual</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Algoritmos, metodologías, documentación técnica propietaria.</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Desarrollo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Alto</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Confidencialidad</w:t>
            </w:r>
          </w:p>
        </w:tc>
      </w:tr>
    </w:tbl>
    <w:p>
      <w:pPr>
        <w:spacing w:before="200"/>
      </w:pPr>
    </w:p>
    <w:p>
      <w:pPr>
        <w:pStyle w:val="Heading2"/>
        <w:spacing w:after="140" w:before="280"/>
      </w:pPr>
      <w:r>
        <w:rPr>
          <w:rFonts w:ascii="Arial" w:cs="Arial" w:eastAsia="Arial" w:hAnsi="Arial"/>
          <w:b/>
          <w:bCs/>
          <w:color w:val="2563EB"/>
          <w:sz w:val="28"/>
          <w:szCs w:val="28"/>
        </w:rPr>
        <w:t xml:space="preserve">5.2 Niveles de clasificación de la información</w:t>
      </w:r>
    </w:p>
    <w:p>
      <w:pPr>
        <w:spacing w:after="80" w:before="80"/>
      </w:pPr>
      <w:r>
        <w:rPr>
          <w:rFonts w:ascii="Arial" w:cs="Arial" w:eastAsia="Arial" w:hAnsi="Arial"/>
          <w:color w:val="374151"/>
          <w:sz w:val="22"/>
          <w:szCs w:val="22"/>
        </w:rPr>
        <w:t xml:space="preserve">Para efectos del SGSI, NovaTech Solutions adopta la siguiente escala de clasificación de información: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Nivel</w:t>
            </w:r>
          </w:p>
        </w:tc>
        <w:tc>
          <w:tcPr>
            <w:tcW w:type="dxa" w:w="28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Definición</w:t>
            </w:r>
          </w:p>
        </w:tc>
        <w:tc>
          <w:tcPr>
            <w:tcW w:type="dxa" w:w="24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Ejemplos en NovaTech</w:t>
            </w:r>
          </w:p>
        </w:tc>
        <w:tc>
          <w:tcPr>
            <w:tcW w:type="dxa" w:w="25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Controles mínimos requeridos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Público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Información que puede ser divulgada sin restricciones.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Sitio web, materiales de marketing, comunicados de prensa.</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Ninguno específico</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Interno</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Información para uso exclusivo de empleados autorizados.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Manuales de procedimientos, comunicaciones internas, organigrama.</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Control de acceso por rol; no compartir externamente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Confidencial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Información cuya divulgación no autorizada causa daño significativo.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Datos personales, información financiera, contratos, código fuente.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Control de acceso estricto; cifrado en tránsito y en reposo; registro de accesos</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Crítico</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Información cuya pérdida o divulgación compromete la continuidad del negocio o genera responsabilidad legal grave.</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Credenciales de producción, claves de API, configuraciones de sistemas críticos.</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Acceso mínimo indispensable; MFA obligatorio; auditoría de accesos; cifrado robusto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6. Partes Interesadas</w:t>
      </w:r>
    </w:p>
    <w:p>
      <w:pPr>
        <w:pStyle w:val="Heading2"/>
        <w:spacing w:after="140" w:before="280"/>
      </w:pPr>
      <w:r>
        <w:rPr>
          <w:rFonts w:ascii="Arial" w:cs="Arial" w:eastAsia="Arial" w:hAnsi="Arial"/>
          <w:b/>
          <w:bCs/>
          <w:color w:val="2563EB"/>
          <w:sz w:val="28"/>
          <w:szCs w:val="28"/>
        </w:rPr>
        <w:t xml:space="preserve">6.1 Identificación y análisis de partes interesadas</w:t>
      </w:r>
    </w:p>
    <w:p>
      <w:pPr>
        <w:spacing w:after="80" w:before="80"/>
      </w:pPr>
      <w:r>
        <w:rPr>
          <w:rFonts w:ascii="Arial" w:cs="Arial" w:eastAsia="Arial" w:hAnsi="Arial"/>
          <w:color w:val="374151"/>
          <w:sz w:val="22"/>
          <w:szCs w:val="22"/>
        </w:rPr>
        <w:t xml:space="preserve">La cláusula 4.2 de ISO/IEC 27001 requiere identificar las partes interesadas relevantes para el SGSI y comprender sus requisitos. A continuación se presenta el análisis completo: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200"/>
        <w:gridCol w:w="2660"/>
      </w:tblGrid>
      <w:tr>
        <w:trPr>
          <w:tblHeader/>
        </w:trPr>
        <w:tc>
          <w:tcPr>
            <w:tcW w:type="dxa" w:w="22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Parte interesada</w:t>
            </w:r>
          </w:p>
        </w:tc>
        <w:tc>
          <w:tcPr>
            <w:tcW w:type="dxa" w:w="13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Tipo</w:t>
            </w:r>
          </w:p>
        </w:tc>
        <w:tc>
          <w:tcPr>
            <w:tcW w:type="dxa" w:w="32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Expectativas / Requisitos relacionados con SI</w:t>
            </w:r>
          </w:p>
        </w:tc>
        <w:tc>
          <w:tcPr>
            <w:tcW w:type="dxa" w:w="26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Impacto si no se atiende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Dirección General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Interna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Continuidad operativa, reputación de la empresa, rentabilidad y cumplimiento regulatorio.</w:t>
            </w:r>
          </w:p>
        </w:tc>
        <w:tc>
          <w:tcPr>
            <w:tcW w:type="dxa" w:w="2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Pérdidas económicas, daño reputacional, sanciones legales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Empleados</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Interna</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Entorno de trabajo seguro, claridad sobre responsabilidades y protección de sus datos personales como titulares.</w:t>
            </w:r>
          </w:p>
        </w:tc>
        <w:tc>
          <w:tcPr>
            <w:tcW w:type="dxa" w:w="26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Fuga de datos de RRHH, desconfianza, incumplimiento de LFPDPPP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Clientes (PyMEs)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Externa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Confidencialidad de su información contractual y técnica, disponibilidad de los servicios contratados.</w:t>
            </w:r>
          </w:p>
        </w:tc>
        <w:tc>
          <w:tcPr>
            <w:tcW w:type="dxa" w:w="2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Pérdida de clientes, demandas, daño reputacional grave</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Proveedores de nube</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Externa</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Uso adecuado de la infraestructura conforme a los términos de servicio y acuerdos de nivel de servicio (SLA).</w:t>
            </w:r>
          </w:p>
        </w:tc>
        <w:tc>
          <w:tcPr>
            <w:tcW w:type="dxa" w:w="26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Suspensión del servicio, indisponibilidad de sistemas críticos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INAI (regulador)</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Regulatoria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Cumplimiento de la LFPDPPP: aviso de privacidad, medidas de seguridad, atención de derechos ARCO.</w:t>
            </w:r>
          </w:p>
        </w:tc>
        <w:tc>
          <w:tcPr>
            <w:tcW w:type="dxa" w:w="2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Multas administrativas, sanciones, procedimientos de verificación</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Autoridades fiscales (SAT)</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Regulatoria</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Conservación e integridad de registros fiscales y financieros.</w:t>
            </w:r>
          </w:p>
        </w:tc>
        <w:tc>
          <w:tcPr>
            <w:tcW w:type="dxa" w:w="26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Infracciones fiscales, auditorías, sanciones económicas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Socios y aliados tecnológicos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Externa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Protección de información compartida bajo acuerdos de confidencialidad.</w:t>
            </w:r>
          </w:p>
        </w:tc>
        <w:tc>
          <w:tcPr>
            <w:tcW w:type="dxa" w:w="2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Incumplimiento contractual, pérdida de alianzas estratégicas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Auditores externos</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Externa</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Acceso a evidencias del funcionamiento del SGSI; transparencia y trazabilidad.</w:t>
            </w:r>
          </w:p>
        </w:tc>
        <w:tc>
          <w:tcPr>
            <w:tcW w:type="dxa" w:w="26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Calificaciones negativas de auditoría; imposibilidad de certificación futura</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7. Análisis del Contexto Externo</w:t>
      </w:r>
    </w:p>
    <w:p>
      <w:pPr>
        <w:pStyle w:val="Heading2"/>
        <w:spacing w:after="140" w:before="280"/>
      </w:pPr>
      <w:r>
        <w:rPr>
          <w:rFonts w:ascii="Arial" w:cs="Arial" w:eastAsia="Arial" w:hAnsi="Arial"/>
          <w:b/>
          <w:bCs/>
          <w:color w:val="2563EB"/>
          <w:sz w:val="28"/>
          <w:szCs w:val="28"/>
        </w:rPr>
        <w:t xml:space="preserve">7.1 Entorno regulatorio y legal</w:t>
      </w:r>
    </w:p>
    <w:p>
      <w:pPr>
        <w:spacing w:after="80" w:before="80"/>
      </w:pPr>
      <w:r>
        <w:rPr>
          <w:rFonts w:ascii="Arial" w:cs="Arial" w:eastAsia="Arial" w:hAnsi="Arial"/>
          <w:color w:val="374151"/>
          <w:sz w:val="22"/>
          <w:szCs w:val="22"/>
        </w:rPr>
        <w:t xml:space="preserve">NovaTech Solutions opera en un entorno regulatorio definido por la legislación mexicana en materia de protección de datos personales y tecnología de la información: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Marco regulatorio</w:t>
            </w:r>
          </w:p>
        </w:tc>
        <w:tc>
          <w:tcPr>
            <w:tcW w:type="dxa" w:w="2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Ámbito</w:t>
            </w:r>
          </w:p>
        </w:tc>
        <w:tc>
          <w:tcPr>
            <w:tcW w:type="dxa" w:w="41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Obligaciones relevantes para NovaTech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Ley Federal de Protección de Datos Personales en Posesión de los Particulares (LFPDPPP)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Nacional — Datos personales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Aviso de privacidad, medidas de seguridad, atención de derechos ARCO, notificación de incidentes.</w:t>
            </w:r>
          </w:p>
        </w:tc>
      </w:tr>
      <w:tr>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Reglamento de la LFPDPPP</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Nacional — Desarrollo reglamentario</w:t>
            </w:r>
          </w:p>
        </w:tc>
        <w:tc>
          <w:tcPr>
            <w:tcW w:type="dxa" w:w="4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Especificaciones técnicas sobre medidas de seguridad administrativas, físicas y técnicas.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Lineamientos del INAI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Nacional — Criterios de cumplimiento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Parámetros para el correcto tratamiento de datos personales.</w:t>
            </w:r>
          </w:p>
        </w:tc>
      </w:tr>
      <w:tr>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Código de Comercio / Ley Federal del Trabajo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Nacional — Contratos y relaciones laborales</w:t>
            </w:r>
          </w:p>
        </w:tc>
        <w:tc>
          <w:tcPr>
            <w:tcW w:type="dxa" w:w="4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Conservación de contratos digitales; protección de datos de trabajadores.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Código Fiscal de la Federación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Nacional — Información fiscal</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Conservación e integridad de registros contables y fiscales digitales.</w:t>
            </w:r>
          </w:p>
        </w:tc>
      </w:tr>
    </w:tbl>
    <w:p>
      <w:pPr>
        <w:spacing w:before="200"/>
      </w:pPr>
    </w:p>
    <w:p>
      <w:pPr>
        <w:pStyle w:val="Heading2"/>
        <w:spacing w:after="140" w:before="280"/>
      </w:pPr>
      <w:r>
        <w:rPr>
          <w:rFonts w:ascii="Arial" w:cs="Arial" w:eastAsia="Arial" w:hAnsi="Arial"/>
          <w:b/>
          <w:bCs/>
          <w:color w:val="2563EB"/>
          <w:sz w:val="28"/>
          <w:szCs w:val="28"/>
        </w:rPr>
        <w:t xml:space="preserve">7.2 Panorama de amenazas externas</w:t>
      </w:r>
    </w:p>
    <w:p>
      <w:pPr>
        <w:spacing w:after="80" w:before="80"/>
      </w:pPr>
      <w:r>
        <w:rPr>
          <w:rFonts w:ascii="Arial" w:cs="Arial" w:eastAsia="Arial" w:hAnsi="Arial"/>
          <w:color w:val="374151"/>
          <w:sz w:val="22"/>
          <w:szCs w:val="22"/>
        </w:rPr>
        <w:t xml:space="preserve">El sector de desarrollo de software y servicios digitales enfrenta un panorama de amenazas en constante evolución. Las siguientes amenazas son especialmente relevantes para NovaTech: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Categoría de amenaza</w:t>
            </w:r>
          </w:p>
        </w:tc>
        <w:tc>
          <w:tcPr>
            <w:tcW w:type="dxa" w:w="34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Amenaza específica</w:t>
            </w:r>
          </w:p>
        </w:tc>
        <w:tc>
          <w:tcPr>
            <w:tcW w:type="dxa" w:w="37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Relevancia para NovaTech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Ciberataques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Ransomware dirigido a PyMEs y proveedores de servicios digitales.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Alta — afectaría la disponibilidad de sistemas y datos de clientes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Ciberataques</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Phishing y spear-phishing a empleados para obtener credenciales.</w:t>
            </w:r>
          </w:p>
        </w:tc>
        <w:tc>
          <w:tcPr>
            <w:tcW w:type="dxa" w:w="3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Alta — vector principal de compromiso de cuentas corporativas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Exfiltración de datos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Robo de código fuente por actores externos o competencia.</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Crítica — impacto directo en la ventaja competitiva del negocio</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Vulnerabilidades de terceros</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Fallas de seguridad en proveedores de infraestructura en la nube.</w:t>
            </w:r>
          </w:p>
        </w:tc>
        <w:tc>
          <w:tcPr>
            <w:tcW w:type="dxa" w:w="3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Media — dependencia de SLA y controles del proveedor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Ingeniería social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Manipulación de empleados para divulgar información o accesos.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Alta — especialmente en áreas de atención a clientes y administración</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Incumplimiento regulatorio</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Sanciones del INAI por manejo inadecuado de datos personales.</w:t>
            </w:r>
          </w:p>
        </w:tc>
        <w:tc>
          <w:tcPr>
            <w:tcW w:type="dxa" w:w="3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Alta — creciente actividad regulatoria en México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Ataques a la cadena de suministro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Compromiso de librerías o dependencias de código abierto utilizadas en el desarrollo.</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Media-Alta — impacta la integridad del software entregado a clientes</w:t>
            </w:r>
          </w:p>
        </w:tc>
      </w:tr>
    </w:tbl>
    <w:p>
      <w:pPr>
        <w:spacing w:before="200"/>
      </w:pPr>
    </w:p>
    <w:p>
      <w:pPr>
        <w:pStyle w:val="Heading2"/>
        <w:spacing w:after="140" w:before="280"/>
      </w:pPr>
      <w:r>
        <w:rPr>
          <w:rFonts w:ascii="Arial" w:cs="Arial" w:eastAsia="Arial" w:hAnsi="Arial"/>
          <w:b/>
          <w:bCs/>
          <w:color w:val="2563EB"/>
          <w:sz w:val="28"/>
          <w:szCs w:val="28"/>
        </w:rPr>
        <w:t xml:space="preserve">7.3 Tendencias tecnológicas relevantes</w:t>
      </w:r>
    </w:p>
    <w:p>
      <w:pPr>
        <w:pStyle w:val="ListParagraph"/>
        <w:numPr>
          <w:ilvl w:val="0"/>
          <w:numId w:val="2"/>
        </w:numPr>
        <w:spacing w:after="60" w:before="60"/>
      </w:pPr>
      <w:r>
        <w:rPr>
          <w:rFonts w:ascii="Arial" w:cs="Arial" w:eastAsia="Arial" w:hAnsi="Arial"/>
          <w:sz w:val="22"/>
          <w:szCs w:val="22"/>
        </w:rPr>
        <w:t xml:space="preserve">Adopción creciente de arquitecturas de microservicios y contenedores, que amplían la superficie de ataque.</w:t>
      </w:r>
    </w:p>
    <w:p>
      <w:pPr>
        <w:pStyle w:val="ListParagraph"/>
        <w:numPr>
          <w:ilvl w:val="0"/>
          <w:numId w:val="2"/>
        </w:numPr>
        <w:spacing w:after="60" w:before="60"/>
      </w:pPr>
      <w:r>
        <w:rPr>
          <w:rFonts w:ascii="Arial" w:cs="Arial" w:eastAsia="Arial" w:hAnsi="Arial"/>
          <w:sz w:val="22"/>
          <w:szCs w:val="22"/>
        </w:rPr>
        <w:t xml:space="preserve">Incremento del trabajo remoto, que exige controles de acceso más robustos y gestión de dispositivos.</w:t>
      </w:r>
    </w:p>
    <w:p>
      <w:pPr>
        <w:pStyle w:val="ListParagraph"/>
        <w:numPr>
          <w:ilvl w:val="0"/>
          <w:numId w:val="2"/>
        </w:numPr>
        <w:spacing w:after="60" w:before="60"/>
      </w:pPr>
      <w:r>
        <w:rPr>
          <w:rFonts w:ascii="Arial" w:cs="Arial" w:eastAsia="Arial" w:hAnsi="Arial"/>
          <w:sz w:val="22"/>
          <w:szCs w:val="22"/>
        </w:rPr>
        <w:t xml:space="preserve">Mayor exigencia de los clientes respecto a la seguridad y privacidad de sus datos como criterio de selección de proveedores.</w:t>
      </w:r>
    </w:p>
    <w:p>
      <w:pPr>
        <w:pStyle w:val="ListParagraph"/>
        <w:numPr>
          <w:ilvl w:val="0"/>
          <w:numId w:val="2"/>
        </w:numPr>
        <w:spacing w:after="60" w:before="60"/>
      </w:pPr>
      <w:r>
        <w:rPr>
          <w:rFonts w:ascii="Arial" w:cs="Arial" w:eastAsia="Arial" w:hAnsi="Arial"/>
          <w:sz w:val="22"/>
          <w:szCs w:val="22"/>
        </w:rPr>
        <w:t xml:space="preserve">Evolución de la normativa de protección de datos a nivel nacional e internacional (adecuaciones a la LFPDPPP).</w:t>
      </w:r>
    </w:p>
    <w:p>
      <w:pPr>
        <w:pStyle w:val="ListParagraph"/>
        <w:numPr>
          <w:ilvl w:val="0"/>
          <w:numId w:val="2"/>
        </w:numPr>
        <w:spacing w:after="60" w:before="60"/>
      </w:pPr>
      <w:r>
        <w:rPr>
          <w:rFonts w:ascii="Arial" w:cs="Arial" w:eastAsia="Arial" w:hAnsi="Arial"/>
          <w:sz w:val="22"/>
          <w:szCs w:val="22"/>
        </w:rPr>
        <w:t xml:space="preserve">Proliferación de herramientas de inteligencia artificial que pueden ser usadas tanto para mejorar la seguridad como para potenciar los ataques.</w:t>
      </w:r>
    </w:p>
    <w:p>
      <w:pPr>
        <w:spacing w:before="12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8. Análisis del Contexto Interno</w:t>
      </w:r>
    </w:p>
    <w:p>
      <w:pPr>
        <w:pStyle w:val="Heading2"/>
        <w:spacing w:after="140" w:before="280"/>
      </w:pPr>
      <w:r>
        <w:rPr>
          <w:rFonts w:ascii="Arial" w:cs="Arial" w:eastAsia="Arial" w:hAnsi="Arial"/>
          <w:b/>
          <w:bCs/>
          <w:color w:val="2563EB"/>
          <w:sz w:val="28"/>
          <w:szCs w:val="28"/>
        </w:rPr>
        <w:t xml:space="preserve">8.1 Cultura organizacional y factores humanos</w:t>
      </w:r>
    </w:p>
    <w:p>
      <w:pPr>
        <w:spacing w:after="80" w:before="80"/>
      </w:pPr>
      <w:r>
        <w:rPr>
          <w:rFonts w:ascii="Arial" w:cs="Arial" w:eastAsia="Arial" w:hAnsi="Arial"/>
          <w:color w:val="374151"/>
          <w:sz w:val="22"/>
          <w:szCs w:val="22"/>
        </w:rPr>
        <w:t xml:space="preserve">El factor humano representa tanto el mayor activo como el mayor riesgo en la seguridad de la información de NovaTech Solutions. Los incidentes pasados demuestran que la mayoría de los eventos de seguridad tuvieron origen en acciones u omisiones humanas: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Factor humano</w:t>
            </w:r>
          </w:p>
        </w:tc>
        <w:tc>
          <w:tcPr>
            <w:tcW w:type="dxa" w:w="4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Descripción</w:t>
            </w:r>
          </w:p>
        </w:tc>
        <w:tc>
          <w:tcPr>
            <w:tcW w:type="dxa" w:w="29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Riesgo asociado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Sesión no cerrada en equipo compartido</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Un desarrollador olvidó cerrar sesión en un equipo de un cliente, permitiendo el acceso al repositorio de código.</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Alto — compromiso de propiedad intelectual y código fuente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Error de reenvío de correo</w:t>
            </w:r>
          </w:p>
        </w:tc>
        <w:tc>
          <w:tcPr>
            <w:tcW w:type="dxa" w:w="4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Un empleado de soporte reenvió información de cliente a una dirección equivocada.</w:t>
            </w:r>
          </w:p>
        </w:tc>
        <w:tc>
          <w:tcPr>
            <w:tcW w:type="dxa" w:w="2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Alto — violación de confidencialidad y posible incumplimiento de LFPDPPP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Mala configuración en actualización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Un cambio de configuración no probado dejó el CRM inactivo durante 6 horas.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Alto — afectación a la disponibilidad de servicios críticos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Accesos con privilegios excesivos</w:t>
            </w:r>
          </w:p>
        </w:tc>
        <w:tc>
          <w:tcPr>
            <w:tcW w:type="dxa" w:w="4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Empleados con accesos más amplios de lo necesario para sus funciones.</w:t>
            </w:r>
          </w:p>
        </w:tc>
        <w:tc>
          <w:tcPr>
            <w:tcW w:type="dxa" w:w="2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Alto — superficie de error e incidente ampliada innecesariamente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Capacitación limitada en seguridad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Los empleados no han recibido formación formal en seguridad de la información.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Alto — desconocimiento de buenas prácticas y responsabilidades</w:t>
            </w:r>
          </w:p>
        </w:tc>
      </w:tr>
    </w:tbl>
    <w:p>
      <w:pPr>
        <w:spacing w:before="200"/>
      </w:pPr>
    </w:p>
    <w:p>
      <w:pPr>
        <w:pStyle w:val="Heading2"/>
        <w:spacing w:after="140" w:before="280"/>
      </w:pPr>
      <w:r>
        <w:rPr>
          <w:rFonts w:ascii="Arial" w:cs="Arial" w:eastAsia="Arial" w:hAnsi="Arial"/>
          <w:b/>
          <w:bCs/>
          <w:color w:val="2563EB"/>
          <w:sz w:val="28"/>
          <w:szCs w:val="28"/>
        </w:rPr>
        <w:t xml:space="preserve">8.2 Capacidades y recursos actuales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Área de capacidad</w:t>
            </w:r>
          </w:p>
        </w:tc>
        <w:tc>
          <w:tcPr>
            <w:tcW w:type="dxa" w:w="35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Situación actual</w:t>
            </w:r>
          </w:p>
        </w:tc>
        <w:tc>
          <w:tcPr>
            <w:tcW w:type="dxa" w:w="34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Brecha identificada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Gestión de riesgos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No existe un proceso formal de evaluación de riesgos de información.</w:t>
            </w:r>
          </w:p>
        </w:tc>
        <w:tc>
          <w:tcPr>
            <w:tcW w:type="dxa" w:w="3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Implementar proceso basado en OCTAVE Allegro (Doc. 4)</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Políticas de seguridad</w:t>
            </w:r>
          </w:p>
        </w:tc>
        <w:tc>
          <w:tcPr>
            <w:tcW w:type="dxa" w:w="3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No existen políticas formales documentadas y comunicadas.</w:t>
            </w:r>
          </w:p>
        </w:tc>
        <w:tc>
          <w:tcPr>
            <w:tcW w:type="dxa" w:w="3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Desarrollar el conjunto de políticas (Doc. 5)</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Control de accesos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Los accesos se asignan de manera informal, sin criterio de mínimo privilegio.</w:t>
            </w:r>
          </w:p>
        </w:tc>
        <w:tc>
          <w:tcPr>
            <w:tcW w:type="dxa" w:w="3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Implementar política y controles de control de accesos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Gestión de incidentes</w:t>
            </w:r>
          </w:p>
        </w:tc>
        <w:tc>
          <w:tcPr>
            <w:tcW w:type="dxa" w:w="3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No existe un procedimiento formal ni un equipo definido de respuesta.</w:t>
            </w:r>
          </w:p>
        </w:tc>
        <w:tc>
          <w:tcPr>
            <w:tcW w:type="dxa" w:w="3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Establecer CSIRT y procedimiento formal (Doc. 8)</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Continuidad del negocio</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No existe plan de continuidad ni de recuperación ante desastres.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Desarrollar BCP y DRP (Doc. 7)</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Capacitación en seguridad</w:t>
            </w:r>
          </w:p>
        </w:tc>
        <w:tc>
          <w:tcPr>
            <w:tcW w:type="dxa" w:w="3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La capacitación en seguridad es mínima e informal.</w:t>
            </w:r>
          </w:p>
        </w:tc>
        <w:tc>
          <w:tcPr>
            <w:tcW w:type="dxa" w:w="3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Programa formal de concientización (Doc. 9)</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Cumplimiento normativo</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No existe un marco formal que garantice el cumplimiento de la LFPDPPP.</w:t>
            </w:r>
          </w:p>
        </w:tc>
        <w:tc>
          <w:tcPr>
            <w:tcW w:type="dxa" w:w="3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Establecer controles y evidencias de cumplimiento (Doc. 11)</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9. Análisis FODA de Seguridad de la Información</w:t>
      </w:r>
    </w:p>
    <w:p>
      <w:pPr>
        <w:spacing w:after="80" w:before="80"/>
      </w:pPr>
      <w:r>
        <w:rPr>
          <w:rFonts w:ascii="Arial" w:cs="Arial" w:eastAsia="Arial" w:hAnsi="Arial"/>
          <w:color w:val="374151"/>
          <w:sz w:val="22"/>
          <w:szCs w:val="22"/>
        </w:rPr>
        <w:t xml:space="preserve">El análisis FODA permite identificar los factores internos (fortalezas y debilidades) y externos (oportunidades y amenazas) que condicionan el diseño e implementación del SGSI de NovaTech Solutions: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6"/>
              <w:left w:val="single" w:color="2563EB" w:sz="6"/>
              <w:bottom w:val="single" w:color="2563EB" w:sz="6"/>
              <w:right w:val="single" w:color="2563EB" w:sz="6"/>
            </w:tcBorders>
            <w:shd w:fill="DCFCE7" w:val="clear"/>
            <w:tcMar>
              <w:top w:type="dxa" w:w="120"/>
              <w:left w:type="dxa" w:w="140"/>
              <w:bottom w:type="dxa" w:w="120"/>
              <w:right w:type="dxa" w:w="140"/>
            </w:tcMar>
          </w:tcPr>
          <w:p>
            <w:pPr>
              <w:spacing w:after="80" w:before="60"/>
            </w:pPr>
            <w:r>
              <w:rPr>
                <w:rFonts w:ascii="Arial" w:cs="Arial" w:eastAsia="Arial" w:hAnsi="Arial"/>
                <w:b/>
                <w:bCs/>
                <w:color w:val="166534"/>
                <w:sz w:val="22"/>
                <w:szCs w:val="22"/>
              </w:rPr>
              <w:t xml:space="preserve">FORTALEZAS</w:t>
            </w:r>
          </w:p>
          <w:p>
            <w:pPr>
              <w:pStyle w:val="ListParagraph"/>
              <w:numPr>
                <w:ilvl w:val="0"/>
                <w:numId w:val="2"/>
              </w:numPr>
              <w:spacing w:after="40" w:before="40"/>
            </w:pPr>
            <w:r>
              <w:rPr>
                <w:rFonts w:ascii="Arial" w:cs="Arial" w:eastAsia="Arial" w:hAnsi="Arial"/>
                <w:color w:val="374151"/>
                <w:sz w:val="20"/>
                <w:szCs w:val="20"/>
              </w:rPr>
              <w:t xml:space="preserve">Equipo técnico calificado con experiencia en desarrollo de software.</w:t>
            </w:r>
          </w:p>
          <w:p>
            <w:pPr>
              <w:pStyle w:val="ListParagraph"/>
              <w:numPr>
                <w:ilvl w:val="0"/>
                <w:numId w:val="2"/>
              </w:numPr>
              <w:spacing w:after="40" w:before="40"/>
            </w:pPr>
            <w:r>
              <w:rPr>
                <w:rFonts w:ascii="Arial" w:cs="Arial" w:eastAsia="Arial" w:hAnsi="Arial"/>
                <w:color w:val="374151"/>
                <w:sz w:val="20"/>
                <w:szCs w:val="20"/>
              </w:rPr>
              <w:t xml:space="preserve">Infraestructura en la nube con capacidades nativas de seguridad.</w:t>
            </w:r>
          </w:p>
          <w:p>
            <w:pPr>
              <w:pStyle w:val="ListParagraph"/>
              <w:numPr>
                <w:ilvl w:val="0"/>
                <w:numId w:val="2"/>
              </w:numPr>
              <w:spacing w:after="40" w:before="40"/>
            </w:pPr>
            <w:r>
              <w:rPr>
                <w:rFonts w:ascii="Arial" w:cs="Arial" w:eastAsia="Arial" w:hAnsi="Arial"/>
                <w:color w:val="374151"/>
                <w:sz w:val="20"/>
                <w:szCs w:val="20"/>
              </w:rPr>
              <w:t xml:space="preserve">Liderazgo comprometido con la mejora de la seguridad organizacional.</w:t>
            </w:r>
          </w:p>
          <w:p>
            <w:pPr>
              <w:pStyle w:val="ListParagraph"/>
              <w:numPr>
                <w:ilvl w:val="0"/>
                <w:numId w:val="2"/>
              </w:numPr>
              <w:spacing w:after="40" w:before="40"/>
            </w:pPr>
            <w:r>
              <w:rPr>
                <w:rFonts w:ascii="Arial" w:cs="Arial" w:eastAsia="Arial" w:hAnsi="Arial"/>
                <w:color w:val="374151"/>
                <w:sz w:val="20"/>
                <w:szCs w:val="20"/>
              </w:rPr>
              <w:t xml:space="preserve">Conocimiento profundo del negocio y sus activos de información.</w:t>
            </w:r>
          </w:p>
          <w:p>
            <w:pPr>
              <w:pStyle w:val="ListParagraph"/>
              <w:numPr>
                <w:ilvl w:val="0"/>
                <w:numId w:val="2"/>
              </w:numPr>
              <w:spacing w:after="40" w:before="40"/>
            </w:pPr>
            <w:r>
              <w:rPr>
                <w:rFonts w:ascii="Arial" w:cs="Arial" w:eastAsia="Arial" w:hAnsi="Arial"/>
                <w:color w:val="374151"/>
                <w:sz w:val="20"/>
                <w:szCs w:val="20"/>
              </w:rPr>
              <w:t xml:space="preserve">Base de clientes establecida que incentiva la protección de la reputación.</w:t>
            </w:r>
          </w:p>
        </w:tc>
        <w:tc>
          <w:tcPr>
            <w:tcW w:type="dxa" w:w="4680"/>
            <w:tcBorders>
              <w:top w:val="single" w:color="2563EB" w:sz="6"/>
              <w:left w:val="single" w:color="2563EB" w:sz="6"/>
              <w:bottom w:val="single" w:color="2563EB" w:sz="6"/>
              <w:right w:val="single" w:color="2563EB" w:sz="6"/>
            </w:tcBorders>
            <w:shd w:fill="FEE2E2" w:val="clear"/>
            <w:tcMar>
              <w:top w:type="dxa" w:w="120"/>
              <w:left w:type="dxa" w:w="140"/>
              <w:bottom w:type="dxa" w:w="120"/>
              <w:right w:type="dxa" w:w="140"/>
            </w:tcMar>
          </w:tcPr>
          <w:p>
            <w:pPr>
              <w:spacing w:after="80" w:before="60"/>
            </w:pPr>
            <w:r>
              <w:rPr>
                <w:rFonts w:ascii="Arial" w:cs="Arial" w:eastAsia="Arial" w:hAnsi="Arial"/>
                <w:b/>
                <w:bCs/>
                <w:color w:val="991B1B"/>
                <w:sz w:val="22"/>
                <w:szCs w:val="22"/>
              </w:rPr>
              <w:t xml:space="preserve">DEBILIDADES</w:t>
            </w:r>
          </w:p>
          <w:p>
            <w:pPr>
              <w:pStyle w:val="ListParagraph"/>
              <w:numPr>
                <w:ilvl w:val="0"/>
                <w:numId w:val="2"/>
              </w:numPr>
              <w:spacing w:after="40" w:before="40"/>
            </w:pPr>
            <w:r>
              <w:rPr>
                <w:rFonts w:ascii="Arial" w:cs="Arial" w:eastAsia="Arial" w:hAnsi="Arial"/>
                <w:color w:val="374151"/>
                <w:sz w:val="20"/>
                <w:szCs w:val="20"/>
              </w:rPr>
              <w:t xml:space="preserve">Ausencia de políticas formales de seguridad de la información.</w:t>
            </w:r>
          </w:p>
          <w:p>
            <w:pPr>
              <w:pStyle w:val="ListParagraph"/>
              <w:numPr>
                <w:ilvl w:val="0"/>
                <w:numId w:val="2"/>
              </w:numPr>
              <w:spacing w:after="40" w:before="40"/>
            </w:pPr>
            <w:r>
              <w:rPr>
                <w:rFonts w:ascii="Arial" w:cs="Arial" w:eastAsia="Arial" w:hAnsi="Arial"/>
                <w:color w:val="374151"/>
                <w:sz w:val="20"/>
                <w:szCs w:val="20"/>
              </w:rPr>
              <w:t xml:space="preserve">Sin proceso de gestión de riesgos establecido.</w:t>
            </w:r>
          </w:p>
          <w:p>
            <w:pPr>
              <w:pStyle w:val="ListParagraph"/>
              <w:numPr>
                <w:ilvl w:val="0"/>
                <w:numId w:val="2"/>
              </w:numPr>
              <w:spacing w:after="40" w:before="40"/>
            </w:pPr>
            <w:r>
              <w:rPr>
                <w:rFonts w:ascii="Arial" w:cs="Arial" w:eastAsia="Arial" w:hAnsi="Arial"/>
                <w:color w:val="374151"/>
                <w:sz w:val="20"/>
                <w:szCs w:val="20"/>
              </w:rPr>
              <w:t xml:space="preserve">Controles de acceso deficientes; privilegios excesivos no gestionados.</w:t>
            </w:r>
          </w:p>
          <w:p>
            <w:pPr>
              <w:pStyle w:val="ListParagraph"/>
              <w:numPr>
                <w:ilvl w:val="0"/>
                <w:numId w:val="2"/>
              </w:numPr>
              <w:spacing w:after="40" w:before="40"/>
            </w:pPr>
            <w:r>
              <w:rPr>
                <w:rFonts w:ascii="Arial" w:cs="Arial" w:eastAsia="Arial" w:hAnsi="Arial"/>
                <w:color w:val="374151"/>
                <w:sz w:val="20"/>
                <w:szCs w:val="20"/>
              </w:rPr>
              <w:t xml:space="preserve">Capacitación en seguridad prácticamente inexistente.</w:t>
            </w:r>
          </w:p>
          <w:p>
            <w:pPr>
              <w:pStyle w:val="ListParagraph"/>
              <w:numPr>
                <w:ilvl w:val="0"/>
                <w:numId w:val="2"/>
              </w:numPr>
              <w:spacing w:after="40" w:before="40"/>
            </w:pPr>
            <w:r>
              <w:rPr>
                <w:rFonts w:ascii="Arial" w:cs="Arial" w:eastAsia="Arial" w:hAnsi="Arial"/>
                <w:color w:val="374151"/>
                <w:sz w:val="20"/>
                <w:szCs w:val="20"/>
              </w:rPr>
              <w:t xml:space="preserve">Sin plan de continuidad del negocio ni de recuperación ante desastres.</w:t>
            </w:r>
          </w:p>
          <w:p>
            <w:pPr>
              <w:pStyle w:val="ListParagraph"/>
              <w:numPr>
                <w:ilvl w:val="0"/>
                <w:numId w:val="2"/>
              </w:numPr>
              <w:spacing w:after="40" w:before="40"/>
            </w:pPr>
            <w:r>
              <w:rPr>
                <w:rFonts w:ascii="Arial" w:cs="Arial" w:eastAsia="Arial" w:hAnsi="Arial"/>
                <w:color w:val="374151"/>
                <w:sz w:val="20"/>
                <w:szCs w:val="20"/>
              </w:rPr>
              <w:t xml:space="preserve">Cultura de seguridad inmadura en la organización.</w:t>
            </w:r>
          </w:p>
        </w:tc>
      </w:tr>
      <w:tr>
        <w:tc>
          <w:tcPr>
            <w:tcW w:type="dxa" w:w="4680"/>
            <w:tcBorders>
              <w:top w:val="single" w:color="2563EB" w:sz="6"/>
              <w:left w:val="single" w:color="2563EB" w:sz="6"/>
              <w:bottom w:val="single" w:color="2563EB" w:sz="6"/>
              <w:right w:val="single" w:color="2563EB" w:sz="6"/>
            </w:tcBorders>
            <w:shd w:fill="DBEAFE" w:val="clear"/>
            <w:tcMar>
              <w:top w:type="dxa" w:w="120"/>
              <w:left w:type="dxa" w:w="140"/>
              <w:bottom w:type="dxa" w:w="120"/>
              <w:right w:type="dxa" w:w="140"/>
            </w:tcMar>
          </w:tcPr>
          <w:p>
            <w:pPr>
              <w:spacing w:after="80" w:before="60"/>
            </w:pPr>
            <w:r>
              <w:rPr>
                <w:rFonts w:ascii="Arial" w:cs="Arial" w:eastAsia="Arial" w:hAnsi="Arial"/>
                <w:b/>
                <w:bCs/>
                <w:color w:val="2563EB"/>
                <w:sz w:val="22"/>
                <w:szCs w:val="22"/>
              </w:rPr>
              <w:t xml:space="preserve">OPORTUNIDADES</w:t>
            </w:r>
          </w:p>
          <w:p>
            <w:pPr>
              <w:pStyle w:val="ListParagraph"/>
              <w:numPr>
                <w:ilvl w:val="0"/>
                <w:numId w:val="2"/>
              </w:numPr>
              <w:spacing w:after="40" w:before="40"/>
            </w:pPr>
            <w:r>
              <w:rPr>
                <w:rFonts w:ascii="Arial" w:cs="Arial" w:eastAsia="Arial" w:hAnsi="Arial"/>
                <w:color w:val="374151"/>
                <w:sz w:val="20"/>
                <w:szCs w:val="20"/>
              </w:rPr>
              <w:t xml:space="preserve">ISO/IEC 27001 como diferenciador competitivo ante clientes corporativos.</w:t>
            </w:r>
          </w:p>
          <w:p>
            <w:pPr>
              <w:pStyle w:val="ListParagraph"/>
              <w:numPr>
                <w:ilvl w:val="0"/>
                <w:numId w:val="2"/>
              </w:numPr>
              <w:spacing w:after="40" w:before="40"/>
            </w:pPr>
            <w:r>
              <w:rPr>
                <w:rFonts w:ascii="Arial" w:cs="Arial" w:eastAsia="Arial" w:hAnsi="Arial"/>
                <w:color w:val="374151"/>
                <w:sz w:val="20"/>
                <w:szCs w:val="20"/>
              </w:rPr>
              <w:t xml:space="preserve">Marco legal definido (LFPDPPP) que proporciona claridad normativa.</w:t>
            </w:r>
          </w:p>
          <w:p>
            <w:pPr>
              <w:pStyle w:val="ListParagraph"/>
              <w:numPr>
                <w:ilvl w:val="0"/>
                <w:numId w:val="2"/>
              </w:numPr>
              <w:spacing w:after="40" w:before="40"/>
            </w:pPr>
            <w:r>
              <w:rPr>
                <w:rFonts w:ascii="Arial" w:cs="Arial" w:eastAsia="Arial" w:hAnsi="Arial"/>
                <w:color w:val="374151"/>
                <w:sz w:val="20"/>
                <w:szCs w:val="20"/>
              </w:rPr>
              <w:t xml:space="preserve">Creciente demanda del mercado por proveedores con prácticas seguras.</w:t>
            </w:r>
          </w:p>
          <w:p>
            <w:pPr>
              <w:pStyle w:val="ListParagraph"/>
              <w:numPr>
                <w:ilvl w:val="0"/>
                <w:numId w:val="2"/>
              </w:numPr>
              <w:spacing w:after="40" w:before="40"/>
            </w:pPr>
            <w:r>
              <w:rPr>
                <w:rFonts w:ascii="Arial" w:cs="Arial" w:eastAsia="Arial" w:hAnsi="Arial"/>
                <w:color w:val="374151"/>
                <w:sz w:val="20"/>
                <w:szCs w:val="20"/>
              </w:rPr>
              <w:t xml:space="preserve">Herramientas de seguridad en la nube disponibles y accesibles.</w:t>
            </w:r>
          </w:p>
          <w:p>
            <w:pPr>
              <w:pStyle w:val="ListParagraph"/>
              <w:numPr>
                <w:ilvl w:val="0"/>
                <w:numId w:val="2"/>
              </w:numPr>
              <w:spacing w:after="40" w:before="40"/>
            </w:pPr>
            <w:r>
              <w:rPr>
                <w:rFonts w:ascii="Arial" w:cs="Arial" w:eastAsia="Arial" w:hAnsi="Arial"/>
                <w:color w:val="374151"/>
                <w:sz w:val="20"/>
                <w:szCs w:val="20"/>
              </w:rPr>
              <w:t xml:space="preserve">Posibilidad de construir una cultura de seguridad desde etapas tempranas.</w:t>
            </w:r>
          </w:p>
        </w:tc>
        <w:tc>
          <w:tcPr>
            <w:tcW w:type="dxa" w:w="4680"/>
            <w:tcBorders>
              <w:top w:val="single" w:color="2563EB" w:sz="6"/>
              <w:left w:val="single" w:color="2563EB" w:sz="6"/>
              <w:bottom w:val="single" w:color="2563EB" w:sz="6"/>
              <w:right w:val="single" w:color="2563EB" w:sz="6"/>
            </w:tcBorders>
            <w:shd w:fill="FEF9C3" w:val="clear"/>
            <w:tcMar>
              <w:top w:type="dxa" w:w="120"/>
              <w:left w:type="dxa" w:w="140"/>
              <w:bottom w:type="dxa" w:w="120"/>
              <w:right w:type="dxa" w:w="140"/>
            </w:tcMar>
          </w:tcPr>
          <w:p>
            <w:pPr>
              <w:spacing w:after="80" w:before="60"/>
            </w:pPr>
            <w:r>
              <w:rPr>
                <w:rFonts w:ascii="Arial" w:cs="Arial" w:eastAsia="Arial" w:hAnsi="Arial"/>
                <w:b/>
                <w:bCs/>
                <w:color w:val="92400E"/>
                <w:sz w:val="22"/>
                <w:szCs w:val="22"/>
              </w:rPr>
              <w:t xml:space="preserve">AMENAZAS</w:t>
            </w:r>
          </w:p>
          <w:p>
            <w:pPr>
              <w:pStyle w:val="ListParagraph"/>
              <w:numPr>
                <w:ilvl w:val="0"/>
                <w:numId w:val="2"/>
              </w:numPr>
              <w:spacing w:after="40" w:before="40"/>
            </w:pPr>
            <w:r>
              <w:rPr>
                <w:rFonts w:ascii="Arial" w:cs="Arial" w:eastAsia="Arial" w:hAnsi="Arial"/>
                <w:color w:val="374151"/>
                <w:sz w:val="20"/>
                <w:szCs w:val="20"/>
              </w:rPr>
              <w:t xml:space="preserve">Incremento de ciberataques dirigidos a empresas de software y PyMEs.</w:t>
            </w:r>
          </w:p>
          <w:p>
            <w:pPr>
              <w:pStyle w:val="ListParagraph"/>
              <w:numPr>
                <w:ilvl w:val="0"/>
                <w:numId w:val="2"/>
              </w:numPr>
              <w:spacing w:after="40" w:before="40"/>
            </w:pPr>
            <w:r>
              <w:rPr>
                <w:rFonts w:ascii="Arial" w:cs="Arial" w:eastAsia="Arial" w:hAnsi="Arial"/>
                <w:color w:val="374151"/>
                <w:sz w:val="20"/>
                <w:szCs w:val="20"/>
              </w:rPr>
              <w:t xml:space="preserve">Riesgo de exfiltración de código fuente por actores externos.</w:t>
            </w:r>
          </w:p>
          <w:p>
            <w:pPr>
              <w:pStyle w:val="ListParagraph"/>
              <w:numPr>
                <w:ilvl w:val="0"/>
                <w:numId w:val="2"/>
              </w:numPr>
              <w:spacing w:after="40" w:before="40"/>
            </w:pPr>
            <w:r>
              <w:rPr>
                <w:rFonts w:ascii="Arial" w:cs="Arial" w:eastAsia="Arial" w:hAnsi="Arial"/>
                <w:color w:val="374151"/>
                <w:sz w:val="20"/>
                <w:szCs w:val="20"/>
              </w:rPr>
              <w:t xml:space="preserve">Sanciones del INAI por incumplimiento de la LFPDPPP.</w:t>
            </w:r>
          </w:p>
          <w:p>
            <w:pPr>
              <w:pStyle w:val="ListParagraph"/>
              <w:numPr>
                <w:ilvl w:val="0"/>
                <w:numId w:val="2"/>
              </w:numPr>
              <w:spacing w:after="40" w:before="40"/>
            </w:pPr>
            <w:r>
              <w:rPr>
                <w:rFonts w:ascii="Arial" w:cs="Arial" w:eastAsia="Arial" w:hAnsi="Arial"/>
                <w:color w:val="374151"/>
                <w:sz w:val="20"/>
                <w:szCs w:val="20"/>
              </w:rPr>
              <w:t xml:space="preserve">Ataques de phishing y ingeniería social como vector principal.</w:t>
            </w:r>
          </w:p>
          <w:p>
            <w:pPr>
              <w:pStyle w:val="ListParagraph"/>
              <w:numPr>
                <w:ilvl w:val="0"/>
                <w:numId w:val="2"/>
              </w:numPr>
              <w:spacing w:after="40" w:before="40"/>
            </w:pPr>
            <w:r>
              <w:rPr>
                <w:rFonts w:ascii="Arial" w:cs="Arial" w:eastAsia="Arial" w:hAnsi="Arial"/>
                <w:color w:val="374151"/>
                <w:sz w:val="20"/>
                <w:szCs w:val="20"/>
              </w:rPr>
              <w:t xml:space="preserve">Vulnerabilidades en dependencias de código abierto utilizadas en proyectos.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10. Análisis de Incidentes de Referencia</w:t>
      </w:r>
    </w:p>
    <w:p>
      <w:pPr>
        <w:spacing w:after="80" w:before="80"/>
      </w:pPr>
      <w:r>
        <w:rPr>
          <w:rFonts w:ascii="Arial" w:cs="Arial" w:eastAsia="Arial" w:hAnsi="Arial"/>
          <w:color w:val="374151"/>
          <w:sz w:val="22"/>
          <w:szCs w:val="22"/>
        </w:rPr>
        <w:t xml:space="preserve">NovaTech Solutions experimentó tres incidentes previos al diseño del SGSI que evidencian las brechas de seguridad existentes. El análisis de estos eventos es fundamental para contextualizar el alcance de los riesgos y justificar los controles propuestos.</w:t>
      </w:r>
    </w:p>
    <w:p>
      <w:pPr>
        <w:spacing w:before="80"/>
      </w:pPr>
    </w:p>
    <w:p>
      <w:pPr>
        <w:pStyle w:val="Heading2"/>
        <w:spacing w:after="140" w:before="280"/>
      </w:pPr>
      <w:r>
        <w:rPr>
          <w:rFonts w:ascii="Arial" w:cs="Arial" w:eastAsia="Arial" w:hAnsi="Arial"/>
          <w:b/>
          <w:bCs/>
          <w:color w:val="2563EB"/>
          <w:sz w:val="28"/>
          <w:szCs w:val="28"/>
        </w:rPr>
        <w:t xml:space="preserve">10.1 Incidente I — Acceso no autorizado al repositorio de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Elemento</w:t>
            </w:r>
          </w:p>
        </w:tc>
        <w:tc>
          <w:tcPr>
            <w:tcW w:type="dxa" w:w="63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Detalle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Fecha aproximada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Año previo al diseño del SGSI (mañana de lunes)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Descripción</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Un desarrollador olvidó cerrar sesión en un equipo compartido durante una visita a un cliente. Una IP desconocida accedió en la madrugada y descargó parte del repositorio de código.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Activo afectado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Repositorio Git con componentes reutilizables de múltiples proyectos (código fuente)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Principio CIA vulnerado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Confidencialidad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Causa raíz</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Ausencia de política de cierre de sesión; sin monitoreo de accesos; sin MFA en repositorios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Impacto real</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No confirmado — posible exfiltración de propiedad intelectual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Impacto potencial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Divulgación del código fuente a competidores; vulnerabilidades introducidas en producción</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Pregunta crítica identificada</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¿Qué habría pasado si alguien hubiera modificado el código sin ser detectado?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Controles propuestos en el SGSI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MFA en repositorios, monitoreo de accesos, política de cierre de sesión, gestión de privilegios</w:t>
            </w:r>
          </w:p>
        </w:tc>
      </w:tr>
    </w:tbl>
    <w:p>
      <w:pPr>
        <w:spacing w:before="200"/>
      </w:pPr>
    </w:p>
    <w:p>
      <w:pPr>
        <w:pStyle w:val="Heading2"/>
        <w:spacing w:after="140" w:before="280"/>
      </w:pPr>
      <w:r>
        <w:rPr>
          <w:rFonts w:ascii="Arial" w:cs="Arial" w:eastAsia="Arial" w:hAnsi="Arial"/>
          <w:b/>
          <w:bCs/>
          <w:color w:val="2563EB"/>
          <w:sz w:val="28"/>
          <w:szCs w:val="28"/>
        </w:rPr>
        <w:t xml:space="preserve">10.2 Incidente II — Filtración accidental de datos de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Elemento</w:t>
            </w:r>
          </w:p>
        </w:tc>
        <w:tc>
          <w:tcPr>
            <w:tcW w:type="dxa" w:w="63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Detalle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Fecha aproximada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Meses posteriores al incidente I</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Descripción</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Un empleado del área de soporte reenvió por error una conversación completa de soporte técnico a una dirección de correo equivocada. El mensaje contenía datos personales y técnicos del cliente.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Activo afectado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Información personal y técnica de cliente (CRM, correo electrónico)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Principio CIA vulnerado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Confidencialidad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Causa raíz</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Error humano por ausencia de capacitación; sin controles de prevención de pérdida de datos (DLP)</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Información expuesta</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Datos de contacto del cliente, detalles técnicos del sistema, fragmentos de configuración del servicio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Impacto real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Daño a la confianza del cliente; posible incumplimiento de la LFPDPPP</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Pregunta crítica identificada</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¿Quién tiene acceso a qué información dentro de la organización?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Controles propuestos en el SGSI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Clasificación de información, política de correo electrónico, capacitación, controles de acceso por rol</w:t>
            </w:r>
          </w:p>
        </w:tc>
      </w:tr>
    </w:tbl>
    <w:p>
      <w:pPr>
        <w:spacing w:before="200"/>
      </w:pPr>
    </w:p>
    <w:p>
      <w:pPr>
        <w:pStyle w:val="Heading2"/>
        <w:spacing w:after="140" w:before="280"/>
      </w:pPr>
      <w:r>
        <w:rPr>
          <w:rFonts w:ascii="Arial" w:cs="Arial" w:eastAsia="Arial" w:hAnsi="Arial"/>
          <w:b/>
          <w:bCs/>
          <w:color w:val="2563EB"/>
          <w:sz w:val="28"/>
          <w:szCs w:val="28"/>
        </w:rPr>
        <w:t xml:space="preserve">10.3 Incidente III — Interrupción del sistema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Elemento</w:t>
            </w:r>
          </w:p>
        </w:tc>
        <w:tc>
          <w:tcPr>
            <w:tcW w:type="dxa" w:w="63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Detalle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Fecha aproximada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Viernes por la tarde (reciente al inicio del proyecto)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Descripción</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Una mala configuración durante la actualización de un servidor dejó el sistema CRM inactivo durante aproximadamente 6 horas en horario laboral.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Activo afectado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Sistema CRM del área de Atención a Clientes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Principio CIA vulnerado</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Disponibilidad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Causa raíz</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Ausencia de procedimientos de gestión de cambios; sin ambiente de pruebas previo a producción; sin plan de rollback</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Impacto real</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Cancelación de reuniones, retrasos en proyectos, frustración de clientes durante 6 horas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Impacto potencial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Pérdida total de la base de datos de clientes de no haberse recuperado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Pregunta crítica identificada</w:t>
            </w:r>
          </w:p>
        </w:tc>
        <w:tc>
          <w:tcPr>
            <w:tcW w:type="dxa" w:w="6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¿Qué habría pasado si la base de datos se hubiera perdido por completo?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Controles propuestos en el SGSI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Gestión de cambios, respaldos automatizados, plan de continuidad y recuperación ante desastres (Doc. 7)</w:t>
            </w:r>
          </w:p>
        </w:tc>
      </w:tr>
    </w:tbl>
    <w:p>
      <w:pPr>
        <w:spacing w:before="200"/>
      </w:pPr>
    </w:p>
    <w:p>
      <w:pPr>
        <w:pStyle w:val="Heading2"/>
        <w:spacing w:after="140" w:before="280"/>
      </w:pPr>
      <w:r>
        <w:rPr>
          <w:rFonts w:ascii="Arial" w:cs="Arial" w:eastAsia="Arial" w:hAnsi="Arial"/>
          <w:b/>
          <w:bCs/>
          <w:color w:val="2563EB"/>
          <w:sz w:val="28"/>
          <w:szCs w:val="28"/>
        </w:rPr>
        <w:t xml:space="preserve">10.4 Resumen de brechas identificadas por los incidentes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Brecha</w:t>
            </w:r>
          </w:p>
        </w:tc>
        <w:tc>
          <w:tcPr>
            <w:tcW w:type="dxa" w:w="28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Incidente(s) relacionado(s)</w:t>
            </w:r>
          </w:p>
        </w:tc>
        <w:tc>
          <w:tcPr>
            <w:tcW w:type="dxa" w:w="35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Documento SGSI que la atiende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Sin política de control de accesos ni mínimo privilegio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 II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Doc. 5 — Políticas | Doc. 6 — Controles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Sin monitoreo de accesos a sistemas críticos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Doc. 6 — Controles | Doc. 10 — Métricas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Sin autenticación multifactor (MFA)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Doc. 6 — Controles de seguridad</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Sin capacitación formal en seguridad</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II</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Doc. 9 — Capacitación y concientización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Sin clasificación de información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Doc. 3 — Gestión de activos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Sin procedimiento de gestión de cambios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III</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Doc. 8 — Respuesta a incidentes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Sin plan de continuidad ni respaldos formales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III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Doc. 7 — Continuidad del negocio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Sin proceso de gestión de incidentes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 II, III</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Doc. 8 — Respuesta a incidentes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11. Áreas de Preocupación Priorizadas por la Dirección</w:t>
      </w:r>
    </w:p>
    <w:p>
      <w:pPr>
        <w:spacing w:after="80" w:before="80"/>
      </w:pPr>
      <w:r>
        <w:rPr>
          <w:rFonts w:ascii="Arial" w:cs="Arial" w:eastAsia="Arial" w:hAnsi="Arial"/>
          <w:color w:val="374151"/>
          <w:sz w:val="22"/>
          <w:szCs w:val="22"/>
        </w:rPr>
        <w:t xml:space="preserve">Con base en los incidentes analizados y las sesiones internas de la dirección, NovaTech Solutions identificó cuatro áreas críticas que el SGSI debe atender de manera prioritaria: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00"/>
        <w:gridCol w:w="2260"/>
      </w:tblGrid>
      <w:tr>
        <w:trPr>
          <w:tblHeader/>
        </w:trPr>
        <w:tc>
          <w:tcPr>
            <w:tcW w:type="dxa" w:w="14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Prioridad</w:t>
            </w:r>
          </w:p>
        </w:tc>
        <w:tc>
          <w:tcPr>
            <w:tcW w:type="dxa" w:w="22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Área de preocupación</w:t>
            </w:r>
          </w:p>
        </w:tc>
        <w:tc>
          <w:tcPr>
            <w:tcW w:type="dxa" w:w="35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Descripción del problema</w:t>
            </w:r>
          </w:p>
        </w:tc>
        <w:tc>
          <w:tcPr>
            <w:tcW w:type="dxa" w:w="22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Activos en riesgo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1 — Crítica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Control de accesos a la información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No existe una política de acceso basada en el principio de mínimo privilegio. Algunos empleados tienen accesos heredados que superan los requeridos por su rol actual.</w:t>
            </w:r>
          </w:p>
        </w:tc>
        <w:tc>
          <w:tcPr>
            <w:tcW w:type="dxa" w:w="2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Repositorios, CRM, bases de datos, sistemas financieros</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2 — Crítica</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Protección del código fuente</w:t>
            </w:r>
          </w:p>
        </w:tc>
        <w:tc>
          <w:tcPr>
            <w:tcW w:type="dxa" w:w="3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Los repositorios de código no cuentan con controles formales ni monitoreo sistemático. Una filtración afectaría simultáneamente múltiples proyectos de clientes.</w:t>
            </w:r>
          </w:p>
        </w:tc>
        <w:tc>
          <w:tcPr>
            <w:tcW w:type="dxa" w:w="22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Código fuente, propiedad intelectual, reputación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3 — Alta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Manejo de datos personales (LFPDPPP)</w:t>
            </w:r>
          </w:p>
        </w:tc>
        <w:tc>
          <w:tcPr>
            <w:tcW w:type="dxa" w:w="3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No existe un marco formal de cumplimiento. La empresa gestiona datos personales de clientes y empleados sin garantías documentadas de protección.</w:t>
            </w:r>
          </w:p>
        </w:tc>
        <w:tc>
          <w:tcPr>
            <w:tcW w:type="dxa" w:w="2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Datos de clientes, datos de empleados, relación con INAI</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4 — Alta</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Continuidad del negocio</w:t>
            </w:r>
          </w:p>
        </w:tc>
        <w:tc>
          <w:tcPr>
            <w:tcW w:type="dxa" w:w="3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Los sistemas críticos no cuentan con planes formales de recuperación ante fallas de servidor, ataques o pérdida de datos.</w:t>
            </w:r>
          </w:p>
        </w:tc>
        <w:tc>
          <w:tcPr>
            <w:tcW w:type="dxa" w:w="22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CRM, plataformas web, bases de datos, reputación</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12. Requisitos del SGSI derivados del Contexto</w:t>
      </w:r>
    </w:p>
    <w:p>
      <w:pPr>
        <w:spacing w:after="80" w:before="80"/>
      </w:pPr>
      <w:r>
        <w:rPr>
          <w:rFonts w:ascii="Arial" w:cs="Arial" w:eastAsia="Arial" w:hAnsi="Arial"/>
          <w:color w:val="374151"/>
          <w:sz w:val="22"/>
          <w:szCs w:val="22"/>
        </w:rPr>
        <w:t xml:space="preserve">El análisis del contexto organizacional permite derivar los requisitos que el SGSI de NovaTech Solutions debe satisfacer para ser efectivo, proporcional y sostenible: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00"/>
        <w:gridCol w:w="2560"/>
      </w:tblGrid>
      <w:tr>
        <w:trPr>
          <w:tblHeader/>
        </w:trPr>
        <w:tc>
          <w:tcPr>
            <w:tcW w:type="dxa" w:w="8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w:t>
            </w:r>
          </w:p>
        </w:tc>
        <w:tc>
          <w:tcPr>
            <w:tcW w:type="dxa" w:w="36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Requisito</w:t>
            </w:r>
          </w:p>
        </w:tc>
        <w:tc>
          <w:tcPr>
            <w:tcW w:type="dxa" w:w="24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Origen</w:t>
            </w:r>
          </w:p>
        </w:tc>
        <w:tc>
          <w:tcPr>
            <w:tcW w:type="dxa" w:w="25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Componente SGSI que lo atiende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REQ-01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Establecer un proceso formal y documentado de identificación, evaluación y tratamiento de riesgos de información.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ISO 27001 Cláusula 6 | Incidentes I-III</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Doc. 4 — Gestión de riesgos OCTAVE</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REQ-02</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Definir e implementar políticas de seguridad alineadas con la realidad operativa de la organización.</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 27001 Cláusula 5 | Brechas identificadas</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Doc. 5 — Políticas de seguridad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REQ-03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Inventariar y clasificar todos los activos de información de la organización con sus propietarios y nivel de criticidad.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ISO 27001 Cláusula 8 | Incidente I y II</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Doc. 3 — Gestión de activos</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REQ-04</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Implementar controles de acceso basados en el principio de mínimo privilegio y autenticación robusta.</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 27001 Anexo A | Incidente I</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Doc. 6 — Controles de seguridad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REQ-05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Garantizar el cumplimiento de la LFPDPPP en el tratamiento de datos personales de clientes y empleados.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LFPDPPP Arts. 8-20 | Incidente II</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Doc. 11 — Cumplimiento normativo</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REQ-06</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Diseñar un plan de continuidad del negocio y recuperación ante desastres para sistemas críticos.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 27001 Anexo A | Incidente III</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Doc. 7 — Continuidad del negocio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REQ-07</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Establecer capacidades formales de detección, respuesta y recuperación ante incidentes de seguridad.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ISO 27001 Cláusula 8 | Incidentes I-III</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Doc. 8 — Respuesta a incidentes</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REQ-08</w:t>
            </w:r>
          </w:p>
        </w:tc>
        <w:tc>
          <w:tcPr>
            <w:tcW w:type="dxa" w:w="3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Desarrollar un programa de capacitación y concientización en seguridad para todos los colaboradores.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 27001 Cláusula 7 | Incidente II</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Doc. 9 — Capacitación y concientización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REQ-09</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Definir indicadores de desempeño y un plan de auditoría interna para evaluar la eficacia del SGSI.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ISO 27001 Cláusula 9</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Doc. 10 — Métricas y auditoría</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13.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3260"/>
      </w:tblGrid>
      <w:tr>
        <w:trPr>
          <w:tblHeader/>
        </w:trPr>
        <w:tc>
          <w:tcPr>
            <w:tcW w:type="dxa" w:w="10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Versión</w:t>
            </w:r>
          </w:p>
        </w:tc>
        <w:tc>
          <w:tcPr>
            <w:tcW w:type="dxa" w:w="15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Fecha</w:t>
            </w:r>
          </w:p>
        </w:tc>
        <w:tc>
          <w:tcPr>
            <w:tcW w:type="dxa" w:w="360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Autor</w:t>
            </w:r>
          </w:p>
        </w:tc>
        <w:tc>
          <w:tcPr>
            <w:tcW w:type="dxa" w:w="3260"/>
            <w:tcBorders>
              <w:top w:val="single" w:color="AAAAAA" w:sz="5"/>
              <w:left w:val="single" w:color="AAAAAA" w:sz="5"/>
              <w:bottom w:val="single" w:color="AAAAAA" w:sz="5"/>
              <w:right w:val="single" w:color="AAAAAA"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Descripción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2026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Comité de Seguridad de la Información</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Versión inicial del documento de Contexto Organizacional</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Nota de vigencia</w:t>
            </w:r>
          </w:p>
          <w:p>
            <w:pPr>
              <w:pStyle w:val="ListParagraph"/>
              <w:numPr>
                <w:ilvl w:val="0"/>
                <w:numId w:val="2"/>
              </w:numPr>
              <w:spacing w:after="40" w:before="40"/>
            </w:pPr>
            <w:r>
              <w:rPr>
                <w:rFonts w:ascii="Arial" w:cs="Arial" w:eastAsia="Arial" w:hAnsi="Arial"/>
                <w:color w:val="374151"/>
                <w:sz w:val="21"/>
                <w:szCs w:val="21"/>
              </w:rPr>
              <w:t xml:space="preserve">Este documento debe ser revisado al menos una vez al año o cuando se produzcan cambios significativos en la estructura organizacional, el entorno regulatorio, los sistemas tecnológicos o el panorama de amenazas.</w:t>
            </w:r>
          </w:p>
          <w:p>
            <w:pPr>
              <w:pStyle w:val="ListParagraph"/>
              <w:numPr>
                <w:ilvl w:val="0"/>
                <w:numId w:val="2"/>
              </w:numPr>
              <w:spacing w:after="40" w:before="40"/>
            </w:pPr>
            <w:r>
              <w:rPr>
                <w:rFonts w:ascii="Arial" w:cs="Arial" w:eastAsia="Arial" w:hAnsi="Arial"/>
                <w:color w:val="374151"/>
                <w:sz w:val="21"/>
                <w:szCs w:val="21"/>
              </w:rPr>
              <w:t xml:space="preserve">Los cambios relevantes deben documentarse en el registro de versiones y comunicarse al Responsable de Seguridad de la Información (CISO).</w:t>
            </w:r>
          </w:p>
        </w:tc>
      </w:tr>
    </w:tbl>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3"/>
      </w:pBdr>
      <w:spacing w:before="80"/>
      <w:jc w:val="center"/>
    </w:pPr>
    <w:r>
      <w:rPr>
        <w:rFonts w:ascii="Arial" w:cs="Arial" w:eastAsia="Arial" w:hAnsi="Arial"/>
        <w:color w:val="374151"/>
        <w:sz w:val="16"/>
        <w:szCs w:val="16"/>
      </w:rPr>
      <w:t xml:space="preserve">Confidencial  |  NovaTech Solutions  |  Página </w:t>
    </w:r>
    <w:r>
      <w:rPr>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de </w:t>
    </w:r>
    <w:r>
      <w:rPr>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3"/>
      </w:pBdr>
      <w:spacing w:after="80" w:before="0"/>
    </w:pPr>
    <w:r>
      <w:rPr>
        <w:rFonts w:ascii="Arial" w:cs="Arial" w:eastAsia="Arial" w:hAnsi="Arial"/>
        <w:b/>
        <w:bCs/>
        <w:color w:val="1B3A6B"/>
        <w:sz w:val="18"/>
        <w:szCs w:val="18"/>
      </w:rPr>
      <w:t xml:space="preserve">SGSI — NovaTech Solutions</w:t>
    </w:r>
    <w:r>
      <w:rPr>
        <w:rFonts w:ascii="Arial" w:cs="Arial" w:eastAsia="Arial" w:hAnsi="Arial"/>
        <w:color w:val="374151"/>
        <w:sz w:val="18"/>
        <w:szCs w:val="18"/>
      </w:rPr>
      <w:t xml:space="preserve">     |     Contexto Organizacional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lowerLetter"/>
      <w:lvlText w:val="%2)"/>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2026-04-01T19:04:10.560Z</dcterms:created>
  <dcterms:modified xsi:type="dcterms:W3CDTF">2026-04-01T19:04:10.561Z</dcterms:modified>
</cp:coreProperties>
</file>

<file path=docProps/custom.xml><?xml version="1.0" encoding="utf-8"?>
<Properties xmlns="http://schemas.openxmlformats.org/officeDocument/2006/custom-properties" xmlns:vt="http://schemas.openxmlformats.org/officeDocument/2006/docPropsVTypes"/>
</file>