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5C3AAB">
      <w:pPr>
        <w:shd w:val="clear" w:color="auto" w:fill="F0F9FF"/>
        <w:divId w:val="1848132480"/>
        <w:rPr>
          <w:rFonts w:ascii="Calibri" w:eastAsia="Times New Roman" w:hAnsi="Calibri" w:cs="Calibri"/>
          <w:b/>
          <w:bCs/>
          <w:color w:val="0369A1"/>
          <w:lang w:val="es-ES"/>
        </w:rPr>
      </w:pPr>
      <w:r>
        <w:rPr>
          <w:rFonts w:ascii="Calibri" w:eastAsia="Times New Roman" w:hAnsi="Calibri" w:cs="Calibri"/>
          <w:b/>
          <w:bCs/>
          <w:color w:val="0369A1"/>
          <w:lang w:val="es-ES"/>
        </w:rPr>
        <w:t>PROYECTO CATASTRO DE RIEGO GUANGUILQUÍ POROTOG</w:t>
      </w:r>
    </w:p>
    <w:p w:rsidR="00000000" w:rsidRDefault="005C3AAB">
      <w:pPr>
        <w:shd w:val="clear" w:color="auto" w:fill="F0F9FF"/>
        <w:divId w:val="386993951"/>
        <w:rPr>
          <w:rFonts w:ascii="Calibri" w:eastAsia="Times New Roman" w:hAnsi="Calibri" w:cs="Calibri"/>
          <w:color w:val="1E293B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lang w:val="es-ES"/>
        </w:rPr>
        <w:t>Informe Técnico:</w:t>
      </w:r>
      <w:r>
        <w:rPr>
          <w:rFonts w:ascii="Calibri" w:eastAsia="Times New Roman" w:hAnsi="Calibri" w:cs="Calibri"/>
          <w:color w:val="1E293B"/>
          <w:lang w:val="es-ES"/>
        </w:rPr>
        <w:t xml:space="preserve"> Avance Diario de Campo y Rendimiento por Personal (Fichas Adicionales - Sección 7)</w:t>
      </w:r>
    </w:p>
    <w:p w:rsidR="00000000" w:rsidRDefault="005C3AAB">
      <w:pPr>
        <w:shd w:val="clear" w:color="auto" w:fill="F0F9FF"/>
        <w:divId w:val="699554102"/>
        <w:rPr>
          <w:rFonts w:ascii="Calibri" w:eastAsia="Times New Roman" w:hAnsi="Calibri" w:cs="Calibri"/>
          <w:color w:val="1E293B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lang w:val="es-ES"/>
        </w:rPr>
        <w:t>Fecha de Evaluación:</w:t>
      </w:r>
      <w:r>
        <w:rPr>
          <w:rFonts w:ascii="Calibri" w:eastAsia="Times New Roman" w:hAnsi="Calibri" w:cs="Calibri"/>
          <w:color w:val="1E293B"/>
          <w:lang w:val="es-ES"/>
        </w:rPr>
        <w:t xml:space="preserve"> </w:t>
      </w:r>
      <w:r>
        <w:rPr>
          <w:rFonts w:ascii="Calibri" w:eastAsia="Times New Roman" w:hAnsi="Calibri" w:cs="Calibri"/>
          <w:color w:val="1E293B"/>
          <w:lang w:val="es-ES"/>
        </w:rPr>
        <w:t>24 de Julio de 2026 (Corte al 23 de Julio de 2026)</w:t>
      </w:r>
    </w:p>
    <w:p w:rsidR="00000000" w:rsidRDefault="005C3AAB">
      <w:pPr>
        <w:shd w:val="clear" w:color="auto" w:fill="F0F9FF"/>
        <w:divId w:val="2122530693"/>
        <w:rPr>
          <w:rFonts w:ascii="Calibri" w:eastAsia="Times New Roman" w:hAnsi="Calibri" w:cs="Calibri"/>
          <w:color w:val="1E293B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lang w:val="es-ES"/>
        </w:rPr>
        <w:t>Elaborado por:</w:t>
      </w:r>
      <w:r>
        <w:rPr>
          <w:rFonts w:ascii="Calibri" w:eastAsia="Times New Roman" w:hAnsi="Calibri" w:cs="Calibri"/>
          <w:color w:val="1E293B"/>
          <w:lang w:val="es-ES"/>
        </w:rPr>
        <w:t xml:space="preserve"> Equipo Técnico de ap&amp;catastro / Consorcio Cayambe SPT</w:t>
      </w:r>
    </w:p>
    <w:p w:rsidR="00000000" w:rsidRDefault="005C3AAB">
      <w:pPr>
        <w:pStyle w:val="Ttulo1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Reporte de Avance Diario y Rendimiento de Personal</w:t>
      </w:r>
    </w:p>
    <w:p w:rsidR="00000000" w:rsidRDefault="005C3AAB">
      <w:pPr>
        <w:pStyle w:val="Ttulo2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Resumen General de Fichas Adicionales (Sección 7)</w:t>
      </w:r>
    </w:p>
    <w:p w:rsidR="00000000" w:rsidRDefault="005C3AAB">
      <w:pPr>
        <w:pStyle w:val="NormalWeb"/>
        <w:divId w:val="441268612"/>
        <w:rPr>
          <w:rFonts w:ascii="Calibri" w:hAnsi="Calibri" w:cs="Calibri"/>
          <w:color w:val="1E293B"/>
          <w:lang w:val="es-ES"/>
        </w:rPr>
      </w:pPr>
      <w:r>
        <w:rPr>
          <w:rFonts w:ascii="Calibri" w:hAnsi="Calibri" w:cs="Calibri"/>
          <w:color w:val="1E293B"/>
          <w:lang w:val="es-ES"/>
        </w:rPr>
        <w:t>El universo de predios adicional</w:t>
      </w:r>
      <w:r>
        <w:rPr>
          <w:rFonts w:ascii="Calibri" w:hAnsi="Calibri" w:cs="Calibri"/>
          <w:color w:val="1E293B"/>
          <w:lang w:val="es-ES"/>
        </w:rPr>
        <w:t xml:space="preserve">es declarados en la Sección 7 asciende a </w:t>
      </w:r>
      <w:r>
        <w:rPr>
          <w:rStyle w:val="Textoennegrita"/>
          <w:rFonts w:ascii="Calibri" w:hAnsi="Calibri" w:cs="Calibri"/>
          <w:color w:val="1E293B"/>
          <w:lang w:val="es-ES"/>
        </w:rPr>
        <w:t>2,410 fichas hijas</w:t>
      </w:r>
      <w:r>
        <w:rPr>
          <w:rFonts w:ascii="Calibri" w:hAnsi="Calibri" w:cs="Calibri"/>
          <w:color w:val="1E293B"/>
          <w:lang w:val="es-ES"/>
        </w:rPr>
        <w:t xml:space="preserve"> (Regla B: una ficha por cada regante declarante). El avance al corte del 23 de julio se resume a continuación: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79"/>
        <w:gridCol w:w="1257"/>
        <w:gridCol w:w="3950"/>
      </w:tblGrid>
      <w:tr w:rsidR="00000000">
        <w:trPr>
          <w:divId w:val="441268612"/>
          <w:tblHeader/>
        </w:trPr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Estado de Investigación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Cantidad de Fichas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Definición Operativa para la Ge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stión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badge-success1"/>
                <w:rFonts w:ascii="Calibri" w:eastAsia="Times New Roman" w:hAnsi="Calibri" w:cs="Calibri"/>
                <w:sz w:val="20"/>
                <w:szCs w:val="20"/>
              </w:rPr>
              <w:t>Completadas en Campo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459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19.0%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Investigadas, verificadas y cerradas 100% por los técnicos en terreno.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badge-warning1"/>
                <w:rFonts w:ascii="Calibri" w:eastAsia="Times New Roman" w:hAnsi="Calibri" w:cs="Calibri"/>
                <w:sz w:val="20"/>
                <w:szCs w:val="20"/>
              </w:rPr>
              <w:t>En Revisión (Pre-cargadas)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4.5%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Fichas con datos de producción pre-cargados de inspecciones previas, en proceso de validación rápida.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badge-info1"/>
                <w:rFonts w:ascii="Calibri" w:eastAsia="Times New Roman" w:hAnsi="Calibri" w:cs="Calibri"/>
                <w:sz w:val="20"/>
                <w:szCs w:val="20"/>
              </w:rPr>
              <w:t>Pendientes por Investigar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1,843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76.5%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Sección 4 vacía en programación de visita de campo.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TOTAL GENERADO (REGLA B)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2,410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100.0%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Universo total de predios adicionales declarados en Sección 7.</w:t>
            </w:r>
          </w:p>
        </w:tc>
      </w:tr>
    </w:tbl>
    <w:p w:rsidR="00000000" w:rsidRDefault="005C3AAB">
      <w:pPr>
        <w:pStyle w:val="Ttulo2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Criterios Técnicos de Clasificación de Estados (Nota Aclaratoria para Supervisión)</w:t>
      </w:r>
    </w:p>
    <w:p w:rsidR="00000000" w:rsidRDefault="005C3AAB">
      <w:pPr>
        <w:shd w:val="clear" w:color="auto" w:fill="F0FDF4"/>
        <w:divId w:val="1472284042"/>
        <w:rPr>
          <w:rFonts w:ascii="Calibri" w:eastAsia="Times New Roman" w:hAnsi="Calibri" w:cs="Calibri"/>
          <w:color w:val="1E293B"/>
          <w:sz w:val="21"/>
          <w:szCs w:val="21"/>
          <w:lang w:val="es-ES"/>
        </w:rPr>
      </w:pP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lastRenderedPageBreak/>
        <w:t>Para garantizar absoluta claridad y transparencia en las auditorías de avance, los estados de investigació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t xml:space="preserve">n de los predios adicionales se definen según los siguientes criterios: </w:t>
      </w:r>
    </w:p>
    <w:p w:rsidR="00000000" w:rsidRDefault="005C3AAB">
      <w:pPr>
        <w:numPr>
          <w:ilvl w:val="0"/>
          <w:numId w:val="1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1E293B"/>
          <w:sz w:val="22"/>
          <w:szCs w:val="22"/>
          <w:lang w:val="es-ES"/>
        </w:rPr>
        <w:t>🟢</w:t>
      </w: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Completada (100% Verificada en Campo):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br/>
        <w:t>Corresponde a predios adicionales donde el técnico de campo abrió la ficha en su dispositivo QField, entrevistó o confirmó directamente con e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l regante la producción de la Sección 4 (cultivos, ganado y riego), y dio el cierre definitivo.</w:t>
      </w:r>
    </w:p>
    <w:p w:rsidR="00000000" w:rsidRDefault="005C3AAB">
      <w:pPr>
        <w:numPr>
          <w:ilvl w:val="0"/>
          <w:numId w:val="1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1E293B"/>
          <w:sz w:val="22"/>
          <w:szCs w:val="22"/>
          <w:lang w:val="es-ES"/>
        </w:rPr>
        <w:t>🔄</w:t>
      </w: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En Revisión (Fichas Pre-cargadas / En Validación):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br/>
        <w:t xml:space="preserve">Corresponde a fichas adicionales que </w:t>
      </w: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NO están vacías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, sino que cuentan con información de producción pre-c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argada proveniente de inspecciones y censos anteriores (mayo-junio).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br/>
      </w:r>
      <w:r>
        <w:rPr>
          <w:rStyle w:val="nfasis"/>
          <w:rFonts w:ascii="Calibri" w:eastAsia="Times New Roman" w:hAnsi="Calibri" w:cs="Calibri"/>
          <w:color w:val="1E293B"/>
          <w:sz w:val="22"/>
          <w:szCs w:val="22"/>
          <w:lang w:val="es-ES"/>
        </w:rPr>
        <w:t>¿Por qué están en este estado?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Se registran como </w:t>
      </w:r>
      <w:r>
        <w:rPr>
          <w:rStyle w:val="CdigoHTML"/>
          <w:color w:val="1E293B"/>
          <w:lang w:val="es-ES"/>
        </w:rPr>
        <w:t>En Revisión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que el técnico de campo las abra, confirme rápidamente con el regante que mantiene los mismos cultivos o animales, y con 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un solo clic cambie el estado a </w:t>
      </w:r>
      <w:r>
        <w:rPr>
          <w:rStyle w:val="CdigoHTML"/>
          <w:color w:val="1E293B"/>
          <w:lang w:val="es-ES"/>
        </w:rPr>
        <w:t>Completada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. No requieren un levantamiento desde cero.</w:t>
      </w:r>
    </w:p>
    <w:p w:rsidR="00000000" w:rsidRDefault="005C3AAB">
      <w:pPr>
        <w:numPr>
          <w:ilvl w:val="0"/>
          <w:numId w:val="1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Segoe UI Emoji" w:eastAsia="Times New Roman" w:hAnsi="Segoe UI Emoji" w:cs="Segoe UI Emoji"/>
          <w:color w:val="1E293B"/>
          <w:sz w:val="22"/>
          <w:szCs w:val="22"/>
          <w:lang w:val="es-ES"/>
        </w:rPr>
        <w:t>⚪</w:t>
      </w: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Pendiente (Por Investigar en Campo):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br/>
        <w:t>Corresponde a predios adicionales donde la Sección 4 está completamente vacía y los técnicos deben realizar la visita de campo para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tomar los datos agroeconómicos de primera mano.</w:t>
      </w:r>
    </w:p>
    <w:p w:rsidR="00000000" w:rsidRDefault="005C3AAB">
      <w:pPr>
        <w:pStyle w:val="Ttulo2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Auditoría de Carga Automatizada — Usuario JVK-DIGITALIZACION (103 Fichas)</w:t>
      </w:r>
    </w:p>
    <w:p w:rsidR="00000000" w:rsidRDefault="005C3AAB">
      <w:pPr>
        <w:numPr>
          <w:ilvl w:val="0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Origen: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Corresponde a la corrida automatizada de recuperación de producción histórica basada en inspecciones previas de campo realizadas entre mayo y junio.</w:t>
      </w:r>
    </w:p>
    <w:p w:rsidR="00000000" w:rsidRDefault="005C3AAB">
      <w:pPr>
        <w:numPr>
          <w:ilvl w:val="0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Auditoría de Sección 4 (¿Están completas?):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</w:p>
    <w:p w:rsidR="00000000" w:rsidRDefault="005C3AAB">
      <w:pPr>
        <w:numPr>
          <w:ilvl w:val="1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103 de 103 fichas (100%):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>Tienen parcelas agrícolas registradas en la tabla de cultivos.</w:t>
      </w:r>
    </w:p>
    <w:p w:rsidR="00000000" w:rsidRDefault="005C3AAB">
      <w:pPr>
        <w:numPr>
          <w:ilvl w:val="1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52 de 103 fichas (50.5%):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Tienen especies pecuarias registradas en la tabla de ganado.</w:t>
      </w:r>
    </w:p>
    <w:p w:rsidR="00000000" w:rsidRDefault="005C3AAB">
      <w:pPr>
        <w:numPr>
          <w:ilvl w:val="1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Todas poseen la observación: </w:t>
      </w:r>
      <w:r>
        <w:rPr>
          <w:rStyle w:val="nfasis"/>
          <w:rFonts w:ascii="Calibri" w:eastAsia="Times New Roman" w:hAnsi="Calibri" w:cs="Calibri"/>
          <w:color w:val="1E293B"/>
          <w:sz w:val="22"/>
          <w:szCs w:val="22"/>
          <w:lang w:val="es-ES"/>
        </w:rPr>
        <w:t>"PRODUCCIÓN RECUPERADA de investigación de campo (...). Verificar con el rega</w:t>
      </w:r>
      <w:r>
        <w:rPr>
          <w:rStyle w:val="nfasis"/>
          <w:rFonts w:ascii="Calibri" w:eastAsia="Times New Roman" w:hAnsi="Calibri" w:cs="Calibri"/>
          <w:color w:val="1E293B"/>
          <w:sz w:val="22"/>
          <w:szCs w:val="22"/>
          <w:lang w:val="es-ES"/>
        </w:rPr>
        <w:t>nte y pasar a Completada."</w:t>
      </w:r>
    </w:p>
    <w:p w:rsidR="00000000" w:rsidRDefault="005C3AAB">
      <w:pPr>
        <w:numPr>
          <w:ilvl w:val="0"/>
          <w:numId w:val="2"/>
        </w:numPr>
        <w:spacing w:before="100" w:beforeAutospacing="1" w:after="100" w:afterAutospacing="1"/>
        <w:divId w:val="441268612"/>
        <w:rPr>
          <w:rFonts w:ascii="Calibri" w:eastAsia="Times New Roman" w:hAnsi="Calibri" w:cs="Calibri"/>
          <w:color w:val="1E293B"/>
          <w:sz w:val="22"/>
          <w:szCs w:val="22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Estado: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Tienen </w:t>
      </w:r>
      <w:r>
        <w:rPr>
          <w:rStyle w:val="Textoennegrita"/>
          <w:rFonts w:ascii="Calibri" w:eastAsia="Times New Roman" w:hAnsi="Calibri" w:cs="Calibri"/>
          <w:color w:val="1E293B"/>
          <w:sz w:val="22"/>
          <w:szCs w:val="22"/>
          <w:lang w:val="es-ES"/>
        </w:rPr>
        <w:t>toda la producción completa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, pero 101 están marcadas como </w:t>
      </w:r>
      <w:r>
        <w:rPr>
          <w:rStyle w:val="CdigoHTML"/>
          <w:color w:val="1E293B"/>
          <w:lang w:val="es-ES"/>
        </w:rPr>
        <w:t>en_revision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y 2 como </w:t>
      </w:r>
      <w:r>
        <w:rPr>
          <w:rStyle w:val="CdigoHTML"/>
          <w:color w:val="1E293B"/>
          <w:lang w:val="es-ES"/>
        </w:rPr>
        <w:t>completada</w:t>
      </w:r>
      <w:r>
        <w:rPr>
          <w:rFonts w:ascii="Calibri" w:eastAsia="Times New Roman" w:hAnsi="Calibri" w:cs="Calibri"/>
          <w:color w:val="1E293B"/>
          <w:sz w:val="22"/>
          <w:szCs w:val="22"/>
          <w:lang w:val="es-ES"/>
        </w:rPr>
        <w:t xml:space="preserve"> para visto bueno técnico.</w:t>
      </w:r>
    </w:p>
    <w:p w:rsidR="00000000" w:rsidRDefault="005C3AAB">
      <w:pPr>
        <w:pStyle w:val="Ttulo2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Tabla Desglosada por Técnico Investigador (Trabajo del 23 de Julio)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161"/>
        <w:gridCol w:w="1260"/>
        <w:gridCol w:w="1314"/>
        <w:gridCol w:w="1263"/>
        <w:gridCol w:w="1223"/>
        <w:gridCol w:w="1576"/>
      </w:tblGrid>
      <w:tr w:rsidR="00000000">
        <w:trPr>
          <w:divId w:val="441268612"/>
          <w:tblHeader/>
        </w:trPr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Técnico Investigador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Usuari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 QField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Modalidad de Carga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Fichas Adicionales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Fichas Principales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Total Procesado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del Estado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Adriana Cuascota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Completadas en campo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JVK Digitalización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jvk-digitalizacion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Inyección Script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con cultivos (101 en revisión, 2 completadas)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Martha Simbaña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Completadas en campo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Mayra Benavides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mayralisseth201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Completadas en campo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Pablo Barrionuevo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Mixto (24 adicionales + 12 principales)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JVK Corp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jvk-corp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Completadas en campo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Melany Jara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7 completadas + 1 en revisión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Dylan Chavez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Mixto (5 adicionales + 23 principales)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Huguito Ipial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Campo Real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100% Completadas en campo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TOTALES DEL DÍA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376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415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0F2FE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0"/>
                <w:szCs w:val="20"/>
              </w:rPr>
              <w:t>274 completadas reales de campo</w:t>
            </w:r>
          </w:p>
        </w:tc>
      </w:tr>
    </w:tbl>
    <w:p w:rsidR="00000000" w:rsidRDefault="005C3AAB">
      <w:pPr>
        <w:pStyle w:val="Ttulo2"/>
        <w:spacing w:after="600"/>
        <w:ind w:left="600" w:right="600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5. Rendimiento Diario Comparativo por Técnico (22 vs 23 de Julio)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161"/>
        <w:gridCol w:w="1288"/>
        <w:gridCol w:w="1288"/>
        <w:gridCol w:w="2104"/>
      </w:tblGrid>
      <w:tr w:rsidR="00000000">
        <w:trPr>
          <w:divId w:val="441268612"/>
          <w:tblHeader/>
        </w:trPr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Técnico Investigador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Usuario QField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Fichas Adic. (22-Jul)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Fichas Adic. (23-Jul)</w:t>
            </w:r>
          </w:p>
        </w:tc>
        <w:tc>
          <w:tcPr>
            <w:tcW w:w="0" w:type="auto"/>
            <w:tcBorders>
              <w:top w:val="single" w:sz="6" w:space="0" w:color="0F172A"/>
              <w:left w:val="single" w:sz="6" w:space="0" w:color="0F172A"/>
              <w:bottom w:val="single" w:sz="6" w:space="0" w:color="0F172A"/>
              <w:right w:val="single" w:sz="6" w:space="0" w:color="0F172A"/>
            </w:tcBorders>
            <w:shd w:val="clear" w:color="auto" w:fill="0F172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Rendimiento Diario Promedio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Adriana Cuascota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~116 fichas/día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Martha Simbaña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~57 fichas/día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Mayra Benavides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mayralisseth201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~50 fichas/día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JVK Corp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jvk-corp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~29 fichas/día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Pablo Barrionuevo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~22 fichas/día (+12 principales)</w:t>
            </w:r>
          </w:p>
        </w:tc>
      </w:tr>
      <w:tr w:rsidR="00000000">
        <w:trPr>
          <w:divId w:val="441268612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Dylan Chavez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CdigoHTML"/>
                <w:color w:val="1E293B"/>
              </w:rPr>
              <w:t>jvk-editor3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Style w:val="Textoennegrita"/>
                <w:rFonts w:ascii="Calibri" w:eastAsia="Times New Roman" w:hAnsi="Calibri" w:cs="Calibri"/>
                <w:color w:val="1E293B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5C3AAB">
            <w:pPr>
              <w:spacing w:before="180" w:after="300"/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E293B"/>
                <w:sz w:val="20"/>
                <w:szCs w:val="20"/>
              </w:rPr>
              <w:t>~28 fichas/día (mixto con 23 princ.)</w:t>
            </w:r>
          </w:p>
        </w:tc>
      </w:tr>
    </w:tbl>
    <w:p w:rsidR="00000000" w:rsidRDefault="005C3AAB">
      <w:pPr>
        <w:pStyle w:val="Ttulo2"/>
        <w:ind w:left="600" w:right="600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6. Estimación de Tiempos y Planificación de Cierre</w:t>
      </w:r>
    </w:p>
    <w:p w:rsidR="00000000" w:rsidRDefault="005C3AAB">
      <w:pPr>
        <w:shd w:val="clear" w:color="auto" w:fill="FEFCE8"/>
        <w:spacing w:before="240" w:after="240"/>
        <w:ind w:left="600" w:right="600"/>
        <w:divId w:val="1056776169"/>
        <w:rPr>
          <w:rFonts w:ascii="Calibri" w:eastAsia="Times New Roman" w:hAnsi="Calibri" w:cs="Calibri"/>
          <w:color w:val="1E293B"/>
          <w:sz w:val="21"/>
          <w:szCs w:val="21"/>
          <w:lang w:val="es-ES"/>
        </w:rPr>
      </w:pPr>
      <w:r>
        <w:rPr>
          <w:rStyle w:val="Textoennegrita"/>
          <w:rFonts w:ascii="Calibri" w:eastAsia="Times New Roman" w:hAnsi="Calibri" w:cs="Calibri"/>
          <w:color w:val="1E293B"/>
          <w:sz w:val="21"/>
          <w:szCs w:val="21"/>
          <w:lang w:val="es-ES"/>
        </w:rPr>
        <w:t>Capacidad de</w:t>
      </w:r>
      <w:r>
        <w:rPr>
          <w:rStyle w:val="Textoennegrita"/>
          <w:rFonts w:ascii="Calibri" w:eastAsia="Times New Roman" w:hAnsi="Calibri" w:cs="Calibri"/>
          <w:color w:val="1E293B"/>
          <w:sz w:val="21"/>
          <w:szCs w:val="21"/>
          <w:lang w:val="es-ES"/>
        </w:rPr>
        <w:t xml:space="preserve"> Procesamiento por Modalidad: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br/>
        <w:t xml:space="preserve">• </w:t>
      </w:r>
      <w:r>
        <w:rPr>
          <w:rStyle w:val="Textoennegrita"/>
          <w:rFonts w:ascii="Calibri" w:eastAsia="Times New Roman" w:hAnsi="Calibri" w:cs="Calibri"/>
          <w:color w:val="1E293B"/>
          <w:sz w:val="21"/>
          <w:szCs w:val="21"/>
          <w:lang w:val="es-ES"/>
        </w:rPr>
        <w:t>Fichas Principales (investigación desde cero):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t xml:space="preserve"> 15 a 25 fichas/día por técnico.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br/>
        <w:t xml:space="preserve">• </w:t>
      </w:r>
      <w:r>
        <w:rPr>
          <w:rStyle w:val="Textoennegrita"/>
          <w:rFonts w:ascii="Calibri" w:eastAsia="Times New Roman" w:hAnsi="Calibri" w:cs="Calibri"/>
          <w:color w:val="1E293B"/>
          <w:sz w:val="21"/>
          <w:szCs w:val="21"/>
          <w:lang w:val="es-ES"/>
        </w:rPr>
        <w:t>Fichas Adicionales (completar Sección 4):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t xml:space="preserve"> </w:t>
      </w:r>
      <w:r>
        <w:rPr>
          <w:rFonts w:ascii="Calibri" w:eastAsia="Times New Roman" w:hAnsi="Calibri" w:cs="Calibri"/>
          <w:color w:val="1E293B"/>
          <w:sz w:val="21"/>
          <w:szCs w:val="21"/>
          <w:lang w:val="es-ES"/>
        </w:rPr>
        <w:t xml:space="preserve">35 a 116 fichas/día por técnico (al contar con las Secciones 1, 2, 3, 5 y 6 heredadas). </w:t>
      </w:r>
    </w:p>
    <w:p w:rsidR="00000000" w:rsidRDefault="005C3AAB">
      <w:pPr>
        <w:pStyle w:val="Ttulo3"/>
        <w:ind w:left="600" w:right="600"/>
        <w:divId w:val="44126861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Proyección Real de Cierre de Trabajo de Campo:</w:t>
      </w:r>
    </w:p>
    <w:p w:rsidR="00000000" w:rsidRDefault="005C3AAB">
      <w:pPr>
        <w:pStyle w:val="NormalWeb"/>
        <w:ind w:left="600" w:right="600"/>
        <w:divId w:val="441268612"/>
        <w:rPr>
          <w:rFonts w:ascii="Calibri" w:hAnsi="Calibri" w:cs="Calibri"/>
          <w:color w:val="1E293B"/>
          <w:lang w:val="es-ES"/>
        </w:rPr>
      </w:pPr>
      <w:r>
        <w:rPr>
          <w:rFonts w:ascii="Calibri" w:hAnsi="Calibri" w:cs="Calibri"/>
          <w:color w:val="1E293B"/>
          <w:lang w:val="es-ES"/>
        </w:rPr>
        <w:t>Descontando la inyección automatizada por script y considerando únicamente el ritmo real de campo de la fuerza de terreno (</w:t>
      </w:r>
      <w:r>
        <w:rPr>
          <w:rStyle w:val="Textoennegrita"/>
          <w:rFonts w:ascii="Calibri" w:hAnsi="Calibri" w:cs="Calibri"/>
          <w:color w:val="1E293B"/>
          <w:lang w:val="es-ES"/>
        </w:rPr>
        <w:t>~270 a 300 predios adicionales completados por día</w:t>
      </w:r>
      <w:r>
        <w:rPr>
          <w:rFonts w:ascii="Calibri" w:hAnsi="Calibri" w:cs="Calibri"/>
          <w:color w:val="1E293B"/>
          <w:lang w:val="es-ES"/>
        </w:rPr>
        <w:t>):</w:t>
      </w:r>
    </w:p>
    <w:p w:rsidR="00000000" w:rsidRDefault="005C3AAB">
      <w:pPr>
        <w:pStyle w:val="NormalWeb"/>
        <w:ind w:left="600" w:right="600"/>
        <w:jc w:val="center"/>
        <w:divId w:val="441268612"/>
        <w:rPr>
          <w:rFonts w:ascii="Calibri" w:hAnsi="Calibri" w:cs="Calibri"/>
          <w:b/>
          <w:bCs/>
          <w:color w:val="0284C7"/>
          <w:sz w:val="26"/>
          <w:szCs w:val="26"/>
          <w:lang w:val="es-ES"/>
        </w:rPr>
      </w:pPr>
      <w:r>
        <w:rPr>
          <w:rFonts w:ascii="Calibri" w:hAnsi="Calibri" w:cs="Calibri"/>
          <w:b/>
          <w:bCs/>
          <w:color w:val="0284C7"/>
          <w:sz w:val="26"/>
          <w:szCs w:val="26"/>
          <w:lang w:val="es-ES"/>
        </w:rPr>
        <w:t>Tiempo Real de Cierre Restante = 1,843 fichas pendientes / 275 fichas reales/día</w:t>
      </w:r>
      <w:r>
        <w:rPr>
          <w:rFonts w:ascii="Calibri" w:hAnsi="Calibri" w:cs="Calibri"/>
          <w:b/>
          <w:bCs/>
          <w:color w:val="0284C7"/>
          <w:sz w:val="26"/>
          <w:szCs w:val="26"/>
          <w:lang w:val="es-ES"/>
        </w:rPr>
        <w:t xml:space="preserve"> = 6.7 Días Laborables </w:t>
      </w:r>
    </w:p>
    <w:p w:rsidR="00000000" w:rsidRDefault="005C3AAB">
      <w:pPr>
        <w:pStyle w:val="NormalWeb"/>
        <w:ind w:left="600" w:right="600"/>
        <w:divId w:val="441268612"/>
        <w:rPr>
          <w:rFonts w:ascii="Calibri" w:hAnsi="Calibri" w:cs="Calibri"/>
          <w:color w:val="1E293B"/>
          <w:lang w:val="es-ES"/>
        </w:rPr>
      </w:pPr>
      <w:r>
        <w:rPr>
          <w:rStyle w:val="Textoennegrita"/>
          <w:rFonts w:ascii="Calibri" w:hAnsi="Calibri" w:cs="Calibri"/>
          <w:color w:val="1E293B"/>
          <w:lang w:val="es-ES"/>
        </w:rPr>
        <w:t>Conclusión Operativa:</w:t>
      </w:r>
      <w:r>
        <w:rPr>
          <w:rFonts w:ascii="Calibri" w:hAnsi="Calibri" w:cs="Calibri"/>
          <w:color w:val="1E293B"/>
          <w:lang w:val="es-ES"/>
        </w:rPr>
        <w:t xml:space="preserve"> Manteniendo el esquema y la asignación actual por polígonos/comunidades, el universo completo de 2,410 predios adicionales estará </w:t>
      </w:r>
      <w:r>
        <w:rPr>
          <w:rStyle w:val="Textoennegrita"/>
          <w:rFonts w:ascii="Calibri" w:hAnsi="Calibri" w:cs="Calibri"/>
          <w:color w:val="1E293B"/>
          <w:lang w:val="es-ES"/>
        </w:rPr>
        <w:t>100% investigado y cerrado en aproximadamente 6 a 7 días de trabajo</w:t>
      </w:r>
      <w:r>
        <w:rPr>
          <w:rFonts w:ascii="Calibri" w:hAnsi="Calibri" w:cs="Calibri"/>
          <w:color w:val="1E293B"/>
          <w:lang w:val="es-ES"/>
        </w:rPr>
        <w:t>.</w:t>
      </w:r>
    </w:p>
    <w:p w:rsidR="00000000" w:rsidRDefault="005C3AAB">
      <w:pPr>
        <w:spacing w:before="600" w:after="600"/>
        <w:ind w:left="600" w:right="600"/>
        <w:jc w:val="center"/>
        <w:divId w:val="1073551255"/>
        <w:rPr>
          <w:rFonts w:ascii="Calibri" w:eastAsia="Times New Roman" w:hAnsi="Calibri" w:cs="Calibri"/>
          <w:color w:val="64748B"/>
          <w:sz w:val="18"/>
          <w:szCs w:val="18"/>
          <w:lang w:val="es-ES"/>
        </w:rPr>
      </w:pPr>
      <w:r>
        <w:rPr>
          <w:rFonts w:ascii="Calibri" w:eastAsia="Times New Roman" w:hAnsi="Calibri" w:cs="Calibri"/>
          <w:color w:val="64748B"/>
          <w:sz w:val="18"/>
          <w:szCs w:val="18"/>
          <w:lang w:val="es-ES"/>
        </w:rPr>
        <w:t>Consorcio C</w:t>
      </w:r>
      <w:r>
        <w:rPr>
          <w:rFonts w:ascii="Calibri" w:eastAsia="Times New Roman" w:hAnsi="Calibri" w:cs="Calibri"/>
          <w:color w:val="64748B"/>
          <w:sz w:val="18"/>
          <w:szCs w:val="18"/>
          <w:lang w:val="es-ES"/>
        </w:rPr>
        <w:t>ayambe SPT — Sistema de Riego Comunitario Guanguilquí Porotog</w:t>
      </w:r>
      <w:r>
        <w:rPr>
          <w:rFonts w:ascii="Calibri" w:eastAsia="Times New Roman" w:hAnsi="Calibri" w:cs="Calibri"/>
          <w:color w:val="64748B"/>
          <w:sz w:val="18"/>
          <w:szCs w:val="18"/>
          <w:lang w:val="es-ES"/>
        </w:rPr>
        <w:br/>
        <w:t xml:space="preserve">Documento autogenerado para control operativo de personal </w:t>
      </w: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A34A0"/>
    <w:multiLevelType w:val="multilevel"/>
    <w:tmpl w:val="3E42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4071F"/>
    <w:multiLevelType w:val="multilevel"/>
    <w:tmpl w:val="C63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AB"/>
    <w:rsid w:val="005C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AD66BE-955F-4135-9C30-D1B50142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6" w:color="0284C7"/>
      </w:pBdr>
      <w:spacing w:before="100" w:beforeAutospacing="1" w:after="300"/>
      <w:outlineLvl w:val="0"/>
    </w:pPr>
    <w:rPr>
      <w:b/>
      <w:bCs/>
      <w:color w:val="0F172A"/>
      <w:kern w:val="36"/>
      <w:sz w:val="44"/>
      <w:szCs w:val="44"/>
    </w:rPr>
  </w:style>
  <w:style w:type="paragraph" w:styleId="Ttulo2">
    <w:name w:val="heading 2"/>
    <w:basedOn w:val="Normal"/>
    <w:link w:val="Ttulo2Car"/>
    <w:uiPriority w:val="9"/>
    <w:qFormat/>
    <w:pPr>
      <w:pBdr>
        <w:left w:val="single" w:sz="24" w:space="8" w:color="0284C7"/>
      </w:pBdr>
      <w:spacing w:before="360" w:after="180"/>
      <w:outlineLvl w:val="1"/>
    </w:pPr>
    <w:rPr>
      <w:b/>
      <w:bCs/>
      <w:color w:val="0369A1"/>
      <w:sz w:val="28"/>
      <w:szCs w:val="28"/>
    </w:rPr>
  </w:style>
  <w:style w:type="paragraph" w:styleId="Ttulo3">
    <w:name w:val="heading 3"/>
    <w:basedOn w:val="Normal"/>
    <w:link w:val="Ttulo3Car"/>
    <w:uiPriority w:val="9"/>
    <w:qFormat/>
    <w:pPr>
      <w:spacing w:before="270" w:after="120"/>
      <w:outlineLvl w:val="2"/>
    </w:pPr>
    <w:rPr>
      <w:b/>
      <w:bCs/>
      <w:color w:val="33415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2"/>
      <w:szCs w:val="22"/>
    </w:rPr>
  </w:style>
  <w:style w:type="paragraph" w:customStyle="1" w:styleId="header-box">
    <w:name w:val="header-box"/>
    <w:basedOn w:val="Normal"/>
    <w:pPr>
      <w:pBdr>
        <w:top w:val="single" w:sz="6" w:space="11" w:color="BAE6FD"/>
        <w:left w:val="single" w:sz="6" w:space="11" w:color="BAE6FD"/>
        <w:bottom w:val="single" w:sz="6" w:space="11" w:color="BAE6FD"/>
        <w:right w:val="single" w:sz="6" w:space="11" w:color="BAE6FD"/>
      </w:pBdr>
      <w:shd w:val="clear" w:color="auto" w:fill="F0F9FF"/>
      <w:spacing w:before="100" w:beforeAutospacing="1" w:after="360"/>
    </w:pPr>
    <w:rPr>
      <w:sz w:val="22"/>
      <w:szCs w:val="22"/>
    </w:rPr>
  </w:style>
  <w:style w:type="paragraph" w:customStyle="1" w:styleId="header-title">
    <w:name w:val="header-title"/>
    <w:basedOn w:val="Normal"/>
    <w:pPr>
      <w:spacing w:before="100" w:beforeAutospacing="1" w:after="100" w:afterAutospacing="1"/>
    </w:pPr>
    <w:rPr>
      <w:b/>
      <w:bCs/>
      <w:color w:val="0369A1"/>
    </w:rPr>
  </w:style>
  <w:style w:type="paragraph" w:customStyle="1" w:styleId="badge-success">
    <w:name w:val="badge-success"/>
    <w:basedOn w:val="Normal"/>
    <w:pPr>
      <w:spacing w:before="100" w:beforeAutospacing="1" w:after="100" w:afterAutospacing="1"/>
    </w:pPr>
    <w:rPr>
      <w:b/>
      <w:bCs/>
      <w:color w:val="15803D"/>
      <w:sz w:val="22"/>
      <w:szCs w:val="22"/>
    </w:rPr>
  </w:style>
  <w:style w:type="paragraph" w:customStyle="1" w:styleId="badge-warning">
    <w:name w:val="badge-warning"/>
    <w:basedOn w:val="Normal"/>
    <w:pPr>
      <w:spacing w:before="100" w:beforeAutospacing="1" w:after="100" w:afterAutospacing="1"/>
    </w:pPr>
    <w:rPr>
      <w:b/>
      <w:bCs/>
      <w:color w:val="B45309"/>
      <w:sz w:val="22"/>
      <w:szCs w:val="22"/>
    </w:rPr>
  </w:style>
  <w:style w:type="paragraph" w:customStyle="1" w:styleId="badge-info">
    <w:name w:val="badge-info"/>
    <w:basedOn w:val="Normal"/>
    <w:pPr>
      <w:spacing w:before="100" w:beforeAutospacing="1" w:after="100" w:afterAutospacing="1"/>
    </w:pPr>
    <w:rPr>
      <w:b/>
      <w:bCs/>
      <w:color w:val="0369A1"/>
      <w:sz w:val="22"/>
      <w:szCs w:val="22"/>
    </w:rPr>
  </w:style>
  <w:style w:type="paragraph" w:customStyle="1" w:styleId="note-box">
    <w:name w:val="note-box"/>
    <w:basedOn w:val="Normal"/>
    <w:pPr>
      <w:pBdr>
        <w:left w:val="single" w:sz="24" w:space="9" w:color="EAB308"/>
      </w:pBdr>
      <w:shd w:val="clear" w:color="auto" w:fill="FEFCE8"/>
      <w:spacing w:before="240" w:after="240"/>
    </w:pPr>
    <w:rPr>
      <w:sz w:val="21"/>
      <w:szCs w:val="21"/>
    </w:rPr>
  </w:style>
  <w:style w:type="paragraph" w:customStyle="1" w:styleId="info-box">
    <w:name w:val="info-box"/>
    <w:basedOn w:val="Normal"/>
    <w:pPr>
      <w:pBdr>
        <w:left w:val="single" w:sz="24" w:space="9" w:color="16A34A"/>
      </w:pBdr>
      <w:shd w:val="clear" w:color="auto" w:fill="F0FDF4"/>
      <w:spacing w:before="240" w:after="240"/>
    </w:pPr>
    <w:rPr>
      <w:sz w:val="21"/>
      <w:szCs w:val="21"/>
    </w:rPr>
  </w:style>
  <w:style w:type="paragraph" w:customStyle="1" w:styleId="footer">
    <w:name w:val="footer"/>
    <w:basedOn w:val="Normal"/>
    <w:pPr>
      <w:pBdr>
        <w:top w:val="single" w:sz="6" w:space="9" w:color="CBD5E1"/>
      </w:pBdr>
      <w:spacing w:before="600" w:after="100" w:afterAutospacing="1"/>
      <w:jc w:val="center"/>
    </w:pPr>
    <w:rPr>
      <w:color w:val="64748B"/>
      <w:sz w:val="18"/>
      <w:szCs w:val="18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badge-success1">
    <w:name w:val="badge-success1"/>
    <w:basedOn w:val="Fuentedeprrafopredeter"/>
    <w:rPr>
      <w:b/>
      <w:bCs/>
      <w:color w:val="15803D"/>
    </w:rPr>
  </w:style>
  <w:style w:type="character" w:customStyle="1" w:styleId="badge-warning1">
    <w:name w:val="badge-warning1"/>
    <w:basedOn w:val="Fuentedeprrafopredeter"/>
    <w:rPr>
      <w:b/>
      <w:bCs/>
      <w:color w:val="B45309"/>
    </w:rPr>
  </w:style>
  <w:style w:type="character" w:customStyle="1" w:styleId="badge-info1">
    <w:name w:val="badge-info1"/>
    <w:basedOn w:val="Fuentedeprrafopredeter"/>
    <w:rPr>
      <w:b/>
      <w:bCs/>
      <w:color w:val="0369A1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268612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4245">
          <w:marLeft w:val="0"/>
          <w:marRight w:val="0"/>
          <w:marTop w:val="0"/>
          <w:marBottom w:val="360"/>
          <w:divBdr>
            <w:top w:val="single" w:sz="6" w:space="11" w:color="BAE6FD"/>
            <w:left w:val="single" w:sz="6" w:space="11" w:color="BAE6FD"/>
            <w:bottom w:val="single" w:sz="6" w:space="11" w:color="BAE6FD"/>
            <w:right w:val="single" w:sz="6" w:space="11" w:color="BAE6FD"/>
          </w:divBdr>
          <w:divsChild>
            <w:div w:id="18481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4042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  <w:div w:id="1056776169"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EAB308"/>
            <w:bottom w:val="none" w:sz="0" w:space="0" w:color="auto"/>
            <w:right w:val="none" w:sz="0" w:space="0" w:color="auto"/>
          </w:divBdr>
        </w:div>
        <w:div w:id="1073551255">
          <w:marLeft w:val="0"/>
          <w:marRight w:val="0"/>
          <w:marTop w:val="600"/>
          <w:marBottom w:val="0"/>
          <w:divBdr>
            <w:top w:val="single" w:sz="6" w:space="9" w:color="CBD5E1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y Rendimiento de Personal - Fichas Adicionales</dc:title>
  <dc:subject/>
  <dc:creator>♣♦J☺V♪K○♦♣ Dávila</dc:creator>
  <cp:keywords/>
  <dc:description/>
  <cp:lastModifiedBy>♣♦J☺V♪K○♦♣ Dávila</cp:lastModifiedBy>
  <cp:revision>2</cp:revision>
  <dcterms:created xsi:type="dcterms:W3CDTF">2026-07-24T14:16:00Z</dcterms:created>
  <dcterms:modified xsi:type="dcterms:W3CDTF">2026-07-24T14:16:00Z</dcterms:modified>
</cp:coreProperties>
</file>