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Por qué cambió la superficie bajo riego</w:t>
      </w:r>
    </w:p>
    <w:p>
      <w:pPr>
        <w:jc w:val="both"/>
      </w:pPr>
      <w:r>
        <w:rPr>
          <w:b/>
        </w:rPr>
        <w:t>Padrón de usuarios · Sistema de riego comunitario Guanguilquí–Porotog</w:t>
      </w:r>
      <w:r>
        <w:t xml:space="preserve"> Corte de datos: 5 de agosto de 2026 · Documento del 13 de agosto de 2026, </w:t>
      </w:r>
      <w:r>
        <w:rPr>
          <w:b/>
        </w:rPr>
        <w:t>actualizado el 14 de agosto</w:t>
      </w:r>
      <w:r>
        <w:t xml:space="preserve"> con la corrección del predio del Páramo Chico</w:t>
      </w:r>
    </w:p>
    <w:p>
      <w:pPr>
        <w:spacing w:before="40" w:after="160"/>
        <w:pBdr>
          <w:bottom w:val="single" w:sz="6" w:color="BFBFBF"/>
        </w:pBdr>
      </w:pPr>
    </w:p>
    <w:p>
      <w:pPr>
        <w:pStyle w:val="Heading2"/>
        <w:spacing w:before="240" w:after="80"/>
      </w:pPr>
      <w:r>
        <w:rPr>
          <w:b/>
          <w:color w:val="1F4E79"/>
          <w:sz w:val="28"/>
        </w:rPr>
        <w:t>Primero, cuál es la cifra que cambió</w:t>
      </w:r>
    </w:p>
    <w:p>
      <w:pPr>
        <w:jc w:val="both"/>
      </w:pPr>
      <w:r>
        <w:t>El padrón maneja dos superficies distintas y conviene no confundirlas: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p>
        </w:tc>
        <w:tc>
          <w:tcPr>
            <w:tcW w:type="dxa" w:w="2379"/>
            <w:shd w:val="clear" w:color="auto" w:fill="1F4E79"/>
          </w:tcPr>
          <w:p>
            <w:r>
              <w:rPr>
                <w:color w:val="FFFFFF"/>
                <w:sz w:val="19"/>
              </w:rPr>
            </w:r>
            <w:r>
              <w:rPr>
                <w:b/>
                <w:color w:val="FFFFFF"/>
                <w:sz w:val="19"/>
              </w:rPr>
              <w:t>Antes</w:t>
            </w:r>
          </w:p>
        </w:tc>
        <w:tc>
          <w:tcPr>
            <w:tcW w:type="dxa" w:w="2379"/>
            <w:shd w:val="clear" w:color="auto" w:fill="1F4E79"/>
          </w:tcPr>
          <w:p>
            <w:r>
              <w:rPr>
                <w:color w:val="FFFFFF"/>
                <w:sz w:val="19"/>
              </w:rPr>
            </w:r>
            <w:r>
              <w:rPr>
                <w:b/>
                <w:color w:val="FFFFFF"/>
                <w:sz w:val="19"/>
              </w:rPr>
              <w:t>Ahora</w:t>
            </w:r>
          </w:p>
        </w:tc>
        <w:tc>
          <w:tcPr>
            <w:tcW w:type="dxa" w:w="2379"/>
            <w:shd w:val="clear" w:color="auto" w:fill="1F4E79"/>
          </w:tcPr>
          <w:p>
            <w:r>
              <w:rPr>
                <w:color w:val="FFFFFF"/>
                <w:sz w:val="19"/>
              </w:rPr>
            </w:r>
          </w:p>
        </w:tc>
      </w:tr>
      <w:tr>
        <w:tc>
          <w:tcPr>
            <w:tcW w:type="dxa" w:w="2379"/>
          </w:tcPr>
          <w:p>
            <w:r>
              <w:rPr>
                <w:sz w:val="19"/>
              </w:rPr>
            </w:r>
            <w:r>
              <w:rPr>
                <w:b/>
                <w:sz w:val="19"/>
              </w:rPr>
              <w:t>Superficie total empadronada</w:t>
            </w:r>
          </w:p>
        </w:tc>
        <w:tc>
          <w:tcPr>
            <w:tcW w:type="dxa" w:w="2379"/>
          </w:tcPr>
          <w:p>
            <w:r>
              <w:rPr>
                <w:sz w:val="19"/>
              </w:rPr>
            </w:r>
            <w:r>
              <w:rPr>
                <w:sz w:val="19"/>
              </w:rPr>
              <w:t>10.294,99 ha</w:t>
            </w:r>
          </w:p>
        </w:tc>
        <w:tc>
          <w:tcPr>
            <w:tcW w:type="dxa" w:w="2379"/>
          </w:tcPr>
          <w:p>
            <w:r>
              <w:rPr>
                <w:sz w:val="19"/>
              </w:rPr>
            </w:r>
            <w:r>
              <w:rPr>
                <w:sz w:val="19"/>
              </w:rPr>
              <w:t>9.872,77 ha</w:t>
            </w:r>
          </w:p>
        </w:tc>
        <w:tc>
          <w:tcPr>
            <w:tcW w:type="dxa" w:w="2379"/>
          </w:tcPr>
          <w:p>
            <w:r>
              <w:rPr>
                <w:sz w:val="19"/>
              </w:rPr>
            </w:r>
            <w:r>
              <w:rPr>
                <w:sz w:val="19"/>
              </w:rPr>
              <w:t>baja 422,22 ha</w:t>
            </w:r>
          </w:p>
        </w:tc>
      </w:tr>
      <w:tr>
        <w:tc>
          <w:tcPr>
            <w:tcW w:type="dxa" w:w="2379"/>
          </w:tcPr>
          <w:p>
            <w:r>
              <w:rPr>
                <w:sz w:val="19"/>
              </w:rPr>
            </w:r>
            <w:r>
              <w:rPr>
                <w:b/>
                <w:sz w:val="19"/>
              </w:rPr>
              <w:t>Superficie bajo riego</w:t>
            </w:r>
          </w:p>
        </w:tc>
        <w:tc>
          <w:tcPr>
            <w:tcW w:type="dxa" w:w="2379"/>
          </w:tcPr>
          <w:p>
            <w:r>
              <w:rPr>
                <w:sz w:val="19"/>
              </w:rPr>
            </w:r>
            <w:r>
              <w:rPr>
                <w:sz w:val="19"/>
              </w:rPr>
              <w:t>8.978,86 ha</w:t>
            </w:r>
          </w:p>
        </w:tc>
        <w:tc>
          <w:tcPr>
            <w:tcW w:type="dxa" w:w="2379"/>
          </w:tcPr>
          <w:p>
            <w:r>
              <w:rPr>
                <w:sz w:val="19"/>
              </w:rPr>
            </w:r>
            <w:r>
              <w:rPr>
                <w:sz w:val="19"/>
              </w:rPr>
              <w:t>7.310,02 ha</w:t>
            </w:r>
          </w:p>
        </w:tc>
        <w:tc>
          <w:tcPr>
            <w:tcW w:type="dxa" w:w="2379"/>
          </w:tcPr>
          <w:p>
            <w:r>
              <w:rPr>
                <w:sz w:val="19"/>
              </w:rPr>
            </w:r>
            <w:r>
              <w:rPr>
                <w:b/>
                <w:sz w:val="19"/>
              </w:rPr>
              <w:t>es la que más cambió</w:t>
            </w:r>
          </w:p>
        </w:tc>
      </w:tr>
    </w:tbl>
    <w:p>
      <w:pPr>
        <w:spacing w:after="40"/>
      </w:pPr>
    </w:p>
    <w:p>
      <w:pPr>
        <w:jc w:val="both"/>
      </w:pPr>
      <w:r>
        <w:t xml:space="preserve">Son </w:t>
      </w:r>
      <w:r>
        <w:rPr>
          <w:b/>
        </w:rPr>
        <w:t>dos correcciones distintas</w:t>
      </w:r>
      <w:r>
        <w:t xml:space="preserve"> y conviene separarlas:</w:t>
      </w:r>
    </w:p>
    <w:p>
      <w:pPr>
        <w:pStyle w:val="ListNumber"/>
        <w:spacing w:after="60"/>
      </w:pPr>
      <w:r>
        <w:rPr>
          <w:b/>
        </w:rPr>
        <w:t>El criterio de riego</w:t>
      </w:r>
      <w:r>
        <w:t xml:space="preserve"> (−1.307 ha de superficie regada): se dejó de dar por regado el predio entero cuando la ficha no decía cuánto se riega.</w:t>
      </w:r>
    </w:p>
    <w:p>
      <w:pPr>
        <w:pStyle w:val="ListNumber"/>
        <w:spacing w:after="60"/>
      </w:pPr>
      <w:r>
        <w:rPr>
          <w:b/>
        </w:rPr>
        <w:t>Predios contados más de una vez</w:t>
      </w:r>
      <w:r>
        <w:t xml:space="preserve"> (−98,48 ha de superficie total).</w:t>
      </w:r>
    </w:p>
    <w:p>
      <w:pPr>
        <w:pStyle w:val="ListNumber"/>
        <w:spacing w:after="60"/>
      </w:pPr>
      <w:r>
        <w:rPr>
          <w:b/>
        </w:rPr>
        <w:t>Un predio que no era del padrón</w:t>
      </w:r>
      <w:r>
        <w:t xml:space="preserve"> (−323,74 ha de superficie total y de riego): la corrección del 14 de agosto, que se explica al final.</w:t>
      </w:r>
    </w:p>
    <w:p>
      <w:pPr>
        <w:pStyle w:val="Heading2"/>
        <w:spacing w:before="240" w:after="80"/>
      </w:pPr>
      <w:r>
        <w:rPr>
          <w:b/>
          <w:color w:val="1F4E79"/>
          <w:sz w:val="28"/>
        </w:rPr>
        <w:t>En una frase</w:t>
      </w:r>
    </w:p>
    <w:p>
      <w:pPr>
        <w:jc w:val="both"/>
      </w:pPr>
      <w:r>
        <w:t xml:space="preserve">No se perdió información: </w:t>
      </w:r>
      <w:r>
        <w:rPr>
          <w:b/>
        </w:rPr>
        <w:t>se dejó de dar por regada la superficie que los técnicos no habían registrado como tal, y se retiró un predio del Estado que estaba anotado por error a nombre de una regante</w:t>
      </w:r>
      <w:r>
        <w:t>.</w:t>
      </w:r>
    </w:p>
    <w:p>
      <w:pPr>
        <w:spacing w:before="40" w:after="160"/>
        <w:pBdr>
          <w:bottom w:val="single" w:sz="6" w:color="BFBFBF"/>
        </w:pBdr>
      </w:pPr>
    </w:p>
    <w:p>
      <w:pPr>
        <w:pStyle w:val="Heading2"/>
        <w:spacing w:before="240" w:after="80"/>
      </w:pPr>
      <w:r>
        <w:rPr>
          <w:b/>
          <w:color w:val="1F4E79"/>
          <w:sz w:val="28"/>
        </w:rPr>
        <w:t>Qué pasaba antes</w:t>
      </w:r>
    </w:p>
    <w:p>
      <w:pPr>
        <w:jc w:val="both"/>
      </w:pPr>
      <w:r>
        <w:t xml:space="preserve">El sistema tenía una regla automática: </w:t>
      </w:r>
      <w:r>
        <w:rPr>
          <w:b/>
        </w:rPr>
        <w:t>cuando una ficha no indicaba cuánta superficie tenía bajo riego, le asignaba el predio completo</w:t>
      </w:r>
      <w:r>
        <w:t>.</w:t>
      </w:r>
    </w:p>
    <w:p>
      <w:pPr>
        <w:jc w:val="both"/>
      </w:pPr>
      <w:r>
        <w:t>La intención era razonable —evitar que un dato en blanco contara como cero— pero tenía dos efectos que no se habían medido:</w:t>
      </w:r>
    </w:p>
    <w:p>
      <w:pPr>
        <w:jc w:val="both"/>
      </w:pPr>
      <w:r>
        <w:rPr>
          <w:b/>
        </w:rPr>
        <w:t>1. Convertía la falta de dato en un dato.</w:t>
      </w:r>
      <w:r>
        <w:t xml:space="preserve"> Un predio del que no se sabía cuánto se riega pasaba a figurar como regado en su totalidad.</w:t>
      </w:r>
    </w:p>
    <w:p>
      <w:pPr>
        <w:jc w:val="both"/>
      </w:pPr>
      <w:r>
        <w:rPr>
          <w:b/>
        </w:rPr>
        <w:t>2. Borraba lo que el técnico sí había anotado.</w:t>
      </w:r>
      <w:r>
        <w:t xml:space="preserve"> Y este es el punto grave: de las </w:t>
      </w:r>
      <w:r>
        <w:rPr>
          <w:b/>
        </w:rPr>
        <w:t>653 fichas</w:t>
      </w:r>
      <w:r>
        <w:t xml:space="preserve"> sin superficie de riego registrada, </w:t>
      </w:r>
      <w:r>
        <w:rPr>
          <w:b/>
        </w:rPr>
        <w:t>650 sí tenían anotada su superficie sin riego</w:t>
      </w:r>
      <w:r>
        <w:t>. Es decir, el técnico había constatado en campo qué parte del predio no recibe agua, y el sistema descartaba ese dato y contaba el predio entero como regado.</w:t>
      </w:r>
    </w:p>
    <w:p>
      <w:pPr>
        <w:jc w:val="both"/>
      </w:pPr>
      <w:r>
        <w:t xml:space="preserve">Entre esas 653 fichas suman </w:t>
      </w:r>
      <w:r>
        <w:rPr>
          <w:b/>
        </w:rPr>
        <w:t>1.309,62 hectáreas</w:t>
      </w:r>
      <w:r>
        <w:t>. Esa es, en la práctica, casi toda la diferencia.</w:t>
      </w:r>
    </w:p>
    <w:p>
      <w:pPr>
        <w:spacing w:before="40" w:after="160"/>
        <w:pBdr>
          <w:bottom w:val="single" w:sz="6" w:color="BFBFBF"/>
        </w:pBdr>
      </w:pPr>
    </w:p>
    <w:p>
      <w:pPr>
        <w:pStyle w:val="Heading2"/>
        <w:spacing w:before="240" w:after="80"/>
      </w:pPr>
      <w:r>
        <w:rPr>
          <w:b/>
          <w:color w:val="1F4E79"/>
          <w:sz w:val="28"/>
        </w:rPr>
        <w:t>Qué se hizo</w:t>
      </w:r>
    </w:p>
    <w:p>
      <w:pPr>
        <w:jc w:val="both"/>
      </w:pPr>
      <w:r>
        <w:t xml:space="preserve">Ahora la superficie con riego y la superficie sin riego se tratan como lo que son: </w:t>
      </w:r>
      <w:r>
        <w:rPr>
          <w:b/>
        </w:rPr>
        <w:t>dos partes del mismo predio</w:t>
      </w:r>
      <w:r>
        <w:t>. Manda lo que declaró el técnico y la otra parte se ajusta a lo que queda. Ninguna ficha pierde el dato que traía.</w:t>
      </w:r>
    </w:p>
    <w:p>
      <w:pPr>
        <w:jc w:val="both"/>
      </w:pPr>
      <w:r>
        <w:t>Tres correcciones acompañaron el cambio: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Corrección</w:t>
            </w:r>
          </w:p>
        </w:tc>
        <w:tc>
          <w:tcPr>
            <w:tcW w:type="dxa" w:w="3173"/>
            <w:shd w:val="clear" w:color="auto" w:fill="1F4E79"/>
          </w:tcPr>
          <w:p>
            <w:r>
              <w:rPr>
                <w:color w:val="FFFFFF"/>
                <w:sz w:val="19"/>
              </w:rPr>
            </w:r>
            <w:r>
              <w:rPr>
                <w:b/>
                <w:color w:val="FFFFFF"/>
                <w:sz w:val="19"/>
              </w:rPr>
              <w:t>Alcance</w:t>
            </w:r>
          </w:p>
        </w:tc>
        <w:tc>
          <w:tcPr>
            <w:tcW w:type="dxa" w:w="3173"/>
            <w:shd w:val="clear" w:color="auto" w:fill="1F4E79"/>
          </w:tcPr>
          <w:p>
            <w:r>
              <w:rPr>
                <w:color w:val="FFFFFF"/>
                <w:sz w:val="19"/>
              </w:rPr>
            </w:r>
            <w:r>
              <w:rPr>
                <w:b/>
                <w:color w:val="FFFFFF"/>
                <w:sz w:val="19"/>
              </w:rPr>
              <w:t>Efecto</w:t>
            </w:r>
          </w:p>
        </w:tc>
      </w:tr>
      <w:tr>
        <w:tc>
          <w:tcPr>
            <w:tcW w:type="dxa" w:w="3173"/>
          </w:tcPr>
          <w:p>
            <w:r>
              <w:rPr>
                <w:sz w:val="19"/>
              </w:rPr>
            </w:r>
            <w:r>
              <w:rPr>
                <w:sz w:val="19"/>
              </w:rPr>
              <w:t>Se retira la regla que daba por regado el predio entero</w:t>
            </w:r>
          </w:p>
        </w:tc>
        <w:tc>
          <w:tcPr>
            <w:tcW w:type="dxa" w:w="3173"/>
          </w:tcPr>
          <w:p>
            <w:r>
              <w:rPr>
                <w:sz w:val="19"/>
              </w:rPr>
            </w:r>
            <w:r>
              <w:rPr>
                <w:sz w:val="19"/>
              </w:rPr>
              <w:t>653 fichas</w:t>
            </w:r>
          </w:p>
        </w:tc>
        <w:tc>
          <w:tcPr>
            <w:tcW w:type="dxa" w:w="3173"/>
          </w:tcPr>
          <w:p>
            <w:r>
              <w:rPr>
                <w:sz w:val="19"/>
              </w:rPr>
            </w:r>
            <w:r>
              <w:rPr>
                <w:sz w:val="19"/>
              </w:rPr>
              <w:t>−1.307,41 ha de riego</w:t>
            </w:r>
          </w:p>
        </w:tc>
      </w:tr>
      <w:tr>
        <w:tc>
          <w:tcPr>
            <w:tcW w:type="dxa" w:w="3173"/>
          </w:tcPr>
          <w:p>
            <w:r>
              <w:rPr>
                <w:sz w:val="19"/>
              </w:rPr>
            </w:r>
            <w:r>
              <w:rPr>
                <w:sz w:val="19"/>
              </w:rPr>
              <w:t>Fichas que repetían la misma cifra en área total, con riego y sin riego</w:t>
            </w:r>
          </w:p>
        </w:tc>
        <w:tc>
          <w:tcPr>
            <w:tcW w:type="dxa" w:w="3173"/>
          </w:tcPr>
          <w:p>
            <w:r>
              <w:rPr>
                <w:sz w:val="19"/>
              </w:rPr>
            </w:r>
            <w:r>
              <w:rPr>
                <w:sz w:val="19"/>
              </w:rPr>
              <w:t>54 fichas</w:t>
            </w:r>
          </w:p>
        </w:tc>
        <w:tc>
          <w:tcPr>
            <w:tcW w:type="dxa" w:w="3173"/>
          </w:tcPr>
          <w:p>
            <w:r>
              <w:rPr>
                <w:sz w:val="19"/>
              </w:rPr>
            </w:r>
            <w:r>
              <w:rPr>
                <w:sz w:val="19"/>
              </w:rPr>
              <w:t>Reparto corregido</w:t>
            </w:r>
          </w:p>
        </w:tc>
      </w:tr>
      <w:tr>
        <w:tc>
          <w:tcPr>
            <w:tcW w:type="dxa" w:w="3173"/>
          </w:tcPr>
          <w:p>
            <w:r>
              <w:rPr>
                <w:sz w:val="19"/>
              </w:rPr>
            </w:r>
            <w:r>
              <w:rPr>
                <w:sz w:val="19"/>
              </w:rPr>
              <w:t>Predios compartidos donde el reparto estaba anotado en observaciones</w:t>
            </w:r>
          </w:p>
        </w:tc>
        <w:tc>
          <w:tcPr>
            <w:tcW w:type="dxa" w:w="3173"/>
          </w:tcPr>
          <w:p>
            <w:r>
              <w:rPr>
                <w:sz w:val="19"/>
              </w:rPr>
            </w:r>
            <w:r>
              <w:rPr>
                <w:sz w:val="19"/>
              </w:rPr>
              <w:t>22 predios</w:t>
            </w:r>
          </w:p>
        </w:tc>
        <w:tc>
          <w:tcPr>
            <w:tcW w:type="dxa" w:w="3173"/>
          </w:tcPr>
          <w:p>
            <w:r>
              <w:rPr>
                <w:sz w:val="19"/>
              </w:rPr>
            </w:r>
            <w:r>
              <w:rPr>
                <w:sz w:val="19"/>
              </w:rPr>
              <w:t>−98,48 ha de superficie duplicada</w:t>
            </w:r>
          </w:p>
        </w:tc>
      </w:tr>
    </w:tbl>
    <w:p>
      <w:pPr>
        <w:spacing w:after="40"/>
      </w:pPr>
    </w:p>
    <w:p>
      <w:pPr>
        <w:jc w:val="both"/>
      </w:pPr>
      <w:r>
        <w:t xml:space="preserve">Sobre la segunda: había 54 fichas en las que el área total, la superficie con riego y la superficie sin riego traían </w:t>
      </w:r>
      <w:r>
        <w:rPr>
          <w:b/>
        </w:rPr>
        <w:t>el mismo número</w:t>
      </w:r>
      <w:r>
        <w:t>, lo que es imposible: el predio no puede estar entero regado y entero sin regar a la vez. Se resolvieron según su posición respecto al canal, porque el sistema riega por gravedad y lo que queda por encima de la acequia no recibe agua: 27 quedaron como no regadas y 27 como regadas.</w:t>
      </w:r>
    </w:p>
    <w:p>
      <w:pPr>
        <w:jc w:val="both"/>
      </w:pPr>
      <w:r>
        <w:t>Sobre la tercera: en varios predios con varios titulares, cada ficha declaraba el predio completo, de modo que la misma superficie se contaba tantas veces como titulares hubiera. En 22 de ellos el propio técnico había anotado en el campo de observaciones cuánto le correspondía a cada uno; ese dato se recuperó.</w:t>
      </w:r>
    </w:p>
    <w:p>
      <w:pPr>
        <w:spacing w:before="40" w:after="160"/>
        <w:pBdr>
          <w:bottom w:val="single" w:sz="6" w:color="BFBFBF"/>
        </w:pBdr>
      </w:pPr>
    </w:p>
    <w:p>
      <w:pPr>
        <w:pStyle w:val="Heading2"/>
        <w:spacing w:before="240" w:after="80"/>
      </w:pPr>
      <w:r>
        <w:rPr>
          <w:b/>
          <w:color w:val="1F4E79"/>
          <w:sz w:val="28"/>
        </w:rPr>
        <w:t>Las cifras, antes y después</w:t>
      </w:r>
    </w:p>
    <w:p>
      <w:pPr>
        <w:jc w:val="both"/>
      </w:pPr>
      <w:r>
        <w:rPr>
          <w:b/>
        </w:rPr>
        <w:t>En la plataforma</w:t>
      </w:r>
      <w:r>
        <w:t xml:space="preserve"> (suma de las 6.830 fichas, incluidos los predios adicionales de cada titular):</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Antes</w:t>
            </w:r>
          </w:p>
        </w:tc>
        <w:tc>
          <w:tcPr>
            <w:tcW w:type="dxa" w:w="3173"/>
            <w:shd w:val="clear" w:color="auto" w:fill="1F4E79"/>
          </w:tcPr>
          <w:p>
            <w:r>
              <w:rPr>
                <w:color w:val="FFFFFF"/>
                <w:sz w:val="19"/>
              </w:rPr>
            </w:r>
            <w:r>
              <w:rPr>
                <w:b/>
                <w:color w:val="FFFFFF"/>
                <w:sz w:val="19"/>
              </w:rPr>
              <w:t>Ahora</w:t>
            </w:r>
          </w:p>
        </w:tc>
      </w:tr>
      <w:tr>
        <w:tc>
          <w:tcPr>
            <w:tcW w:type="dxa" w:w="3173"/>
          </w:tcPr>
          <w:p>
            <w:r>
              <w:rPr>
                <w:sz w:val="19"/>
              </w:rPr>
            </w:r>
            <w:r>
              <w:rPr>
                <w:sz w:val="19"/>
              </w:rPr>
              <w:t>Superficie total</w:t>
            </w:r>
          </w:p>
        </w:tc>
        <w:tc>
          <w:tcPr>
            <w:tcW w:type="dxa" w:w="3173"/>
          </w:tcPr>
          <w:p>
            <w:r>
              <w:rPr>
                <w:sz w:val="19"/>
              </w:rPr>
            </w:r>
            <w:r>
              <w:rPr>
                <w:sz w:val="19"/>
              </w:rPr>
              <w:t>10.294,99 ha</w:t>
            </w:r>
          </w:p>
        </w:tc>
        <w:tc>
          <w:tcPr>
            <w:tcW w:type="dxa" w:w="3173"/>
          </w:tcPr>
          <w:p>
            <w:r>
              <w:rPr>
                <w:sz w:val="19"/>
              </w:rPr>
            </w:r>
            <w:r>
              <w:rPr>
                <w:sz w:val="19"/>
              </w:rPr>
              <w:t>9.872,77 ha</w:t>
            </w:r>
          </w:p>
        </w:tc>
      </w:tr>
      <w:tr>
        <w:tc>
          <w:tcPr>
            <w:tcW w:type="dxa" w:w="3173"/>
          </w:tcPr>
          <w:p>
            <w:r>
              <w:rPr>
                <w:sz w:val="19"/>
              </w:rPr>
            </w:r>
            <w:r>
              <w:rPr>
                <w:b/>
                <w:sz w:val="19"/>
              </w:rPr>
              <w:t>Con riego</w:t>
            </w:r>
          </w:p>
        </w:tc>
        <w:tc>
          <w:tcPr>
            <w:tcW w:type="dxa" w:w="3173"/>
          </w:tcPr>
          <w:p>
            <w:r>
              <w:rPr>
                <w:sz w:val="19"/>
              </w:rPr>
            </w:r>
            <w:r>
              <w:rPr>
                <w:b/>
                <w:sz w:val="19"/>
              </w:rPr>
              <w:t>8.978,86 ha</w:t>
            </w:r>
          </w:p>
        </w:tc>
        <w:tc>
          <w:tcPr>
            <w:tcW w:type="dxa" w:w="3173"/>
          </w:tcPr>
          <w:p>
            <w:r>
              <w:rPr>
                <w:sz w:val="19"/>
              </w:rPr>
            </w:r>
            <w:r>
              <w:rPr>
                <w:b/>
                <w:sz w:val="19"/>
              </w:rPr>
              <w:t>7.310,02 ha</w:t>
            </w:r>
          </w:p>
        </w:tc>
      </w:tr>
      <w:tr>
        <w:tc>
          <w:tcPr>
            <w:tcW w:type="dxa" w:w="3173"/>
          </w:tcPr>
          <w:p>
            <w:r>
              <w:rPr>
                <w:sz w:val="19"/>
              </w:rPr>
            </w:r>
            <w:r>
              <w:rPr>
                <w:sz w:val="19"/>
              </w:rPr>
              <w:t>Sin riego</w:t>
            </w:r>
          </w:p>
        </w:tc>
        <w:tc>
          <w:tcPr>
            <w:tcW w:type="dxa" w:w="3173"/>
          </w:tcPr>
          <w:p>
            <w:r>
              <w:rPr>
                <w:sz w:val="19"/>
              </w:rPr>
            </w:r>
            <w:r>
              <w:rPr>
                <w:sz w:val="19"/>
              </w:rPr>
              <w:t>1.372,50 ha</w:t>
            </w:r>
          </w:p>
        </w:tc>
        <w:tc>
          <w:tcPr>
            <w:tcW w:type="dxa" w:w="3173"/>
          </w:tcPr>
          <w:p>
            <w:r>
              <w:rPr>
                <w:sz w:val="19"/>
              </w:rPr>
            </w:r>
            <w:r>
              <w:rPr>
                <w:sz w:val="19"/>
              </w:rPr>
              <w:t>2.562,75 ha</w:t>
            </w:r>
          </w:p>
        </w:tc>
      </w:tr>
      <w:tr>
        <w:tc>
          <w:tcPr>
            <w:tcW w:type="dxa" w:w="3173"/>
          </w:tcPr>
          <w:p>
            <w:r>
              <w:rPr>
                <w:sz w:val="19"/>
              </w:rPr>
            </w:r>
            <w:r>
              <w:rPr>
                <w:sz w:val="19"/>
              </w:rPr>
              <w:t>Diferencia entre la suma de las partes y el total</w:t>
            </w:r>
          </w:p>
        </w:tc>
        <w:tc>
          <w:tcPr>
            <w:tcW w:type="dxa" w:w="3173"/>
          </w:tcPr>
          <w:p>
            <w:r>
              <w:rPr>
                <w:sz w:val="19"/>
              </w:rPr>
            </w:r>
            <w:r>
              <w:rPr>
                <w:sz w:val="19"/>
              </w:rPr>
              <w:t>+56,38 ha</w:t>
            </w:r>
          </w:p>
        </w:tc>
        <w:tc>
          <w:tcPr>
            <w:tcW w:type="dxa" w:w="3173"/>
          </w:tcPr>
          <w:p>
            <w:r>
              <w:rPr>
                <w:sz w:val="19"/>
              </w:rPr>
            </w:r>
            <w:r>
              <w:rPr>
                <w:b/>
                <w:sz w:val="19"/>
              </w:rPr>
              <w:t>0,00 ha</w:t>
            </w:r>
          </w:p>
        </w:tc>
      </w:tr>
    </w:tbl>
    <w:p>
      <w:pPr>
        <w:spacing w:after="40"/>
      </w:pPr>
    </w:p>
    <w:p>
      <w:pPr>
        <w:jc w:val="both"/>
      </w:pPr>
      <w:r>
        <w:rPr>
          <w:b/>
        </w:rPr>
        <w:t>En los informes</w:t>
      </w:r>
      <w:r>
        <w:t xml:space="preserve"> (solo las fichas principales, una por regante, para no contar dos veces a la misma persona):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Antes</w:t>
            </w:r>
          </w:p>
        </w:tc>
        <w:tc>
          <w:tcPr>
            <w:tcW w:type="dxa" w:w="3173"/>
            <w:shd w:val="clear" w:color="auto" w:fill="1F4E79"/>
          </w:tcPr>
          <w:p>
            <w:r>
              <w:rPr>
                <w:color w:val="FFFFFF"/>
                <w:sz w:val="19"/>
              </w:rPr>
            </w:r>
            <w:r>
              <w:rPr>
                <w:b/>
                <w:color w:val="FFFFFF"/>
                <w:sz w:val="19"/>
              </w:rPr>
              <w:t>Ahora</w:t>
            </w:r>
          </w:p>
        </w:tc>
      </w:tr>
      <w:tr>
        <w:tc>
          <w:tcPr>
            <w:tcW w:type="dxa" w:w="3173"/>
          </w:tcPr>
          <w:p>
            <w:r>
              <w:rPr>
                <w:sz w:val="19"/>
              </w:rPr>
            </w:r>
            <w:r>
              <w:rPr>
                <w:sz w:val="19"/>
              </w:rPr>
              <w:t>Superficie empadronada</w:t>
            </w:r>
          </w:p>
        </w:tc>
        <w:tc>
          <w:tcPr>
            <w:tcW w:type="dxa" w:w="3173"/>
          </w:tcPr>
          <w:p>
            <w:r>
              <w:rPr>
                <w:sz w:val="19"/>
              </w:rPr>
            </w:r>
            <w:r>
              <w:rPr>
                <w:sz w:val="19"/>
              </w:rPr>
              <w:t>8.310,30 ha</w:t>
            </w:r>
          </w:p>
        </w:tc>
        <w:tc>
          <w:tcPr>
            <w:tcW w:type="dxa" w:w="3173"/>
          </w:tcPr>
          <w:p>
            <w:r>
              <w:rPr>
                <w:sz w:val="19"/>
              </w:rPr>
            </w:r>
            <w:r>
              <w:rPr>
                <w:sz w:val="19"/>
              </w:rPr>
              <w:t>7.888,35 ha</w:t>
            </w:r>
          </w:p>
        </w:tc>
      </w:tr>
      <w:tr>
        <w:tc>
          <w:tcPr>
            <w:tcW w:type="dxa" w:w="3173"/>
          </w:tcPr>
          <w:p>
            <w:r>
              <w:rPr>
                <w:sz w:val="19"/>
              </w:rPr>
            </w:r>
            <w:r>
              <w:rPr>
                <w:sz w:val="19"/>
              </w:rPr>
              <w:t>Con riego</w:t>
            </w:r>
          </w:p>
        </w:tc>
        <w:tc>
          <w:tcPr>
            <w:tcW w:type="dxa" w:w="3173"/>
          </w:tcPr>
          <w:p>
            <w:r>
              <w:rPr>
                <w:sz w:val="19"/>
              </w:rPr>
            </w:r>
            <w:r>
              <w:rPr>
                <w:sz w:val="19"/>
              </w:rPr>
              <w:t>6.497,10 ha</w:t>
            </w:r>
          </w:p>
        </w:tc>
        <w:tc>
          <w:tcPr>
            <w:tcW w:type="dxa" w:w="3173"/>
          </w:tcPr>
          <w:p>
            <w:r>
              <w:rPr>
                <w:sz w:val="19"/>
              </w:rPr>
            </w:r>
            <w:r>
              <w:rPr>
                <w:sz w:val="19"/>
              </w:rPr>
              <w:t>6.109,83 ha</w:t>
            </w:r>
          </w:p>
        </w:tc>
      </w:tr>
      <w:tr>
        <w:tc>
          <w:tcPr>
            <w:tcW w:type="dxa" w:w="3173"/>
          </w:tcPr>
          <w:p>
            <w:r>
              <w:rPr>
                <w:sz w:val="19"/>
              </w:rPr>
            </w:r>
            <w:r>
              <w:rPr>
                <w:sz w:val="19"/>
              </w:rPr>
              <w:t>Proporción bajo riego</w:t>
            </w:r>
          </w:p>
        </w:tc>
        <w:tc>
          <w:tcPr>
            <w:tcW w:type="dxa" w:w="3173"/>
          </w:tcPr>
          <w:p>
            <w:r>
              <w:rPr>
                <w:sz w:val="19"/>
              </w:rPr>
            </w:r>
            <w:r>
              <w:rPr>
                <w:sz w:val="19"/>
              </w:rPr>
              <w:t>78,2 %</w:t>
            </w:r>
          </w:p>
        </w:tc>
        <w:tc>
          <w:tcPr>
            <w:tcW w:type="dxa" w:w="3173"/>
          </w:tcPr>
          <w:p>
            <w:r>
              <w:rPr>
                <w:sz w:val="19"/>
              </w:rPr>
            </w:r>
            <w:r>
              <w:rPr>
                <w:sz w:val="19"/>
              </w:rPr>
              <w:t>77,4 %</w:t>
            </w:r>
          </w:p>
        </w:tc>
      </w:tr>
    </w:tbl>
    <w:p>
      <w:pPr>
        <w:spacing w:after="40"/>
      </w:pPr>
    </w:p>
    <w:p>
      <w:pPr>
        <w:jc w:val="both"/>
      </w:pPr>
      <w:r>
        <w:t xml:space="preserve">Conviene fijarse en que </w:t>
      </w:r>
      <w:r>
        <w:rPr>
          <w:b/>
        </w:rPr>
        <w:t>la proporción bajo riego apenas se mueve</w:t>
      </w:r>
      <w:r>
        <w:t>: 78,2 % antes, 77,4 % ahora. La caracterización del sistema no cambia. Lo que cambia son las cifras absolutas.</w:t>
      </w:r>
    </w:p>
    <w:p>
      <w:pPr>
        <w:spacing w:before="40" w:after="160"/>
        <w:pBdr>
          <w:bottom w:val="single" w:sz="6" w:color="BFBFBF"/>
        </w:pBdr>
      </w:pPr>
    </w:p>
    <w:p>
      <w:pPr>
        <w:pStyle w:val="Heading2"/>
        <w:spacing w:before="240" w:after="80"/>
      </w:pPr>
      <w:r>
        <w:rPr>
          <w:b/>
          <w:color w:val="1F4E79"/>
          <w:sz w:val="28"/>
        </w:rPr>
        <w:t>Lo que ahora cuadra y antes no</w:t>
      </w:r>
    </w:p>
    <w:p>
      <w:pPr>
        <w:jc w:val="both"/>
      </w:pPr>
      <w:r>
        <w:t>Es el mejor indicador de que la corrección iba en la dirección correcta.</w:t>
      </w:r>
    </w:p>
    <w:p>
      <w:pPr>
        <w:jc w:val="both"/>
      </w:pPr>
      <w:r>
        <w:t xml:space="preserve">La superficie con riego más la superficie sin riego deberían sumar exactamente la superficie total del padrón. Antes se pasaban en </w:t>
      </w:r>
      <w:r>
        <w:rPr>
          <w:b/>
        </w:rPr>
        <w:t>56,38 hectáreas</w:t>
      </w:r>
      <w:r>
        <w:t xml:space="preserve">: había terreno contado dos veces. </w:t>
      </w:r>
      <w:r>
        <w:rPr>
          <w:b/>
        </w:rPr>
        <w:t>Hoy la suma es exacta.</w:t>
      </w:r>
    </w:p>
    <w:p>
      <w:pPr>
        <w:spacing w:before="40" w:after="160"/>
        <w:pBdr>
          <w:bottom w:val="single" w:sz="6" w:color="BFBFBF"/>
        </w:pBdr>
      </w:pPr>
    </w:p>
    <w:p>
      <w:pPr>
        <w:spacing w:before="40" w:after="160"/>
        <w:pBdr>
          <w:bottom w:val="single" w:sz="6" w:color="BFBFBF"/>
        </w:pBdr>
      </w:pPr>
    </w:p>
    <w:p>
      <w:pPr>
        <w:pStyle w:val="Heading2"/>
        <w:spacing w:before="240" w:after="80"/>
      </w:pPr>
      <w:r>
        <w:rPr>
          <w:b/>
          <w:color w:val="1F4E79"/>
          <w:sz w:val="28"/>
        </w:rPr>
        <w:t>La corrección del 14 de agosto: un predio que no era del padrón</w:t>
      </w:r>
    </w:p>
    <w:p>
      <w:pPr>
        <w:jc w:val="both"/>
      </w:pPr>
      <w:r>
        <w:t xml:space="preserve">Es la única de las tres que </w:t>
      </w:r>
      <w:r>
        <w:rPr>
          <w:b/>
        </w:rPr>
        <w:t>retira un predio</w:t>
      </w:r>
      <w:r>
        <w:t>, y conviene explicarla aparte porque toca dos cifras muy visibles: la superficie total y la cebolla.</w:t>
      </w:r>
    </w:p>
    <w:p>
      <w:pPr>
        <w:jc w:val="both"/>
      </w:pPr>
      <w:r>
        <w:rPr>
          <w:b/>
        </w:rPr>
        <w:t>Qué se encontró.</w:t>
      </w:r>
      <w:r>
        <w:t xml:space="preserve"> Una ficha de la comunidad LA LIBERTAD estaba levantada sobre la clave catastral </w:t>
      </w:r>
      <w:r>
        <w:rPr>
          <w:rFonts w:ascii="Consolas" w:hAnsi="Consolas"/>
          <w:color w:val="8B2500"/>
          <w:sz w:val="19"/>
        </w:rPr>
        <w:t>1702606901</w:t>
      </w:r>
      <w:r>
        <w:t xml:space="preserve">, que </w:t>
      </w:r>
      <w:r>
        <w:rPr>
          <w:b/>
        </w:rPr>
        <w:t>no es el predio de la regante</w:t>
      </w:r>
      <w:r>
        <w:t xml:space="preserve">. Según la ficha catastral del GADM Cayambe, esa clave corresponde al </w:t>
      </w:r>
      <w:r>
        <w:rPr>
          <w:b/>
        </w:rPr>
        <w:t>PÁRAMO CHICO</w:t>
      </w:r>
      <w:r>
        <w:t xml:space="preserve">, un «Polígono Especial de Colindancia» de 323,74 ha </w:t>
      </w:r>
      <w:r>
        <w:rPr>
          <w:b/>
        </w:rPr>
        <w:t>revertido al Estado a partir de la cota 3680 msnm</w:t>
      </w:r>
      <w:r>
        <w:t xml:space="preserve"> (Oficio Nº 269-JACR-2018, inspección Nº 422 del 26/09/2018).</w:t>
      </w:r>
    </w:p>
    <w:p>
      <w:pPr>
        <w:jc w:val="both"/>
      </w:pPr>
      <w:r>
        <w:t xml:space="preserve">Con la clave equivocada se arrastró su superficie. El predio que el catastro sí tiene a nombre de la titular —con su nombre y su cédula— es la clave </w:t>
      </w:r>
      <w:r>
        <w:rPr>
          <w:rFonts w:ascii="Consolas" w:hAnsi="Consolas"/>
          <w:color w:val="8B2500"/>
          <w:sz w:val="19"/>
        </w:rPr>
        <w:t>1702521020106</w:t>
      </w:r>
      <w:r>
        <w:t xml:space="preserve">, de </w:t>
      </w:r>
      <w:r>
        <w:rPr>
          <w:b/>
        </w:rPr>
        <w:t>3.073,78 m²</w:t>
      </w:r>
      <w:r>
        <w:t xml:space="preserve">. La ficha declaraba un terreno </w:t>
      </w:r>
      <w:r>
        <w:rPr>
          <w:b/>
        </w:rPr>
        <w:t>1.053 veces mayor que el real</w:t>
      </w:r>
      <w:r>
        <w:t>, entero como superficie bajo riego, a 3.740 msnm.</w:t>
      </w:r>
    </w:p>
    <w:p>
      <w:pPr>
        <w:jc w:val="both"/>
      </w:pPr>
      <w:r>
        <w:rPr>
          <w:b/>
        </w:rPr>
        <w:t>Cómo se comprobó.</w:t>
      </w:r>
      <w:r>
        <w:t xml:space="preserve"> Los cultivos de la propia ficha venían por duplicado, en dos versiones: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Cultivo</w:t>
            </w:r>
          </w:p>
        </w:tc>
        <w:tc>
          <w:tcPr>
            <w:tcW w:type="dxa" w:w="3173"/>
            <w:shd w:val="clear" w:color="auto" w:fill="1F4E79"/>
          </w:tcPr>
          <w:p>
            <w:r>
              <w:rPr>
                <w:color w:val="FFFFFF"/>
                <w:sz w:val="19"/>
              </w:rPr>
            </w:r>
            <w:r>
              <w:rPr>
                <w:b/>
                <w:color w:val="FFFFFF"/>
                <w:sz w:val="19"/>
              </w:rPr>
              <w:t>Superficie</w:t>
            </w:r>
          </w:p>
        </w:tc>
        <w:tc>
          <w:tcPr>
            <w:tcW w:type="dxa" w:w="3173"/>
            <w:shd w:val="clear" w:color="auto" w:fill="1F4E79"/>
          </w:tcPr>
          <w:p>
            <w:r>
              <w:rPr>
                <w:color w:val="FFFFFF"/>
                <w:sz w:val="19"/>
              </w:rPr>
            </w:r>
            <w:r>
              <w:rPr>
                <w:b/>
                <w:color w:val="FFFFFF"/>
                <w:sz w:val="19"/>
              </w:rPr>
              <w:t>Sobre qué predio</w:t>
            </w:r>
          </w:p>
        </w:tc>
      </w:tr>
      <w:tr>
        <w:tc>
          <w:tcPr>
            <w:tcW w:type="dxa" w:w="3173"/>
          </w:tcPr>
          <w:p>
            <w:r>
              <w:rPr>
                <w:sz w:val="19"/>
              </w:rPr>
            </w:r>
            <w:r>
              <w:rPr>
                <w:sz w:val="19"/>
              </w:rPr>
              <w:t>Cebolla</w:t>
            </w:r>
          </w:p>
        </w:tc>
        <w:tc>
          <w:tcPr>
            <w:tcW w:type="dxa" w:w="3173"/>
          </w:tcPr>
          <w:p>
            <w:r>
              <w:rPr>
                <w:sz w:val="19"/>
              </w:rPr>
            </w:r>
            <w:r>
              <w:rPr>
                <w:sz w:val="19"/>
              </w:rPr>
              <w:t>1.000 m²</w:t>
            </w:r>
          </w:p>
        </w:tc>
        <w:tc>
          <w:tcPr>
            <w:tcW w:type="dxa" w:w="3173"/>
          </w:tcPr>
          <w:p>
            <w:r>
              <w:rPr>
                <w:sz w:val="19"/>
              </w:rPr>
            </w:r>
            <w:r>
              <w:rPr>
                <w:sz w:val="19"/>
              </w:rPr>
              <w:t xml:space="preserve">3.073,78 m² — </w:t>
            </w:r>
            <w:r>
              <w:rPr>
                <w:b/>
                <w:sz w:val="19"/>
              </w:rPr>
              <w:t>el real, y cuadra exacto</w:t>
            </w:r>
          </w:p>
        </w:tc>
      </w:tr>
      <w:tr>
        <w:tc>
          <w:tcPr>
            <w:tcW w:type="dxa" w:w="3173"/>
          </w:tcPr>
          <w:p>
            <w:r>
              <w:rPr>
                <w:sz w:val="19"/>
              </w:rPr>
            </w:r>
            <w:r>
              <w:rPr>
                <w:sz w:val="19"/>
              </w:rPr>
              <w:t>Pasto no mejorado</w:t>
            </w:r>
          </w:p>
        </w:tc>
        <w:tc>
          <w:tcPr>
            <w:tcW w:type="dxa" w:w="3173"/>
          </w:tcPr>
          <w:p>
            <w:r>
              <w:rPr>
                <w:sz w:val="19"/>
              </w:rPr>
            </w:r>
            <w:r>
              <w:rPr>
                <w:sz w:val="19"/>
              </w:rPr>
              <w:t>2.073,78 m²</w:t>
            </w:r>
          </w:p>
        </w:tc>
        <w:tc>
          <w:tcPr>
            <w:tcW w:type="dxa" w:w="3173"/>
          </w:tcPr>
          <w:p>
            <w:r>
              <w:rPr>
                <w:sz w:val="19"/>
              </w:rPr>
            </w:r>
            <w:r>
              <w:rPr>
                <w:sz w:val="19"/>
              </w:rPr>
              <w:t>3.073,78 m² — el real</w:t>
            </w:r>
          </w:p>
        </w:tc>
      </w:tr>
      <w:tr>
        <w:tc>
          <w:tcPr>
            <w:tcW w:type="dxa" w:w="3173"/>
          </w:tcPr>
          <w:p>
            <w:r>
              <w:rPr>
                <w:sz w:val="19"/>
              </w:rPr>
            </w:r>
            <w:r>
              <w:rPr>
                <w:sz w:val="19"/>
              </w:rPr>
              <w:t>Cebolla</w:t>
            </w:r>
          </w:p>
        </w:tc>
        <w:tc>
          <w:tcPr>
            <w:tcW w:type="dxa" w:w="3173"/>
          </w:tcPr>
          <w:p>
            <w:r>
              <w:rPr>
                <w:sz w:val="19"/>
              </w:rPr>
            </w:r>
            <w:r>
              <w:rPr>
                <w:sz w:val="19"/>
              </w:rPr>
              <w:t>3.237.394 m²</w:t>
            </w:r>
          </w:p>
        </w:tc>
        <w:tc>
          <w:tcPr>
            <w:tcW w:type="dxa" w:w="3173"/>
          </w:tcPr>
          <w:p>
            <w:r>
              <w:rPr>
                <w:sz w:val="19"/>
              </w:rPr>
            </w:r>
            <w:r>
              <w:rPr>
                <w:sz w:val="19"/>
              </w:rPr>
              <w:t>3.237.394 m² — el páramo</w:t>
            </w:r>
          </w:p>
        </w:tc>
      </w:tr>
      <w:tr>
        <w:tc>
          <w:tcPr>
            <w:tcW w:type="dxa" w:w="3173"/>
          </w:tcPr>
          <w:p>
            <w:r>
              <w:rPr>
                <w:sz w:val="19"/>
              </w:rPr>
            </w:r>
            <w:r>
              <w:rPr>
                <w:sz w:val="19"/>
              </w:rPr>
              <w:t>Pasto no mejorado</w:t>
            </w:r>
          </w:p>
        </w:tc>
        <w:tc>
          <w:tcPr>
            <w:tcW w:type="dxa" w:w="3173"/>
          </w:tcPr>
          <w:p>
            <w:r>
              <w:rPr>
                <w:sz w:val="19"/>
              </w:rPr>
            </w:r>
            <w:r>
              <w:rPr>
                <w:sz w:val="19"/>
              </w:rPr>
              <w:t>500 m²</w:t>
            </w:r>
          </w:p>
        </w:tc>
        <w:tc>
          <w:tcPr>
            <w:tcW w:type="dxa" w:w="3173"/>
          </w:tcPr>
          <w:p>
            <w:r>
              <w:rPr>
                <w:sz w:val="19"/>
              </w:rPr>
            </w:r>
            <w:r>
              <w:rPr>
                <w:sz w:val="19"/>
              </w:rPr>
              <w:t>3.237.394 m² — el páramo</w:t>
            </w:r>
          </w:p>
        </w:tc>
      </w:tr>
    </w:tbl>
    <w:p>
      <w:pPr>
        <w:spacing w:after="40"/>
      </w:pPr>
    </w:p>
    <w:p>
      <w:pPr>
        <w:jc w:val="both"/>
      </w:pPr>
      <w:r>
        <w:t>Las dos primeras suman exactamente el predio catastrado a su nombre. Las otras dos son el mismo dato escalado al polígono equivocado.</w:t>
      </w:r>
    </w:p>
    <w:p>
      <w:pPr>
        <w:jc w:val="both"/>
      </w:pPr>
      <w:r>
        <w:rPr>
          <w:b/>
        </w:rPr>
        <w:t>Qué se hizo.</w:t>
      </w:r>
      <w:r>
        <w:t xml:space="preserve"> La ficha pasó a su predio real, se retiraron los dos registros de cultivo escalados al páramo y se eliminó una ficha adicional que repetía ese mismo predio. La titular </w:t>
      </w:r>
      <w:r>
        <w:rPr>
          <w:b/>
        </w:rPr>
        <w:t>sigue en el padrón</w:t>
      </w:r>
      <w:r>
        <w:t xml:space="preserve"> como regante, con su caudal, sus animales y su producción real.</w:t>
      </w:r>
    </w:p>
    <w:p>
      <w:pPr>
        <w:jc w:val="both"/>
      </w:pPr>
      <w:r>
        <w:rPr>
          <w:b/>
        </w:rPr>
        <w:t>Qué se movió:</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Antes</w:t>
            </w:r>
          </w:p>
        </w:tc>
        <w:tc>
          <w:tcPr>
            <w:tcW w:type="dxa" w:w="3173"/>
            <w:shd w:val="clear" w:color="auto" w:fill="1F4E79"/>
          </w:tcPr>
          <w:p>
            <w:r>
              <w:rPr>
                <w:color w:val="FFFFFF"/>
                <w:sz w:val="19"/>
              </w:rPr>
            </w:r>
            <w:r>
              <w:rPr>
                <w:b/>
                <w:color w:val="FFFFFF"/>
                <w:sz w:val="19"/>
              </w:rPr>
              <w:t>Ahora</w:t>
            </w:r>
          </w:p>
        </w:tc>
      </w:tr>
      <w:tr>
        <w:tc>
          <w:tcPr>
            <w:tcW w:type="dxa" w:w="3173"/>
          </w:tcPr>
          <w:p>
            <w:r>
              <w:rPr>
                <w:sz w:val="19"/>
              </w:rPr>
            </w:r>
            <w:r>
              <w:rPr>
                <w:sz w:val="19"/>
              </w:rPr>
              <w:t>Superficie total</w:t>
            </w:r>
          </w:p>
        </w:tc>
        <w:tc>
          <w:tcPr>
            <w:tcW w:type="dxa" w:w="3173"/>
          </w:tcPr>
          <w:p>
            <w:r>
              <w:rPr>
                <w:sz w:val="19"/>
              </w:rPr>
            </w:r>
            <w:r>
              <w:rPr>
                <w:sz w:val="19"/>
              </w:rPr>
              <w:t>10.196,51 ha</w:t>
            </w:r>
          </w:p>
        </w:tc>
        <w:tc>
          <w:tcPr>
            <w:tcW w:type="dxa" w:w="3173"/>
          </w:tcPr>
          <w:p>
            <w:r>
              <w:rPr>
                <w:sz w:val="19"/>
              </w:rPr>
            </w:r>
            <w:r>
              <w:rPr>
                <w:sz w:val="19"/>
              </w:rPr>
              <w:t>9.872,77 ha</w:t>
            </w:r>
          </w:p>
        </w:tc>
      </w:tr>
      <w:tr>
        <w:tc>
          <w:tcPr>
            <w:tcW w:type="dxa" w:w="3173"/>
          </w:tcPr>
          <w:p>
            <w:r>
              <w:rPr>
                <w:sz w:val="19"/>
              </w:rPr>
            </w:r>
            <w:r>
              <w:rPr>
                <w:sz w:val="19"/>
              </w:rPr>
              <w:t>Superficie bajo riego</w:t>
            </w:r>
          </w:p>
        </w:tc>
        <w:tc>
          <w:tcPr>
            <w:tcW w:type="dxa" w:w="3173"/>
          </w:tcPr>
          <w:p>
            <w:r>
              <w:rPr>
                <w:sz w:val="19"/>
              </w:rPr>
            </w:r>
            <w:r>
              <w:rPr>
                <w:sz w:val="19"/>
              </w:rPr>
              <w:t>7.633,76 ha</w:t>
            </w:r>
          </w:p>
        </w:tc>
        <w:tc>
          <w:tcPr>
            <w:tcW w:type="dxa" w:w="3173"/>
          </w:tcPr>
          <w:p>
            <w:r>
              <w:rPr>
                <w:sz w:val="19"/>
              </w:rPr>
            </w:r>
            <w:r>
              <w:rPr>
                <w:sz w:val="19"/>
              </w:rPr>
              <w:t>7.310,02 ha</w:t>
            </w:r>
          </w:p>
        </w:tc>
      </w:tr>
      <w:tr>
        <w:tc>
          <w:tcPr>
            <w:tcW w:type="dxa" w:w="3173"/>
          </w:tcPr>
          <w:p>
            <w:r>
              <w:rPr>
                <w:sz w:val="19"/>
              </w:rPr>
            </w:r>
            <w:r>
              <w:rPr>
                <w:b/>
                <w:sz w:val="19"/>
              </w:rPr>
              <w:t>Cebolla</w:t>
            </w:r>
          </w:p>
        </w:tc>
        <w:tc>
          <w:tcPr>
            <w:tcW w:type="dxa" w:w="3173"/>
          </w:tcPr>
          <w:p>
            <w:r>
              <w:rPr>
                <w:sz w:val="19"/>
              </w:rPr>
            </w:r>
            <w:r>
              <w:rPr>
                <w:b/>
                <w:sz w:val="19"/>
              </w:rPr>
              <w:t>984,7 ha</w:t>
            </w:r>
          </w:p>
        </w:tc>
        <w:tc>
          <w:tcPr>
            <w:tcW w:type="dxa" w:w="3173"/>
          </w:tcPr>
          <w:p>
            <w:r>
              <w:rPr>
                <w:sz w:val="19"/>
              </w:rPr>
            </w:r>
            <w:r>
              <w:rPr>
                <w:b/>
                <w:sz w:val="19"/>
              </w:rPr>
              <w:t>660,9 ha</w:t>
            </w:r>
          </w:p>
        </w:tc>
      </w:tr>
      <w:tr>
        <w:tc>
          <w:tcPr>
            <w:tcW w:type="dxa" w:w="3173"/>
          </w:tcPr>
          <w:p>
            <w:r>
              <w:rPr>
                <w:sz w:val="19"/>
              </w:rPr>
            </w:r>
            <w:r>
              <w:rPr>
                <w:sz w:val="19"/>
              </w:rPr>
              <w:t>Superficie media de cebolla por predio</w:t>
            </w:r>
          </w:p>
        </w:tc>
        <w:tc>
          <w:tcPr>
            <w:tcW w:type="dxa" w:w="3173"/>
          </w:tcPr>
          <w:p>
            <w:r>
              <w:rPr>
                <w:sz w:val="19"/>
              </w:rPr>
            </w:r>
            <w:r>
              <w:rPr>
                <w:sz w:val="19"/>
              </w:rPr>
              <w:t>4.750 m²</w:t>
            </w:r>
          </w:p>
        </w:tc>
        <w:tc>
          <w:tcPr>
            <w:tcW w:type="dxa" w:w="3173"/>
          </w:tcPr>
          <w:p>
            <w:r>
              <w:rPr>
                <w:sz w:val="19"/>
              </w:rPr>
            </w:r>
            <w:r>
              <w:rPr>
                <w:sz w:val="19"/>
              </w:rPr>
              <w:t>3.191 m²</w:t>
            </w:r>
          </w:p>
        </w:tc>
      </w:tr>
      <w:tr>
        <w:tc>
          <w:tcPr>
            <w:tcW w:type="dxa" w:w="3173"/>
          </w:tcPr>
          <w:p>
            <w:r>
              <w:rPr>
                <w:sz w:val="19"/>
              </w:rPr>
            </w:r>
            <w:r>
              <w:rPr>
                <w:sz w:val="19"/>
              </w:rPr>
              <w:t>Fichas</w:t>
            </w:r>
          </w:p>
        </w:tc>
        <w:tc>
          <w:tcPr>
            <w:tcW w:type="dxa" w:w="3173"/>
          </w:tcPr>
          <w:p>
            <w:r>
              <w:rPr>
                <w:sz w:val="19"/>
              </w:rPr>
            </w:r>
            <w:r>
              <w:rPr>
                <w:sz w:val="19"/>
              </w:rPr>
              <w:t>6.831</w:t>
            </w:r>
          </w:p>
        </w:tc>
        <w:tc>
          <w:tcPr>
            <w:tcW w:type="dxa" w:w="3173"/>
          </w:tcPr>
          <w:p>
            <w:r>
              <w:rPr>
                <w:sz w:val="19"/>
              </w:rPr>
            </w:r>
            <w:r>
              <w:rPr>
                <w:sz w:val="19"/>
              </w:rPr>
              <w:t>6.830</w:t>
            </w:r>
          </w:p>
        </w:tc>
      </w:tr>
      <w:tr>
        <w:tc>
          <w:tcPr>
            <w:tcW w:type="dxa" w:w="3173"/>
          </w:tcPr>
          <w:p>
            <w:r>
              <w:rPr>
                <w:sz w:val="19"/>
              </w:rPr>
            </w:r>
            <w:r>
              <w:rPr>
                <w:sz w:val="19"/>
              </w:rPr>
              <w:t>Predios adicionales</w:t>
            </w:r>
          </w:p>
        </w:tc>
        <w:tc>
          <w:tcPr>
            <w:tcW w:type="dxa" w:w="3173"/>
          </w:tcPr>
          <w:p>
            <w:r>
              <w:rPr>
                <w:sz w:val="19"/>
              </w:rPr>
            </w:r>
            <w:r>
              <w:rPr>
                <w:sz w:val="19"/>
              </w:rPr>
              <w:t>2.524</w:t>
            </w:r>
          </w:p>
        </w:tc>
        <w:tc>
          <w:tcPr>
            <w:tcW w:type="dxa" w:w="3173"/>
          </w:tcPr>
          <w:p>
            <w:r>
              <w:rPr>
                <w:sz w:val="19"/>
              </w:rPr>
            </w:r>
            <w:r>
              <w:rPr>
                <w:sz w:val="19"/>
              </w:rPr>
              <w:t>2.523</w:t>
            </w:r>
          </w:p>
        </w:tc>
      </w:tr>
      <w:tr>
        <w:tc>
          <w:tcPr>
            <w:tcW w:type="dxa" w:w="3173"/>
          </w:tcPr>
          <w:p>
            <w:r>
              <w:rPr>
                <w:sz w:val="19"/>
              </w:rPr>
            </w:r>
            <w:r>
              <w:rPr>
                <w:sz w:val="19"/>
              </w:rPr>
              <w:t>Regantes</w:t>
            </w:r>
          </w:p>
        </w:tc>
        <w:tc>
          <w:tcPr>
            <w:tcW w:type="dxa" w:w="3173"/>
          </w:tcPr>
          <w:p>
            <w:r>
              <w:rPr>
                <w:sz w:val="19"/>
              </w:rPr>
            </w:r>
            <w:r>
              <w:rPr>
                <w:sz w:val="19"/>
              </w:rPr>
              <w:t>4.307</w:t>
            </w:r>
          </w:p>
        </w:tc>
        <w:tc>
          <w:tcPr>
            <w:tcW w:type="dxa" w:w="3173"/>
          </w:tcPr>
          <w:p>
            <w:r>
              <w:rPr>
                <w:sz w:val="19"/>
              </w:rPr>
            </w:r>
            <w:r>
              <w:rPr>
                <w:sz w:val="19"/>
              </w:rPr>
              <w:t>4.307 — sin cambio</w:t>
            </w:r>
          </w:p>
        </w:tc>
      </w:tr>
    </w:tbl>
    <w:p>
      <w:pPr>
        <w:spacing w:after="40"/>
      </w:pPr>
    </w:p>
    <w:p>
      <w:pPr>
        <w:jc w:val="both"/>
      </w:pPr>
      <w:r>
        <w:t xml:space="preserve">La cebolla es el dato más afectado: </w:t>
      </w:r>
      <w:r>
        <w:rPr>
          <w:b/>
        </w:rPr>
        <w:t>esa sola ficha aportaba un tercio de toda la cebolla del sistema</w:t>
      </w:r>
      <w:r>
        <w:t>, y con ella la superficie media por predio de ese cultivo estaba sobrestimada en casi un 50 %.</w:t>
      </w:r>
    </w:p>
    <w:p>
      <w:pPr>
        <w:jc w:val="both"/>
      </w:pPr>
      <w:r>
        <w:rPr>
          <w:b/>
        </w:rPr>
        <w:t>Un efecto colateral que conviene señalar:</w:t>
      </w:r>
      <w:r>
        <w:t xml:space="preserve"> al retirar ese predio, la concentración de la tierra entre personas naturales baja del 52,4 % al 50,4 % —es el porcentaje de superficie que reúne el 10 % con más tierra—. La cifra anterior estaba inflada por un predio que nadie posee.</w:t>
      </w:r>
    </w:p>
    <w:p>
      <w:pPr>
        <w:pStyle w:val="Heading3"/>
        <w:spacing w:before="180" w:after="80"/>
      </w:pPr>
      <w:r>
        <w:rPr>
          <w:b/>
          <w:color w:val="1F4E79"/>
          <w:sz w:val="24"/>
        </w:rPr>
        <w:t>Y un punto decimal</w:t>
      </w:r>
    </w:p>
    <w:p>
      <w:pPr>
        <w:jc w:val="both"/>
      </w:pPr>
      <w:r>
        <w:t xml:space="preserve">El mismo día se corrigió un segundo dato, más sencillo. Una ficha de SAN ANTONIO declaraba </w:t>
      </w:r>
      <w:r>
        <w:rPr>
          <w:b/>
        </w:rPr>
        <w:t>876.733 m² de pasto</w:t>
      </w:r>
      <w:r>
        <w:t xml:space="preserve"> en un predio de </w:t>
      </w:r>
      <w:r>
        <w:rPr>
          <w:b/>
        </w:rPr>
        <w:t>8.767,33 m²</w:t>
      </w:r>
      <w:r>
        <w:t>: exactamente cien veces, el área del propio predio escrita sin el punto decimal. Se dividió entre cien, que es lo que la ficha venía diciendo.</w:t>
      </w:r>
    </w:p>
    <w:p>
      <w:pPr>
        <w:jc w:val="both"/>
      </w:pPr>
      <w:r>
        <w:t xml:space="preserve">Con eso, la </w:t>
      </w:r>
      <w:r>
        <w:rPr>
          <w:b/>
        </w:rPr>
        <w:t>superficie cultivada</w:t>
      </w:r>
      <w:r>
        <w:t xml:space="preserve"> del sistema queda en </w:t>
      </w:r>
      <w:r>
        <w:rPr>
          <w:b/>
        </w:rPr>
        <w:t>7.116 ha</w:t>
      </w:r>
      <w:r>
        <w:t xml:space="preserve"> (eran 7.527 antes de las dos correcciones de este día) y el pasto no mejorado baja de 3.215,7 a 3.128,6 ha.</w:t>
      </w:r>
    </w:p>
    <w:p>
      <w:pPr>
        <w:jc w:val="both"/>
      </w:pPr>
      <w:r>
        <w:t xml:space="preserve">Al medirlo apareció algo que conviene tener presente: </w:t>
      </w:r>
      <w:r>
        <w:rPr>
          <w:b/>
        </w:rPr>
        <w:t>153 fichas declaran más superficie sembrada que la que su predio mide</w:t>
      </w:r>
      <w:r>
        <w:t xml:space="preserve">, con 261 ha de exceso en total. Solo esta era un error aritmético indiscutible; las demás pueden ser terreno arrendado fuera del predio, que es una práctica normal, y </w:t>
      </w:r>
      <w:r>
        <w:rPr>
          <w:b/>
        </w:rPr>
        <w:t>no se han tocado</w:t>
      </w:r>
      <w:r>
        <w:t>. Están listadas para revisarlas con calma.</w:t>
      </w:r>
    </w:p>
    <w:p>
      <w:pPr>
        <w:spacing w:before="40" w:after="160"/>
        <w:pBdr>
          <w:bottom w:val="single" w:sz="6" w:color="BFBFBF"/>
        </w:pBdr>
      </w:pPr>
    </w:p>
    <w:p>
      <w:pPr>
        <w:pStyle w:val="Heading2"/>
        <w:spacing w:before="240" w:after="80"/>
      </w:pPr>
      <w:r>
        <w:rPr>
          <w:b/>
          <w:color w:val="1F4E79"/>
          <w:sz w:val="28"/>
        </w:rPr>
        <w:t>Lo que no cambió</w:t>
      </w:r>
    </w:p>
    <w:p>
      <w:pPr>
        <w:pStyle w:val="ListBullet"/>
        <w:spacing w:after="60"/>
      </w:pPr>
      <w:r>
        <w:rPr>
          <w:b/>
        </w:rPr>
        <w:t>El número de regantes</w:t>
      </w:r>
      <w:r>
        <w:t>: 4.307. No se eliminó ni se añadió ninguna persona. Las fichas pasan de 6.831 a 6.830 porque se retiró un predio duplicado, no un titular.</w:t>
      </w:r>
    </w:p>
    <w:p>
      <w:pPr>
        <w:pStyle w:val="ListBullet"/>
        <w:spacing w:after="60"/>
      </w:pPr>
      <w:r>
        <w:rPr>
          <w:b/>
        </w:rPr>
        <w:t>El caudal del sistema</w:t>
      </w:r>
      <w:r>
        <w:t>: 950 l/s, igual que antes. Se calcula por comunidad y no depende de estas superficies.</w:t>
      </w:r>
    </w:p>
    <w:p>
      <w:pPr>
        <w:pStyle w:val="ListBullet"/>
        <w:spacing w:after="60"/>
      </w:pPr>
      <w:r>
        <w:rPr>
          <w:b/>
        </w:rPr>
        <w:t>La superficie de cada predio según el catastro municipal</w:t>
      </w:r>
      <w:r>
        <w:t>: no se tocó.</w:t>
      </w:r>
    </w:p>
    <w:p>
      <w:pPr>
        <w:spacing w:before="40" w:after="160"/>
        <w:pBdr>
          <w:bottom w:val="single" w:sz="6" w:color="BFBFBF"/>
        </w:pBdr>
      </w:pPr>
    </w:p>
    <w:p>
      <w:pPr>
        <w:pStyle w:val="Heading2"/>
        <w:spacing w:before="240" w:after="80"/>
      </w:pPr>
      <w:r>
        <w:rPr>
          <w:b/>
          <w:color w:val="1F4E79"/>
          <w:sz w:val="28"/>
        </w:rPr>
        <w:t>Qué sigue abierto</w:t>
      </w:r>
    </w:p>
    <w:p>
      <w:pPr>
        <w:jc w:val="both"/>
      </w:pPr>
      <w:r>
        <w:t xml:space="preserve">Quedan </w:t>
      </w:r>
      <w:r>
        <w:rPr>
          <w:b/>
        </w:rPr>
        <w:t>305 predios</w:t>
      </w:r>
      <w:r>
        <w:t xml:space="preserve"> en los que la superficie declarada supera la del polígono catastral, con </w:t>
      </w:r>
      <w:r>
        <w:rPr>
          <w:b/>
        </w:rPr>
        <w:t>1.859,05 hectáreas</w:t>
      </w:r>
      <w:r>
        <w:t xml:space="preserve"> de diferencia. Casi todos son predios con varios titulares donde cada uno declaró el predio completo.</w:t>
      </w:r>
    </w:p>
    <w:p>
      <w:pPr>
        <w:jc w:val="both"/>
      </w:pPr>
      <w:r>
        <w:t>Están identificados uno por uno, y cada caso indica qué le falta para cerrarse: si nadie anotó su parte, si falta alguna ficha por anotar, o si lo anotado no llega a cubrir el predio. Se pueden consultar en la plataforma, en la pantalla de auditoría de áreas.</w:t>
      </w:r>
    </w:p>
    <w:p>
      <w:pPr>
        <w:jc w:val="both"/>
      </w:pPr>
      <w:r>
        <w:t xml:space="preserve">También está por decidir un criterio de fondo: </w:t>
      </w:r>
      <w:r>
        <w:rPr>
          <w:b/>
        </w:rPr>
        <w:t>cuando la superficie declarada en campo y la del catastro municipal no coinciden, cuál de las dos manda</w:t>
      </w:r>
      <w:r>
        <w:t>. Hoy conviven ambas según el uso; unificarlas dejaría una única superficie oficial para todo el estudio.</w:t>
      </w:r>
    </w:p>
    <w:p>
      <w:pPr>
        <w:spacing w:before="40" w:after="160"/>
        <w:pBdr>
          <w:bottom w:val="single" w:sz="6" w:color="BFBFBF"/>
        </w:pBdr>
      </w:pPr>
    </w:p>
    <w:p>
      <w:pPr>
        <w:pStyle w:val="Heading2"/>
        <w:spacing w:before="240" w:after="80"/>
      </w:pPr>
      <w:r>
        <w:rPr>
          <w:b/>
          <w:color w:val="1F4E79"/>
          <w:sz w:val="28"/>
        </w:rPr>
        <w:t>Cómo comprobarlo</w:t>
      </w:r>
    </w:p>
    <w:p>
      <w:pPr>
        <w:jc w:val="both"/>
      </w:pPr>
      <w:r>
        <w:t>Todas las cifras de este documento se recalculan desde el archivo de campo cada vez que se actualiza el padrón. La pantalla de auditoría de áreas muestra el estado al día: cuántas fichas tienen ya su superficie cuadrada, cuántas conservan alguna inconsistencia y de qué tipo es cada una.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