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Base declarada al Consejo Provincial y excedente registrado</w:t>
      </w:r>
    </w:p>
    <w:p>
      <w:pPr>
        <w:jc w:val="both"/>
      </w:pPr>
      <w:r>
        <w:rPr>
          <w:b/>
        </w:rPr>
        <w:t>Para:</w:t>
      </w:r>
      <w:r>
        <w:t xml:space="preserve"> Armando — coordinación del proyecto </w:t>
      </w:r>
      <w:r>
        <w:rPr>
          <w:b/>
        </w:rPr>
        <w:t>Asunto:</w:t>
      </w:r>
      <w:r>
        <w:t xml:space="preserve"> las 6 fichas del 5 de agosto que quedan por encima de la base de 6.825 </w:t>
      </w:r>
      <w:r>
        <w:rPr>
          <w:b/>
        </w:rPr>
        <w:t>Fecha:</w:t>
      </w:r>
      <w:r>
        <w:t xml:space="preserve"> 12 de agosto de 2026 </w:t>
      </w:r>
      <w:r>
        <w:rPr>
          <w:b/>
        </w:rPr>
        <w:t>Fuente:</w:t>
      </w:r>
      <w:r>
        <w:t xml:space="preserve"> </w:t>
      </w:r>
      <w:r>
        <w:rPr>
          <w:rFonts w:ascii="Consolas" w:hAnsi="Consolas"/>
          <w:color w:val="8B2500"/>
          <w:sz w:val="19"/>
        </w:rPr>
        <w:t>data.gpkg</w:t>
      </w:r>
      <w:r>
        <w:t xml:space="preserve"> de QField sincronizado el 12/08/2026 a las 09:45, más el historial del repositorio del padrón</w:t>
      </w:r>
    </w:p>
    <w:p>
      <w:pPr>
        <w:spacing w:before="40" w:after="160"/>
        <w:pBdr>
          <w:bottom w:val="single" w:sz="6" w:color="BFBFBF"/>
        </w:pBdr>
      </w:pPr>
    </w:p>
    <w:p>
      <w:pPr>
        <w:pStyle w:val="Heading2"/>
        <w:spacing w:before="240" w:after="80"/>
      </w:pPr>
      <w:r>
        <w:rPr>
          <w:b/>
          <w:color w:val="1F4E79"/>
          <w:sz w:val="28"/>
        </w:rPr>
        <w:t>1. La base declarada es la correcta</w:t>
      </w:r>
    </w:p>
    <w:p>
      <w:pPr>
        <w:jc w:val="both"/>
      </w:pPr>
      <w:r>
        <w:t>El número que se comunicó al Consejo Provincial —</w:t>
      </w:r>
      <w:r>
        <w:rPr>
          <w:b/>
        </w:rPr>
        <w:t>4.305 predios principales y 2.520 adicionales, 6.825 en total</w:t>
      </w:r>
      <w:r>
        <w:t xml:space="preserve">— coincide </w:t>
      </w:r>
      <w:r>
        <w:rPr>
          <w:b/>
        </w:rPr>
        <w:t>exactamente</w:t>
      </w:r>
      <w:r>
        <w:t xml:space="preserve"> con el estado del padrón al 4 de agosto. Se verificó reconstruyendo ese corte desde el archivo de hoy: da 4.305 y 2.520, sin diferencia.</w:t>
      </w:r>
    </w:p>
    <w:p>
      <w:pPr>
        <w:jc w:val="both"/>
      </w:pPr>
      <w:r>
        <w:t xml:space="preserve">Conviene saber que el informe entregado ese mismo día decía </w:t>
      </w:r>
      <w:r>
        <w:rPr>
          <w:b/>
        </w:rPr>
        <w:t>6.826</w:t>
      </w:r>
      <w:r>
        <w:t xml:space="preserve">, un predio adicional más. Esa ficha desapareció del padrón entre el 4 y el 12 de agosto —se eliminó desde una tablet y la baja llegó en la sincronización— así que </w:t>
      </w:r>
      <w:r>
        <w:rPr>
          <w:b/>
        </w:rPr>
        <w:t>la cifra declarada es la buena y el informe del 4 de agosto es el que tenía uno de más</w:t>
      </w:r>
      <w:r>
        <w:t>, no al revés.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p>
        </w:tc>
        <w:tc>
          <w:tcPr>
            <w:tcW w:type="dxa" w:w="2379"/>
            <w:shd w:val="clear" w:color="auto" w:fill="1F4E79"/>
          </w:tcPr>
          <w:p>
            <w:r>
              <w:rPr>
                <w:color w:val="FFFFFF"/>
                <w:sz w:val="19"/>
              </w:rPr>
            </w:r>
            <w:r>
              <w:rPr>
                <w:b/>
                <w:color w:val="FFFFFF"/>
                <w:sz w:val="19"/>
              </w:rPr>
              <w:t>Declarado al Consejo</w:t>
            </w:r>
          </w:p>
        </w:tc>
        <w:tc>
          <w:tcPr>
            <w:tcW w:type="dxa" w:w="2379"/>
            <w:shd w:val="clear" w:color="auto" w:fill="1F4E79"/>
          </w:tcPr>
          <w:p>
            <w:r>
              <w:rPr>
                <w:color w:val="FFFFFF"/>
                <w:sz w:val="19"/>
              </w:rPr>
            </w:r>
            <w:r>
              <w:rPr>
                <w:b/>
                <w:color w:val="FFFFFF"/>
                <w:sz w:val="19"/>
              </w:rPr>
              <w:t>Informe del 4-ago</w:t>
            </w:r>
          </w:p>
        </w:tc>
        <w:tc>
          <w:tcPr>
            <w:tcW w:type="dxa" w:w="2379"/>
            <w:shd w:val="clear" w:color="auto" w:fill="1F4E79"/>
          </w:tcPr>
          <w:p>
            <w:r>
              <w:rPr>
                <w:color w:val="FFFFFF"/>
                <w:sz w:val="19"/>
              </w:rPr>
            </w:r>
            <w:r>
              <w:rPr>
                <w:b/>
                <w:color w:val="FFFFFF"/>
                <w:sz w:val="19"/>
              </w:rPr>
              <w:t>Padrón hoy</w:t>
            </w:r>
          </w:p>
        </w:tc>
      </w:tr>
      <w:tr>
        <w:tc>
          <w:tcPr>
            <w:tcW w:type="dxa" w:w="2379"/>
          </w:tcPr>
          <w:p>
            <w:r>
              <w:rPr>
                <w:sz w:val="19"/>
              </w:rPr>
            </w:r>
            <w:r>
              <w:rPr>
                <w:sz w:val="19"/>
              </w:rPr>
              <w:t>Principales</w:t>
            </w:r>
          </w:p>
        </w:tc>
        <w:tc>
          <w:tcPr>
            <w:tcW w:type="dxa" w:w="2379"/>
          </w:tcPr>
          <w:p>
            <w:r>
              <w:rPr>
                <w:sz w:val="19"/>
              </w:rPr>
            </w:r>
            <w:r>
              <w:rPr>
                <w:sz w:val="19"/>
              </w:rPr>
              <w:t>4.305</w:t>
            </w:r>
          </w:p>
        </w:tc>
        <w:tc>
          <w:tcPr>
            <w:tcW w:type="dxa" w:w="2379"/>
          </w:tcPr>
          <w:p>
            <w:r>
              <w:rPr>
                <w:sz w:val="19"/>
              </w:rPr>
            </w:r>
            <w:r>
              <w:rPr>
                <w:sz w:val="19"/>
              </w:rPr>
              <w:t>4.305</w:t>
            </w:r>
          </w:p>
        </w:tc>
        <w:tc>
          <w:tcPr>
            <w:tcW w:type="dxa" w:w="2379"/>
          </w:tcPr>
          <w:p>
            <w:r>
              <w:rPr>
                <w:sz w:val="19"/>
              </w:rPr>
            </w:r>
            <w:r>
              <w:rPr>
                <w:sz w:val="19"/>
              </w:rPr>
              <w:t>4.307</w:t>
            </w:r>
          </w:p>
        </w:tc>
      </w:tr>
      <w:tr>
        <w:tc>
          <w:tcPr>
            <w:tcW w:type="dxa" w:w="2379"/>
          </w:tcPr>
          <w:p>
            <w:r>
              <w:rPr>
                <w:sz w:val="19"/>
              </w:rPr>
            </w:r>
            <w:r>
              <w:rPr>
                <w:sz w:val="19"/>
              </w:rPr>
              <w:t>Adicionales</w:t>
            </w:r>
          </w:p>
        </w:tc>
        <w:tc>
          <w:tcPr>
            <w:tcW w:type="dxa" w:w="2379"/>
          </w:tcPr>
          <w:p>
            <w:r>
              <w:rPr>
                <w:sz w:val="19"/>
              </w:rPr>
            </w:r>
            <w:r>
              <w:rPr>
                <w:sz w:val="19"/>
              </w:rPr>
              <w:t>2.520</w:t>
            </w:r>
          </w:p>
        </w:tc>
        <w:tc>
          <w:tcPr>
            <w:tcW w:type="dxa" w:w="2379"/>
          </w:tcPr>
          <w:p>
            <w:r>
              <w:rPr>
                <w:sz w:val="19"/>
              </w:rPr>
            </w:r>
            <w:r>
              <w:rPr>
                <w:sz w:val="19"/>
              </w:rPr>
              <w:t>2.521</w:t>
            </w:r>
          </w:p>
        </w:tc>
        <w:tc>
          <w:tcPr>
            <w:tcW w:type="dxa" w:w="2379"/>
          </w:tcPr>
          <w:p>
            <w:r>
              <w:rPr>
                <w:sz w:val="19"/>
              </w:rPr>
            </w:r>
            <w:r>
              <w:rPr>
                <w:sz w:val="19"/>
              </w:rPr>
              <w:t>2.524</w:t>
            </w:r>
          </w:p>
        </w:tc>
      </w:tr>
      <w:tr>
        <w:tc>
          <w:tcPr>
            <w:tcW w:type="dxa" w:w="2379"/>
          </w:tcPr>
          <w:p>
            <w:r>
              <w:rPr>
                <w:sz w:val="19"/>
              </w:rPr>
            </w:r>
            <w:r>
              <w:rPr>
                <w:b/>
                <w:sz w:val="19"/>
              </w:rPr>
              <w:t>Total</w:t>
            </w:r>
          </w:p>
        </w:tc>
        <w:tc>
          <w:tcPr>
            <w:tcW w:type="dxa" w:w="2379"/>
          </w:tcPr>
          <w:p>
            <w:r>
              <w:rPr>
                <w:sz w:val="19"/>
              </w:rPr>
            </w:r>
            <w:r>
              <w:rPr>
                <w:b/>
                <w:sz w:val="19"/>
              </w:rPr>
              <w:t>6.825</w:t>
            </w:r>
          </w:p>
        </w:tc>
        <w:tc>
          <w:tcPr>
            <w:tcW w:type="dxa" w:w="2379"/>
          </w:tcPr>
          <w:p>
            <w:r>
              <w:rPr>
                <w:sz w:val="19"/>
              </w:rPr>
            </w:r>
            <w:r>
              <w:rPr>
                <w:sz w:val="19"/>
              </w:rPr>
              <w:t>6.826</w:t>
            </w:r>
          </w:p>
        </w:tc>
        <w:tc>
          <w:tcPr>
            <w:tcW w:type="dxa" w:w="2379"/>
          </w:tcPr>
          <w:p>
            <w:r>
              <w:rPr>
                <w:sz w:val="19"/>
              </w:rPr>
            </w:r>
            <w:r>
              <w:rPr>
                <w:b/>
                <w:sz w:val="19"/>
              </w:rPr>
              <w:t>6.831</w:t>
            </w:r>
          </w:p>
        </w:tc>
      </w:tr>
    </w:tbl>
    <w:p>
      <w:pPr>
        <w:spacing w:after="40"/>
      </w:pPr>
    </w:p>
    <w:p>
      <w:pPr>
        <w:spacing w:before="40" w:after="160"/>
        <w:pBdr>
          <w:bottom w:val="single" w:sz="6" w:color="BFBFBF"/>
        </w:pBdr>
      </w:pPr>
    </w:p>
    <w:p>
      <w:pPr>
        <w:pStyle w:val="Heading2"/>
        <w:spacing w:before="240" w:after="80"/>
      </w:pPr>
      <w:r>
        <w:rPr>
          <w:b/>
          <w:color w:val="1F4E79"/>
          <w:sz w:val="28"/>
        </w:rPr>
        <w:t>2. Qué es exactamente el excedente</w:t>
      </w:r>
    </w:p>
    <w:p>
      <w:pPr>
        <w:jc w:val="both"/>
      </w:pPr>
      <w:r>
        <w:t xml:space="preserve">Son </w:t>
      </w:r>
      <w:r>
        <w:rPr>
          <w:b/>
        </w:rPr>
        <w:t>6 fichas levantadas por Pablo Barrionuevo el 5 de agosto</w:t>
      </w:r>
      <w:r>
        <w:t>, entre las 18:20 y las 18:59, en Otoncito y Pambamarquito:</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Clave catastral</w:t>
            </w:r>
          </w:p>
        </w:tc>
        <w:tc>
          <w:tcPr>
            <w:tcW w:type="dxa" w:w="1586"/>
            <w:shd w:val="clear" w:color="auto" w:fill="1F4E79"/>
          </w:tcPr>
          <w:p>
            <w:r>
              <w:rPr>
                <w:color w:val="FFFFFF"/>
                <w:sz w:val="19"/>
              </w:rPr>
            </w:r>
            <w:r>
              <w:rPr>
                <w:b/>
                <w:color w:val="FFFFFF"/>
                <w:sz w:val="19"/>
              </w:rPr>
              <w:t>Regante</w:t>
            </w:r>
          </w:p>
        </w:tc>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Tipo</w:t>
            </w:r>
          </w:p>
        </w:tc>
        <w:tc>
          <w:tcPr>
            <w:tcW w:type="dxa" w:w="1586"/>
            <w:shd w:val="clear" w:color="auto" w:fill="1F4E79"/>
          </w:tcPr>
          <w:p>
            <w:r>
              <w:rPr>
                <w:color w:val="FFFFFF"/>
                <w:sz w:val="19"/>
              </w:rPr>
            </w:r>
            <w:r>
              <w:rPr>
                <w:b/>
                <w:color w:val="FFFFFF"/>
                <w:sz w:val="19"/>
              </w:rPr>
              <w:t>Hora</w:t>
            </w:r>
          </w:p>
        </w:tc>
        <w:tc>
          <w:tcPr>
            <w:tcW w:type="dxa" w:w="1586"/>
            <w:shd w:val="clear" w:color="auto" w:fill="1F4E79"/>
          </w:tcPr>
          <w:p>
            <w:r>
              <w:rPr>
                <w:color w:val="FFFFFF"/>
                <w:sz w:val="19"/>
              </w:rPr>
            </w:r>
            <w:r>
              <w:rPr>
                <w:b/>
                <w:color w:val="FFFFFF"/>
                <w:sz w:val="19"/>
              </w:rPr>
              <w:t>Superficie</w:t>
            </w:r>
          </w:p>
        </w:tc>
      </w:tr>
      <w:tr>
        <w:tc>
          <w:tcPr>
            <w:tcW w:type="dxa" w:w="1586"/>
          </w:tcPr>
          <w:p>
            <w:r>
              <w:rPr>
                <w:sz w:val="19"/>
              </w:rPr>
            </w:r>
            <w:r>
              <w:rPr>
                <w:sz w:val="19"/>
              </w:rPr>
              <w:t>1702540050092</w:t>
            </w:r>
          </w:p>
        </w:tc>
        <w:tc>
          <w:tcPr>
            <w:tcW w:type="dxa" w:w="1586"/>
          </w:tcPr>
          <w:p>
            <w:r>
              <w:rPr>
                <w:sz w:val="19"/>
              </w:rPr>
            </w:r>
            <w:r>
              <w:rPr>
                <w:sz w:val="19"/>
              </w:rPr>
              <w:t>Sánchez Tandayamo Segundo Víctor</w:t>
            </w:r>
          </w:p>
        </w:tc>
        <w:tc>
          <w:tcPr>
            <w:tcW w:type="dxa" w:w="1586"/>
          </w:tcPr>
          <w:p>
            <w:r>
              <w:rPr>
                <w:sz w:val="19"/>
              </w:rPr>
            </w:r>
            <w:r>
              <w:rPr>
                <w:sz w:val="19"/>
              </w:rPr>
              <w:t>Otoncito</w:t>
            </w:r>
          </w:p>
        </w:tc>
        <w:tc>
          <w:tcPr>
            <w:tcW w:type="dxa" w:w="1586"/>
          </w:tcPr>
          <w:p>
            <w:r>
              <w:rPr>
                <w:sz w:val="19"/>
              </w:rPr>
            </w:r>
            <w:r>
              <w:rPr>
                <w:sz w:val="19"/>
              </w:rPr>
              <w:t>principal</w:t>
            </w:r>
          </w:p>
        </w:tc>
        <w:tc>
          <w:tcPr>
            <w:tcW w:type="dxa" w:w="1586"/>
          </w:tcPr>
          <w:p>
            <w:r>
              <w:rPr>
                <w:sz w:val="19"/>
              </w:rPr>
            </w:r>
            <w:r>
              <w:rPr>
                <w:sz w:val="19"/>
              </w:rPr>
              <w:t>18:20</w:t>
            </w:r>
          </w:p>
        </w:tc>
        <w:tc>
          <w:tcPr>
            <w:tcW w:type="dxa" w:w="1586"/>
          </w:tcPr>
          <w:p>
            <w:r>
              <w:rPr>
                <w:sz w:val="19"/>
              </w:rPr>
            </w:r>
            <w:r>
              <w:rPr>
                <w:sz w:val="19"/>
              </w:rPr>
              <w:t>1.024 m²</w:t>
            </w:r>
          </w:p>
        </w:tc>
      </w:tr>
      <w:tr>
        <w:tc>
          <w:tcPr>
            <w:tcW w:type="dxa" w:w="1586"/>
          </w:tcPr>
          <w:p>
            <w:r>
              <w:rPr>
                <w:sz w:val="19"/>
              </w:rPr>
            </w:r>
            <w:r>
              <w:rPr>
                <w:sz w:val="19"/>
              </w:rPr>
              <w:t>1702540050093</w:t>
            </w:r>
          </w:p>
        </w:tc>
        <w:tc>
          <w:tcPr>
            <w:tcW w:type="dxa" w:w="1586"/>
          </w:tcPr>
          <w:p>
            <w:r>
              <w:rPr>
                <w:sz w:val="19"/>
              </w:rPr>
            </w:r>
            <w:r>
              <w:rPr>
                <w:sz w:val="19"/>
              </w:rPr>
              <w:t>Sánchez Tandayamo Segundo Víctor</w:t>
            </w:r>
          </w:p>
        </w:tc>
        <w:tc>
          <w:tcPr>
            <w:tcW w:type="dxa" w:w="1586"/>
          </w:tcPr>
          <w:p>
            <w:r>
              <w:rPr>
                <w:sz w:val="19"/>
              </w:rPr>
            </w:r>
            <w:r>
              <w:rPr>
                <w:sz w:val="19"/>
              </w:rPr>
              <w:t>Otoncito</w:t>
            </w:r>
          </w:p>
        </w:tc>
        <w:tc>
          <w:tcPr>
            <w:tcW w:type="dxa" w:w="1586"/>
          </w:tcPr>
          <w:p>
            <w:r>
              <w:rPr>
                <w:sz w:val="19"/>
              </w:rPr>
            </w:r>
            <w:r>
              <w:rPr>
                <w:sz w:val="19"/>
              </w:rPr>
              <w:t>adicional</w:t>
            </w:r>
          </w:p>
        </w:tc>
        <w:tc>
          <w:tcPr>
            <w:tcW w:type="dxa" w:w="1586"/>
          </w:tcPr>
          <w:p>
            <w:r>
              <w:rPr>
                <w:sz w:val="19"/>
              </w:rPr>
            </w:r>
            <w:r>
              <w:rPr>
                <w:sz w:val="19"/>
              </w:rPr>
              <w:t>18:24</w:t>
            </w:r>
          </w:p>
        </w:tc>
        <w:tc>
          <w:tcPr>
            <w:tcW w:type="dxa" w:w="1586"/>
          </w:tcPr>
          <w:p>
            <w:r>
              <w:rPr>
                <w:sz w:val="19"/>
              </w:rPr>
            </w:r>
            <w:r>
              <w:rPr>
                <w:sz w:val="19"/>
              </w:rPr>
              <w:t>974 m²</w:t>
            </w:r>
          </w:p>
        </w:tc>
      </w:tr>
      <w:tr>
        <w:tc>
          <w:tcPr>
            <w:tcW w:type="dxa" w:w="1586"/>
          </w:tcPr>
          <w:p>
            <w:r>
              <w:rPr>
                <w:sz w:val="19"/>
              </w:rPr>
            </w:r>
            <w:r>
              <w:rPr>
                <w:sz w:val="19"/>
              </w:rPr>
              <w:t>1702540140044</w:t>
            </w:r>
          </w:p>
        </w:tc>
        <w:tc>
          <w:tcPr>
            <w:tcW w:type="dxa" w:w="1586"/>
          </w:tcPr>
          <w:p>
            <w:r>
              <w:rPr>
                <w:sz w:val="19"/>
              </w:rPr>
            </w:r>
            <w:r>
              <w:rPr>
                <w:sz w:val="19"/>
              </w:rPr>
              <w:t>Guaras Cobacango Luis Guido</w:t>
            </w:r>
          </w:p>
        </w:tc>
        <w:tc>
          <w:tcPr>
            <w:tcW w:type="dxa" w:w="1586"/>
          </w:tcPr>
          <w:p>
            <w:r>
              <w:rPr>
                <w:sz w:val="19"/>
              </w:rPr>
            </w:r>
            <w:r>
              <w:rPr>
                <w:sz w:val="19"/>
              </w:rPr>
              <w:t>Pambamarquito</w:t>
            </w:r>
          </w:p>
        </w:tc>
        <w:tc>
          <w:tcPr>
            <w:tcW w:type="dxa" w:w="1586"/>
          </w:tcPr>
          <w:p>
            <w:r>
              <w:rPr>
                <w:sz w:val="19"/>
              </w:rPr>
            </w:r>
            <w:r>
              <w:rPr>
                <w:sz w:val="19"/>
              </w:rPr>
              <w:t>adicional</w:t>
            </w:r>
          </w:p>
        </w:tc>
        <w:tc>
          <w:tcPr>
            <w:tcW w:type="dxa" w:w="1586"/>
          </w:tcPr>
          <w:p>
            <w:r>
              <w:rPr>
                <w:sz w:val="19"/>
              </w:rPr>
            </w:r>
            <w:r>
              <w:rPr>
                <w:sz w:val="19"/>
              </w:rPr>
              <w:t>18:31</w:t>
            </w:r>
          </w:p>
        </w:tc>
        <w:tc>
          <w:tcPr>
            <w:tcW w:type="dxa" w:w="1586"/>
          </w:tcPr>
          <w:p>
            <w:r>
              <w:rPr>
                <w:sz w:val="19"/>
              </w:rPr>
            </w:r>
            <w:r>
              <w:rPr>
                <w:sz w:val="19"/>
              </w:rPr>
              <w:t>1.813 m²</w:t>
            </w:r>
          </w:p>
        </w:tc>
      </w:tr>
      <w:tr>
        <w:tc>
          <w:tcPr>
            <w:tcW w:type="dxa" w:w="1586"/>
          </w:tcPr>
          <w:p>
            <w:r>
              <w:rPr>
                <w:sz w:val="19"/>
              </w:rPr>
            </w:r>
            <w:r>
              <w:rPr>
                <w:sz w:val="19"/>
              </w:rPr>
              <w:t>1702540050086</w:t>
            </w:r>
          </w:p>
        </w:tc>
        <w:tc>
          <w:tcPr>
            <w:tcW w:type="dxa" w:w="1586"/>
          </w:tcPr>
          <w:p>
            <w:r>
              <w:rPr>
                <w:sz w:val="19"/>
              </w:rPr>
            </w:r>
            <w:r>
              <w:rPr>
                <w:sz w:val="19"/>
              </w:rPr>
              <w:t>Cholango Guaras Pedro</w:t>
            </w:r>
          </w:p>
        </w:tc>
        <w:tc>
          <w:tcPr>
            <w:tcW w:type="dxa" w:w="1586"/>
          </w:tcPr>
          <w:p>
            <w:r>
              <w:rPr>
                <w:sz w:val="19"/>
              </w:rPr>
            </w:r>
            <w:r>
              <w:rPr>
                <w:sz w:val="19"/>
              </w:rPr>
              <w:t>Otoncito</w:t>
            </w:r>
          </w:p>
        </w:tc>
        <w:tc>
          <w:tcPr>
            <w:tcW w:type="dxa" w:w="1586"/>
          </w:tcPr>
          <w:p>
            <w:r>
              <w:rPr>
                <w:sz w:val="19"/>
              </w:rPr>
            </w:r>
            <w:r>
              <w:rPr>
                <w:sz w:val="19"/>
              </w:rPr>
              <w:t>principal</w:t>
            </w:r>
          </w:p>
        </w:tc>
        <w:tc>
          <w:tcPr>
            <w:tcW w:type="dxa" w:w="1586"/>
          </w:tcPr>
          <w:p>
            <w:r>
              <w:rPr>
                <w:sz w:val="19"/>
              </w:rPr>
            </w:r>
            <w:r>
              <w:rPr>
                <w:sz w:val="19"/>
              </w:rPr>
              <w:t>18:46</w:t>
            </w:r>
          </w:p>
        </w:tc>
        <w:tc>
          <w:tcPr>
            <w:tcW w:type="dxa" w:w="1586"/>
          </w:tcPr>
          <w:p>
            <w:r>
              <w:rPr>
                <w:sz w:val="19"/>
              </w:rPr>
            </w:r>
            <w:r>
              <w:rPr>
                <w:sz w:val="19"/>
              </w:rPr>
              <w:t>2.007 m²</w:t>
            </w:r>
          </w:p>
        </w:tc>
      </w:tr>
      <w:tr>
        <w:tc>
          <w:tcPr>
            <w:tcW w:type="dxa" w:w="1586"/>
          </w:tcPr>
          <w:p>
            <w:r>
              <w:rPr>
                <w:sz w:val="19"/>
              </w:rPr>
            </w:r>
            <w:r>
              <w:rPr>
                <w:sz w:val="19"/>
              </w:rPr>
              <w:t>1702540050088</w:t>
            </w:r>
          </w:p>
        </w:tc>
        <w:tc>
          <w:tcPr>
            <w:tcW w:type="dxa" w:w="1586"/>
          </w:tcPr>
          <w:p>
            <w:r>
              <w:rPr>
                <w:sz w:val="19"/>
              </w:rPr>
            </w:r>
            <w:r>
              <w:rPr>
                <w:sz w:val="19"/>
              </w:rPr>
              <w:t>Sánchez Tandayamo Rosa Elena</w:t>
            </w:r>
          </w:p>
        </w:tc>
        <w:tc>
          <w:tcPr>
            <w:tcW w:type="dxa" w:w="1586"/>
          </w:tcPr>
          <w:p>
            <w:r>
              <w:rPr>
                <w:sz w:val="19"/>
              </w:rPr>
            </w:r>
            <w:r>
              <w:rPr>
                <w:sz w:val="19"/>
              </w:rPr>
              <w:t>Otoncito</w:t>
            </w:r>
          </w:p>
        </w:tc>
        <w:tc>
          <w:tcPr>
            <w:tcW w:type="dxa" w:w="1586"/>
          </w:tcPr>
          <w:p>
            <w:r>
              <w:rPr>
                <w:sz w:val="19"/>
              </w:rPr>
            </w:r>
            <w:r>
              <w:rPr>
                <w:sz w:val="19"/>
              </w:rPr>
              <w:t>principal</w:t>
            </w:r>
          </w:p>
        </w:tc>
        <w:tc>
          <w:tcPr>
            <w:tcW w:type="dxa" w:w="1586"/>
          </w:tcPr>
          <w:p>
            <w:r>
              <w:rPr>
                <w:sz w:val="19"/>
              </w:rPr>
            </w:r>
            <w:r>
              <w:rPr>
                <w:sz w:val="19"/>
              </w:rPr>
              <w:t>18:54</w:t>
            </w:r>
          </w:p>
        </w:tc>
        <w:tc>
          <w:tcPr>
            <w:tcW w:type="dxa" w:w="1586"/>
          </w:tcPr>
          <w:p>
            <w:r>
              <w:rPr>
                <w:sz w:val="19"/>
              </w:rPr>
            </w:r>
            <w:r>
              <w:rPr>
                <w:sz w:val="19"/>
              </w:rPr>
              <w:t>461 m²</w:t>
            </w:r>
          </w:p>
        </w:tc>
      </w:tr>
      <w:tr>
        <w:tc>
          <w:tcPr>
            <w:tcW w:type="dxa" w:w="1586"/>
          </w:tcPr>
          <w:p>
            <w:r>
              <w:rPr>
                <w:sz w:val="19"/>
              </w:rPr>
            </w:r>
            <w:r>
              <w:rPr>
                <w:sz w:val="19"/>
              </w:rPr>
              <w:t>1702540050089</w:t>
            </w:r>
          </w:p>
        </w:tc>
        <w:tc>
          <w:tcPr>
            <w:tcW w:type="dxa" w:w="1586"/>
          </w:tcPr>
          <w:p>
            <w:r>
              <w:rPr>
                <w:sz w:val="19"/>
              </w:rPr>
            </w:r>
            <w:r>
              <w:rPr>
                <w:sz w:val="19"/>
              </w:rPr>
              <w:t>Sánchez Tandayamo Rosa Elena</w:t>
            </w:r>
          </w:p>
        </w:tc>
        <w:tc>
          <w:tcPr>
            <w:tcW w:type="dxa" w:w="1586"/>
          </w:tcPr>
          <w:p>
            <w:r>
              <w:rPr>
                <w:sz w:val="19"/>
              </w:rPr>
            </w:r>
            <w:r>
              <w:rPr>
                <w:sz w:val="19"/>
              </w:rPr>
              <w:t>Otoncito</w:t>
            </w:r>
          </w:p>
        </w:tc>
        <w:tc>
          <w:tcPr>
            <w:tcW w:type="dxa" w:w="1586"/>
          </w:tcPr>
          <w:p>
            <w:r>
              <w:rPr>
                <w:sz w:val="19"/>
              </w:rPr>
            </w:r>
            <w:r>
              <w:rPr>
                <w:sz w:val="19"/>
              </w:rPr>
              <w:t>adicional</w:t>
            </w:r>
          </w:p>
        </w:tc>
        <w:tc>
          <w:tcPr>
            <w:tcW w:type="dxa" w:w="1586"/>
          </w:tcPr>
          <w:p>
            <w:r>
              <w:rPr>
                <w:sz w:val="19"/>
              </w:rPr>
            </w:r>
            <w:r>
              <w:rPr>
                <w:sz w:val="19"/>
              </w:rPr>
              <w:t>18:59</w:t>
            </w:r>
          </w:p>
        </w:tc>
        <w:tc>
          <w:tcPr>
            <w:tcW w:type="dxa" w:w="1586"/>
          </w:tcPr>
          <w:p>
            <w:r>
              <w:rPr>
                <w:sz w:val="19"/>
              </w:rPr>
            </w:r>
            <w:r>
              <w:rPr>
                <w:sz w:val="19"/>
              </w:rPr>
              <w:t>399 m²</w:t>
            </w:r>
          </w:p>
        </w:tc>
      </w:tr>
    </w:tbl>
    <w:p>
      <w:pPr>
        <w:spacing w:after="40"/>
      </w:pPr>
    </w:p>
    <w:p>
      <w:pPr>
        <w:jc w:val="both"/>
      </w:pPr>
      <w:r>
        <w:t xml:space="preserve">Son 6 fichas de </w:t>
      </w:r>
      <w:r>
        <w:rPr>
          <w:b/>
        </w:rPr>
        <w:t>4 titulares</w:t>
      </w:r>
      <w:r>
        <w:t xml:space="preserve"> —dos de ellos con un predio adicional además del principal— y suman </w:t>
      </w:r>
      <w:r>
        <w:rPr>
          <w:b/>
        </w:rPr>
        <w:t>0,67 hectáreas</w:t>
      </w:r>
      <w:r>
        <w:t xml:space="preserve">. Sobre las 10.294,99 ha del padrón, el excedente representa el </w:t>
      </w:r>
      <w:r>
        <w:rPr>
          <w:b/>
        </w:rPr>
        <w:t>0,006 %</w:t>
      </w:r>
      <w:r>
        <w:t>: no mueve ninguna cifra de superficie.</w:t>
      </w:r>
    </w:p>
    <w:p>
      <w:pPr>
        <w:pStyle w:val="Heading3"/>
        <w:spacing w:before="180" w:after="80"/>
      </w:pPr>
      <w:r>
        <w:rPr>
          <w:b/>
          <w:color w:val="1F4E79"/>
          <w:sz w:val="24"/>
        </w:rPr>
        <w:t>Por qué el reparto cambia en +2 y +4, y no en +3 y +3</w:t>
      </w:r>
    </w:p>
    <w:p>
      <w:pPr>
        <w:jc w:val="both"/>
      </w:pPr>
      <w:r>
        <w:t xml:space="preserve">Además de las 6 fichas hubo </w:t>
      </w:r>
      <w:r>
        <w:rPr>
          <w:b/>
        </w:rPr>
        <w:t>un cambio de clasificación</w:t>
      </w:r>
      <w:r>
        <w:t xml:space="preserve">. La ficha </w:t>
      </w:r>
      <w:r>
        <w:rPr>
          <w:b/>
        </w:rPr>
        <w:t>1702550140041</w:t>
      </w:r>
      <w:r>
        <w:t xml:space="preserve"> (Guaras Cobacango Luis Guido, Cangahua Pungo), levantada por Adriana Cuascota el 17 de junio como predio principal, fue reclasificada por Pablo Barrionuevo el 5 de agosto como </w:t>
      </w:r>
      <w:r>
        <w:rPr>
          <w:b/>
        </w:rPr>
        <w:t>predio adicional</w:t>
      </w:r>
      <w:r>
        <w:t>.</w:t>
      </w:r>
    </w:p>
    <w:p>
      <w:pPr>
        <w:jc w:val="both"/>
      </w:pPr>
      <w:r>
        <w:t xml:space="preserve">El cambio tiene sentido: ese titular ya tenía su ficha principal levantada el 30 de julio (clave 1702540140027), así que Cangahua Pungo era un segundo predio suyo, no una segunda persona. Por eso el padrón sube </w:t>
      </w:r>
      <w:r>
        <w:rPr>
          <w:b/>
        </w:rPr>
        <w:t>+3 principales nuevos −1 reclasificado = +2 principales</w:t>
      </w:r>
      <w:r>
        <w:t xml:space="preserve">, y </w:t>
      </w:r>
      <w:r>
        <w:rPr>
          <w:b/>
        </w:rPr>
        <w:t>+3 adicionales nuevos +1 reclasificado = +4 adicionales</w:t>
      </w:r>
      <w:r>
        <w:t>.</w:t>
      </w:r>
    </w:p>
    <w:p>
      <w:pPr>
        <w:spacing w:before="40" w:after="160"/>
        <w:pBdr>
          <w:bottom w:val="single" w:sz="6" w:color="BFBFBF"/>
        </w:pBdr>
      </w:pPr>
    </w:p>
    <w:p>
      <w:pPr>
        <w:pStyle w:val="Heading2"/>
        <w:spacing w:before="240" w:after="80"/>
      </w:pPr>
      <w:r>
        <w:rPr>
          <w:b/>
          <w:color w:val="1F4E79"/>
          <w:sz w:val="28"/>
        </w:rPr>
        <w:t>3. Lo que hace falta decidir</w:t>
      </w:r>
    </w:p>
    <w:p>
      <w:pPr>
        <w:jc w:val="both"/>
      </w:pPr>
      <w:r>
        <w:rPr>
          <w:b/>
        </w:rPr>
        <w:t>a) Confirmar el excedente.</w:t>
      </w:r>
      <w:r>
        <w:t xml:space="preserve"> Si se incorpora, la base para los estudios pasa a 4.307 + 2.524 = </w:t>
      </w:r>
      <w:r>
        <w:rPr>
          <w:b/>
        </w:rPr>
        <w:t>6.831</w:t>
      </w:r>
      <w:r>
        <w:t xml:space="preserve">, y así habría que comunicarlo al Consorcio. Los informes que están hoy en la carpeta de entrega </w:t>
      </w:r>
      <w:r>
        <w:rPr>
          <w:b/>
        </w:rPr>
        <w:t>ya se generaron con 6.831</w:t>
      </w:r>
      <w:r>
        <w:t xml:space="preserve"> (se regeneraron el 12 de agosto a las 09:52, como último paso de la sincronización), de modo que reflejan el padrón con el excedente incluido.</w:t>
      </w:r>
    </w:p>
    <w:p>
      <w:pPr>
        <w:jc w:val="both"/>
      </w:pPr>
      <w:r>
        <w:rPr>
          <w:b/>
        </w:rPr>
        <w:t>b) Las 54 fichas con las áreas mal capturadas.</w:t>
      </w:r>
      <w:r>
        <w:t xml:space="preserve"> Todas de Pablo Barrionuevo, del 24 al 30 de julio, en Pambamarca, Chaupiestancia, Pucará y Chinchinloma. En las 54 se repite el mismo número tres veces: área total, área con riego y área sin riego son idénticas. Es imposible: un predio no puede estar entero con riego y entero sin riego a la vez. Son </w:t>
      </w:r>
      <w:r>
        <w:rPr>
          <w:b/>
        </w:rPr>
        <w:t>56,38 ha contadas dos veces</w:t>
      </w:r>
      <w:r>
        <w:t xml:space="preserve">, y son la </w:t>
      </w:r>
      <w:r>
        <w:rPr>
          <w:b/>
        </w:rPr>
        <w:t>única</w:t>
      </w:r>
      <w:r>
        <w:t xml:space="preserve"> fuente de descuadre del padrón —las otras 6.774 fichas cuadran.</w:t>
      </w:r>
    </w:p>
    <w:p>
      <w:pPr>
        <w:jc w:val="both"/>
      </w:pPr>
      <w:r>
        <w:t xml:space="preserve">El polígono del catastro confirma el área total en las 54 (52 directamente; las 2 restantes son un mismo predio con dos copropietarios que declaran 2,82 ha cada uno sobre 5,63 ha, o sea que también cuadra). </w:t>
      </w:r>
      <w:r>
        <w:rPr>
          <w:b/>
        </w:rPr>
        <w:t>Así que el área del predio está bien y lo que sobra es uno de los otros dos campos.</w:t>
      </w:r>
    </w:p>
    <w:p>
      <w:pPr>
        <w:jc w:val="both"/>
      </w:pPr>
      <w:r>
        <w:rPr>
          <w:b/>
        </w:rPr>
        <w:t>Cuál de los dos es lo que hay que preguntarle a Pablo Barrionuevo</w:t>
      </w:r>
      <w:r>
        <w:t xml:space="preserve">, y no es un detalle: de eso depende en qué columna van esas 56,38 ha. Los demás campos de la ficha apuntan a que esos predios </w:t>
      </w:r>
      <w:r>
        <w:rPr>
          <w:b/>
        </w:rPr>
        <w:t>no se riegan</w:t>
      </w:r>
      <w:r>
        <w:t>:</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1F4E79"/>
          </w:tcPr>
          <w:p>
            <w:r>
              <w:rPr>
                <w:color w:val="FFFFFF"/>
                <w:sz w:val="19"/>
              </w:rPr>
            </w:r>
            <w:r>
              <w:rPr>
                <w:b/>
                <w:color w:val="FFFFFF"/>
                <w:sz w:val="19"/>
              </w:rPr>
              <w:t>Señales de riego declaradas (frecuencia, canal, turno, método, caudal, tarifa)</w:t>
            </w:r>
          </w:p>
        </w:tc>
        <w:tc>
          <w:tcPr>
            <w:tcW w:type="dxa" w:w="4759"/>
            <w:shd w:val="clear" w:color="auto" w:fill="1F4E79"/>
          </w:tcPr>
          <w:p>
            <w:r>
              <w:rPr>
                <w:color w:val="FFFFFF"/>
                <w:sz w:val="19"/>
              </w:rPr>
            </w:r>
          </w:p>
        </w:tc>
      </w:tr>
      <w:tr>
        <w:tc>
          <w:tcPr>
            <w:tcW w:type="dxa" w:w="4759"/>
          </w:tcPr>
          <w:p>
            <w:r>
              <w:rPr>
                <w:sz w:val="19"/>
              </w:rPr>
            </w:r>
            <w:r>
              <w:rPr>
                <w:sz w:val="19"/>
              </w:rPr>
              <w:t>En estas 54 fichas</w:t>
            </w:r>
          </w:p>
        </w:tc>
        <w:tc>
          <w:tcPr>
            <w:tcW w:type="dxa" w:w="4759"/>
          </w:tcPr>
          <w:p>
            <w:r>
              <w:rPr>
                <w:sz w:val="19"/>
              </w:rPr>
            </w:r>
            <w:r>
              <w:rPr>
                <w:b/>
                <w:sz w:val="19"/>
              </w:rPr>
              <w:t>1 de 54</w:t>
            </w:r>
          </w:p>
        </w:tc>
      </w:tr>
      <w:tr>
        <w:tc>
          <w:tcPr>
            <w:tcW w:type="dxa" w:w="4759"/>
          </w:tcPr>
          <w:p>
            <w:r>
              <w:rPr>
                <w:sz w:val="19"/>
              </w:rPr>
            </w:r>
            <w:r>
              <w:rPr>
                <w:sz w:val="19"/>
              </w:rPr>
              <w:t>En el resto del padrón</w:t>
            </w:r>
          </w:p>
        </w:tc>
        <w:tc>
          <w:tcPr>
            <w:tcW w:type="dxa" w:w="4759"/>
          </w:tcPr>
          <w:p>
            <w:r>
              <w:rPr>
                <w:sz w:val="19"/>
              </w:rPr>
            </w:r>
            <w:r>
              <w:rPr>
                <w:sz w:val="19"/>
              </w:rPr>
              <w:t>6.731 de 6.777 (99 %)</w:t>
            </w:r>
          </w:p>
        </w:tc>
      </w:tr>
    </w:tbl>
    <w:p>
      <w:pPr>
        <w:spacing w:after="40"/>
      </w:pPr>
    </w:p>
    <w:p>
      <w:pPr>
        <w:jc w:val="both"/>
      </w:pPr>
      <w:r>
        <w:t xml:space="preserve">Pero eso admite dos lecturas opuestas: o esos predios de verdad no se riegan, o esa semana la sección de riego quedó sin llenar. </w:t>
      </w:r>
      <w:r>
        <w:rPr>
          <w:b/>
        </w:rPr>
        <w:t>Solo quien hizo el levantamiento puede decirlo.</w:t>
      </w:r>
      <w:r>
        <w:t xml:space="preserve"> Hasta entonces la corrección está preparada pero bloqueada: el programa se niega a escribir si no se le indica la dirección.</w:t>
      </w:r>
    </w:p>
    <w:p>
      <w:pPr>
        <w:jc w:val="both"/>
      </w:pPr>
      <w:r>
        <w:rPr>
          <w:b/>
        </w:rPr>
        <w:t>c) Tres predios adicionales quedaron sin ficha madre</w:t>
      </w:r>
      <w:r>
        <w:t xml:space="preserve">, dos de ellos entre las 6 del 5 de agosto (1702540140044 y 1702540050089). No es descuido del técnico: es un defecto del formulario de QField que ya está corregido en el proyecto pero </w:t>
      </w:r>
      <w:r>
        <w:rPr>
          <w:b/>
        </w:rPr>
        <w:t>todavía no se ha subido a las tablets</w:t>
      </w:r>
      <w:r>
        <w:t>. Mientras no se suba, cada salida de campo seguirá produciendo predios adicionales huérfanos: esa tarde, de 3 adicionales creados, 2 salieron sin madre.</w:t>
      </w:r>
    </w:p>
    <w:p>
      <w:pPr>
        <w:jc w:val="both"/>
      </w:pPr>
      <w:r>
        <w:t xml:space="preserve">El caso de Luis Guido Guaras Cobacango los reúne todos: tiene su ficha principal del 30 de julio (que además está sin comunidad asignada y se resolverá en oficina) y </w:t>
      </w:r>
      <w:r>
        <w:rPr>
          <w:b/>
        </w:rPr>
        <w:t>dos predios adicionales que deberían colgar de ella, ambos sin vincular</w:t>
      </w:r>
      <w:r>
        <w:t xml:space="preserve"> por este defecto.</w:t>
      </w:r>
    </w:p>
    <w:p>
      <w:pPr>
        <w:spacing w:before="40" w:after="160"/>
        <w:pBdr>
          <w:bottom w:val="single" w:sz="6" w:color="BFBFBF"/>
        </w:pBdr>
      </w:pPr>
    </w:p>
    <w:p>
      <w:pPr>
        <w:pStyle w:val="Heading2"/>
        <w:spacing w:before="240" w:after="80"/>
      </w:pPr>
      <w:r>
        <w:rPr>
          <w:b/>
          <w:color w:val="1F4E79"/>
          <w:sz w:val="28"/>
        </w:rPr>
        <w:t>4. Dos cosas más que conviene tener presentes</w:t>
      </w:r>
    </w:p>
    <w:p>
      <w:pPr>
        <w:jc w:val="both"/>
      </w:pPr>
      <w:r>
        <w:rPr>
          <w:b/>
        </w:rPr>
        <w:t>La superficie bajo riego baja 1.279,60 ha al cuadrar las áreas.</w:t>
      </w:r>
      <w:r>
        <w:t xml:space="preserve"> Es el cambio de cifra más importante de esta nota y conviene entender de dónde sale.</w:t>
      </w:r>
    </w:p>
    <w:p>
      <w:pPr>
        <w:jc w:val="both"/>
      </w:pPr>
      <w:r>
        <w:t xml:space="preserve">Hasta ahora, el proceso que alimenta la web y los informes hacía dos cosas cuando una ficha no declaraba área con riego: le asignaba </w:t>
      </w:r>
      <w:r>
        <w:rPr>
          <w:b/>
        </w:rPr>
        <w:t>todo</w:t>
      </w:r>
      <w:r>
        <w:t xml:space="preserve"> el predio como regado y, además, </w:t>
      </w:r>
      <w:r>
        <w:rPr>
          <w:b/>
        </w:rPr>
        <w:t>borraba el área sin riego que el técnico sí había medido</w:t>
      </w:r>
      <w:r>
        <w:t>. Eso publicaba como regadas 1.209 ha que nadie declaró, y contradecía el criterio acordado el 9 de agosto para la revisión de campo, donde se decidió justo lo contrario: que un predio con el área sin riego medida es un predio que no se riega.</w:t>
      </w:r>
    </w:p>
    <w:p>
      <w:pPr>
        <w:jc w:val="both"/>
      </w:pPr>
      <w:r>
        <w:t xml:space="preserve">La regla nueva es la que pidió la coordinación técnica: </w:t>
      </w:r>
      <w:r>
        <w:rPr>
          <w:b/>
        </w:rPr>
        <w:t>el área con riego y la que no lo tiene son partes del predio y no pueden sumar más que el total.</w:t>
      </w:r>
      <w:r>
        <w:t xml:space="preserve"> Manda el dato que el técnico declaró y el otro se ajusta a lo que queda.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p>
        </w:tc>
        <w:tc>
          <w:tcPr>
            <w:tcW w:type="dxa" w:w="3173"/>
            <w:shd w:val="clear" w:color="auto" w:fill="1F4E79"/>
          </w:tcPr>
          <w:p>
            <w:r>
              <w:rPr>
                <w:color w:val="FFFFFF"/>
                <w:sz w:val="19"/>
              </w:rPr>
            </w:r>
            <w:r>
              <w:rPr>
                <w:b/>
                <w:color w:val="FFFFFF"/>
                <w:sz w:val="19"/>
              </w:rPr>
              <w:t>Publicado hasta hoy</w:t>
            </w:r>
          </w:p>
        </w:tc>
        <w:tc>
          <w:tcPr>
            <w:tcW w:type="dxa" w:w="3173"/>
            <w:shd w:val="clear" w:color="auto" w:fill="1F4E79"/>
          </w:tcPr>
          <w:p>
            <w:r>
              <w:rPr>
                <w:color w:val="FFFFFF"/>
                <w:sz w:val="19"/>
              </w:rPr>
            </w:r>
            <w:r>
              <w:rPr>
                <w:b/>
                <w:color w:val="FFFFFF"/>
                <w:sz w:val="19"/>
              </w:rPr>
              <w:t>Con las áreas cuadradas</w:t>
            </w:r>
          </w:p>
        </w:tc>
      </w:tr>
      <w:tr>
        <w:tc>
          <w:tcPr>
            <w:tcW w:type="dxa" w:w="3173"/>
          </w:tcPr>
          <w:p>
            <w:r>
              <w:rPr>
                <w:sz w:val="19"/>
              </w:rPr>
            </w:r>
            <w:r>
              <w:rPr>
                <w:sz w:val="19"/>
              </w:rPr>
              <w:t>Superficie total</w:t>
            </w:r>
          </w:p>
        </w:tc>
        <w:tc>
          <w:tcPr>
            <w:tcW w:type="dxa" w:w="3173"/>
          </w:tcPr>
          <w:p>
            <w:r>
              <w:rPr>
                <w:sz w:val="19"/>
              </w:rPr>
            </w:r>
            <w:r>
              <w:rPr>
                <w:sz w:val="19"/>
              </w:rPr>
              <w:t>10.294,99 ha</w:t>
            </w:r>
          </w:p>
        </w:tc>
        <w:tc>
          <w:tcPr>
            <w:tcW w:type="dxa" w:w="3173"/>
          </w:tcPr>
          <w:p>
            <w:r>
              <w:rPr>
                <w:sz w:val="19"/>
              </w:rPr>
            </w:r>
            <w:r>
              <w:rPr>
                <w:sz w:val="19"/>
              </w:rPr>
              <w:t>10.294,99 ha</w:t>
            </w:r>
          </w:p>
        </w:tc>
      </w:tr>
      <w:tr>
        <w:tc>
          <w:tcPr>
            <w:tcW w:type="dxa" w:w="3173"/>
          </w:tcPr>
          <w:p>
            <w:r>
              <w:rPr>
                <w:sz w:val="19"/>
              </w:rPr>
            </w:r>
            <w:r>
              <w:rPr>
                <w:b/>
                <w:sz w:val="19"/>
              </w:rPr>
              <w:t>Con riego</w:t>
            </w:r>
          </w:p>
        </w:tc>
        <w:tc>
          <w:tcPr>
            <w:tcW w:type="dxa" w:w="3173"/>
          </w:tcPr>
          <w:p>
            <w:r>
              <w:rPr>
                <w:sz w:val="19"/>
              </w:rPr>
            </w:r>
            <w:r>
              <w:rPr>
                <w:b/>
                <w:sz w:val="19"/>
              </w:rPr>
              <w:t>8.978,86 ha</w:t>
            </w:r>
          </w:p>
        </w:tc>
        <w:tc>
          <w:tcPr>
            <w:tcW w:type="dxa" w:w="3173"/>
          </w:tcPr>
          <w:p>
            <w:r>
              <w:rPr>
                <w:sz w:val="19"/>
              </w:rPr>
            </w:r>
            <w:r>
              <w:rPr>
                <w:b/>
                <w:sz w:val="19"/>
              </w:rPr>
              <w:t>7.699,26 ha</w:t>
            </w:r>
          </w:p>
        </w:tc>
      </w:tr>
      <w:tr>
        <w:tc>
          <w:tcPr>
            <w:tcW w:type="dxa" w:w="3173"/>
          </w:tcPr>
          <w:p>
            <w:r>
              <w:rPr>
                <w:sz w:val="19"/>
              </w:rPr>
            </w:r>
            <w:r>
              <w:rPr>
                <w:sz w:val="19"/>
              </w:rPr>
              <w:t>Sin riego</w:t>
            </w:r>
          </w:p>
        </w:tc>
        <w:tc>
          <w:tcPr>
            <w:tcW w:type="dxa" w:w="3173"/>
          </w:tcPr>
          <w:p>
            <w:r>
              <w:rPr>
                <w:sz w:val="19"/>
              </w:rPr>
            </w:r>
            <w:r>
              <w:rPr>
                <w:sz w:val="19"/>
              </w:rPr>
              <w:t>1.372,50 ha</w:t>
            </w:r>
          </w:p>
        </w:tc>
        <w:tc>
          <w:tcPr>
            <w:tcW w:type="dxa" w:w="3173"/>
          </w:tcPr>
          <w:p>
            <w:r>
              <w:rPr>
                <w:sz w:val="19"/>
              </w:rPr>
            </w:r>
            <w:r>
              <w:rPr>
                <w:sz w:val="19"/>
              </w:rPr>
              <w:t>2.652,10 ha</w:t>
            </w:r>
          </w:p>
        </w:tc>
      </w:tr>
    </w:tbl>
    <w:p>
      <w:pPr>
        <w:spacing w:after="40"/>
      </w:pPr>
    </w:p>
    <w:p>
      <w:pPr>
        <w:jc w:val="both"/>
      </w:pPr>
      <w:r>
        <w:t>Solo se modifican 37 fichas de 6.831, y ninguna pierde el dato que declaró el técnico. La superficie total del padrón no cambia: lo que cambia es el reparto entre regada y no regada, que hasta ahora estaba inclinado hacia el riego por una regla automática y no por lo que se levantó en campo.</w:t>
      </w:r>
    </w:p>
    <w:p>
      <w:pPr>
        <w:jc w:val="both"/>
      </w:pPr>
      <w:r>
        <w:rPr>
          <w:b/>
        </w:rPr>
        <w:t>Las 54 fichas del punto b siguen sin cuadrar a propósito.</w:t>
      </w:r>
      <w:r>
        <w:t xml:space="preserve"> El programa las deja fuera del ajuste porque cuadrarlas exigiría decidir por Pablo Barrionuevo. Ese es el motivo de que la suma siga excediendo el total en 56,38 ha: es un recordatorio visible de que falta esa respuesta, y desaparece solo en cuanto se corrija.</w:t>
      </w:r>
    </w:p>
    <w:p>
      <w:pPr>
        <w:jc w:val="both"/>
      </w:pPr>
      <w:r>
        <w:rPr>
          <w:b/>
        </w:rPr>
        <w:t>El trabajo de campo pendiente bajó de 9.220 a 801 datos</w:t>
      </w:r>
      <w:r>
        <w:t xml:space="preserve"> al aplicar las reglas de «no aplica» acordadas el 9 de agosto. Aparte quedan 67 fichas sin comunidad, que se resuelven en oficina por cruce espacial y no requieren salida de campo, y dos bloques a la espera de decisión: los datos de escritura de 38 fichas y las 492 fichas de ALPAKA, que son lotes de fraccionamiento y no encuestas. El detalle está en </w:t>
      </w:r>
      <w:r>
        <w:rPr>
          <w:rFonts w:ascii="Consolas" w:hAnsi="Consolas"/>
          <w:color w:val="8B2500"/>
          <w:sz w:val="19"/>
        </w:rPr>
        <w:t>REVISION-CAMPO.xlsx</w:t>
      </w:r>
      <w:r>
        <w:t>.</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