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Por qué cambió la superficie bajo riego</w:t>
      </w:r>
    </w:p>
    <w:p>
      <w:pPr>
        <w:jc w:val="both"/>
      </w:pPr>
      <w:r>
        <w:rPr>
          <w:b/>
        </w:rPr>
        <w:t>Padrón de usuarios · Sistema de riego comunitario Guanguilquí–Porotog</w:t>
      </w:r>
      <w:r>
        <w:t xml:space="preserve"> Corte de datos: 5 de agosto de 2026 · Documento del 13 de agosto de 2026</w:t>
      </w:r>
    </w:p>
    <w:p>
      <w:pPr>
        <w:spacing w:before="40" w:after="160"/>
        <w:pBdr>
          <w:bottom w:val="single" w:sz="6" w:color="BFBFBF"/>
        </w:pBdr>
      </w:pPr>
    </w:p>
    <w:p>
      <w:pPr>
        <w:pStyle w:val="Heading2"/>
        <w:spacing w:before="240" w:after="80"/>
      </w:pPr>
      <w:r>
        <w:rPr>
          <w:b/>
          <w:color w:val="1F4E79"/>
          <w:sz w:val="28"/>
        </w:rPr>
        <w:t>Primero, cuál es la cifra que cambió</w:t>
      </w:r>
    </w:p>
    <w:p>
      <w:pPr>
        <w:jc w:val="both"/>
      </w:pPr>
      <w:r>
        <w:t>El padrón maneja dos superficies distintas y conviene no confundirlas, porque solo una de las dos se movió:</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p>
        </w:tc>
        <w:tc>
          <w:tcPr>
            <w:tcW w:type="dxa" w:w="2379"/>
            <w:shd w:val="clear" w:color="auto" w:fill="1F4E79"/>
          </w:tcPr>
          <w:p>
            <w:r>
              <w:rPr>
                <w:color w:val="FFFFFF"/>
                <w:sz w:val="19"/>
              </w:rPr>
            </w:r>
            <w:r>
              <w:rPr>
                <w:b/>
                <w:color w:val="FFFFFF"/>
                <w:sz w:val="19"/>
              </w:rPr>
              <w:t>Antes</w:t>
            </w:r>
          </w:p>
        </w:tc>
        <w:tc>
          <w:tcPr>
            <w:tcW w:type="dxa" w:w="2379"/>
            <w:shd w:val="clear" w:color="auto" w:fill="1F4E79"/>
          </w:tcPr>
          <w:p>
            <w:r>
              <w:rPr>
                <w:color w:val="FFFFFF"/>
                <w:sz w:val="19"/>
              </w:rPr>
            </w:r>
            <w:r>
              <w:rPr>
                <w:b/>
                <w:color w:val="FFFFFF"/>
                <w:sz w:val="19"/>
              </w:rPr>
              <w:t>Ahora</w:t>
            </w:r>
          </w:p>
        </w:tc>
        <w:tc>
          <w:tcPr>
            <w:tcW w:type="dxa" w:w="2379"/>
            <w:shd w:val="clear" w:color="auto" w:fill="1F4E79"/>
          </w:tcPr>
          <w:p>
            <w:r>
              <w:rPr>
                <w:color w:val="FFFFFF"/>
                <w:sz w:val="19"/>
              </w:rPr>
            </w:r>
          </w:p>
        </w:tc>
      </w:tr>
      <w:tr>
        <w:tc>
          <w:tcPr>
            <w:tcW w:type="dxa" w:w="2379"/>
          </w:tcPr>
          <w:p>
            <w:r>
              <w:rPr>
                <w:sz w:val="19"/>
              </w:rPr>
            </w:r>
            <w:r>
              <w:rPr>
                <w:b/>
                <w:sz w:val="19"/>
              </w:rPr>
              <w:t>Superficie total empadronada</w:t>
            </w:r>
          </w:p>
        </w:tc>
        <w:tc>
          <w:tcPr>
            <w:tcW w:type="dxa" w:w="2379"/>
          </w:tcPr>
          <w:p>
            <w:r>
              <w:rPr>
                <w:sz w:val="19"/>
              </w:rPr>
            </w:r>
            <w:r>
              <w:rPr>
                <w:sz w:val="19"/>
              </w:rPr>
              <w:t>10.294,99 ha</w:t>
            </w:r>
          </w:p>
        </w:tc>
        <w:tc>
          <w:tcPr>
            <w:tcW w:type="dxa" w:w="2379"/>
          </w:tcPr>
          <w:p>
            <w:r>
              <w:rPr>
                <w:sz w:val="19"/>
              </w:rPr>
            </w:r>
            <w:r>
              <w:rPr>
                <w:sz w:val="19"/>
              </w:rPr>
              <w:t>10.196,51 ha</w:t>
            </w:r>
          </w:p>
        </w:tc>
        <w:tc>
          <w:tcPr>
            <w:tcW w:type="dxa" w:w="2379"/>
          </w:tcPr>
          <w:p>
            <w:r>
              <w:rPr>
                <w:sz w:val="19"/>
              </w:rPr>
            </w:r>
            <w:r>
              <w:rPr>
                <w:sz w:val="19"/>
              </w:rPr>
              <w:t>prácticamente igual</w:t>
            </w:r>
          </w:p>
        </w:tc>
      </w:tr>
      <w:tr>
        <w:tc>
          <w:tcPr>
            <w:tcW w:type="dxa" w:w="2379"/>
          </w:tcPr>
          <w:p>
            <w:r>
              <w:rPr>
                <w:sz w:val="19"/>
              </w:rPr>
            </w:r>
            <w:r>
              <w:rPr>
                <w:b/>
                <w:sz w:val="19"/>
              </w:rPr>
              <w:t>Superficie bajo riego</w:t>
            </w:r>
          </w:p>
        </w:tc>
        <w:tc>
          <w:tcPr>
            <w:tcW w:type="dxa" w:w="2379"/>
          </w:tcPr>
          <w:p>
            <w:r>
              <w:rPr>
                <w:sz w:val="19"/>
              </w:rPr>
            </w:r>
            <w:r>
              <w:rPr>
                <w:sz w:val="19"/>
              </w:rPr>
              <w:t>8.978,86 ha</w:t>
            </w:r>
          </w:p>
        </w:tc>
        <w:tc>
          <w:tcPr>
            <w:tcW w:type="dxa" w:w="2379"/>
          </w:tcPr>
          <w:p>
            <w:r>
              <w:rPr>
                <w:sz w:val="19"/>
              </w:rPr>
            </w:r>
            <w:r>
              <w:rPr>
                <w:sz w:val="19"/>
              </w:rPr>
              <w:t>7.633,76 ha</w:t>
            </w:r>
          </w:p>
        </w:tc>
        <w:tc>
          <w:tcPr>
            <w:tcW w:type="dxa" w:w="2379"/>
          </w:tcPr>
          <w:p>
            <w:r>
              <w:rPr>
                <w:sz w:val="19"/>
              </w:rPr>
            </w:r>
            <w:r>
              <w:rPr>
                <w:b/>
                <w:sz w:val="19"/>
              </w:rPr>
              <w:t>es la que cambió</w:t>
            </w:r>
          </w:p>
        </w:tc>
      </w:tr>
    </w:tbl>
    <w:p>
      <w:pPr>
        <w:spacing w:after="40"/>
      </w:pPr>
    </w:p>
    <w:p>
      <w:pPr>
        <w:jc w:val="both"/>
      </w:pPr>
      <w:r>
        <w:t xml:space="preserve">La </w:t>
      </w:r>
      <w:r>
        <w:rPr>
          <w:b/>
        </w:rPr>
        <w:t>superficie total</w:t>
      </w:r>
      <w:r>
        <w:t xml:space="preserve"> es todo el terreno registrado en el padrón: 10.294,99 hectáreas antes, 10.196,51 ahora. Baja 98,48 ha y por un motivo concreto que se explica más abajo: unos predios que se estaban contando más de una vez.</w:t>
      </w:r>
    </w:p>
    <w:p>
      <w:pPr>
        <w:jc w:val="both"/>
      </w:pPr>
      <w:r>
        <w:t xml:space="preserve">La </w:t>
      </w:r>
      <w:r>
        <w:rPr>
          <w:b/>
        </w:rPr>
        <w:t>superficie bajo riego</w:t>
      </w:r>
      <w:r>
        <w:t xml:space="preserve"> es la parte de ese terreno que recibe agua del sistema. Es la que baja de forma apreciable, y este documento explica por qué.</w:t>
      </w:r>
    </w:p>
    <w:p>
      <w:pPr>
        <w:pStyle w:val="Heading2"/>
        <w:spacing w:before="240" w:after="80"/>
      </w:pPr>
      <w:r>
        <w:rPr>
          <w:b/>
          <w:color w:val="1F4E79"/>
          <w:sz w:val="28"/>
        </w:rPr>
        <w:t>En una frase</w:t>
      </w:r>
    </w:p>
    <w:p>
      <w:pPr>
        <w:jc w:val="both"/>
      </w:pPr>
      <w:r>
        <w:t xml:space="preserve">No se perdió información ni se borró ningún predio: </w:t>
      </w:r>
      <w:r>
        <w:rPr>
          <w:b/>
        </w:rPr>
        <w:t>se dejó de dar por regada la superficie que los técnicos no habían registrado como tal</w:t>
      </w:r>
      <w:r>
        <w:t>.</w:t>
      </w:r>
    </w:p>
    <w:p>
      <w:pPr>
        <w:spacing w:before="40" w:after="160"/>
        <w:pBdr>
          <w:bottom w:val="single" w:sz="6" w:color="BFBFBF"/>
        </w:pBdr>
      </w:pPr>
    </w:p>
    <w:p>
      <w:pPr>
        <w:pStyle w:val="Heading2"/>
        <w:spacing w:before="240" w:after="80"/>
      </w:pPr>
      <w:r>
        <w:rPr>
          <w:b/>
          <w:color w:val="1F4E79"/>
          <w:sz w:val="28"/>
        </w:rPr>
        <w:t>Qué pasaba antes</w:t>
      </w:r>
    </w:p>
    <w:p>
      <w:pPr>
        <w:jc w:val="both"/>
      </w:pPr>
      <w:r>
        <w:t xml:space="preserve">El sistema tenía una regla automática: </w:t>
      </w:r>
      <w:r>
        <w:rPr>
          <w:b/>
        </w:rPr>
        <w:t>cuando una ficha no indicaba cuánta superficie tenía bajo riego, le asignaba el predio completo</w:t>
      </w:r>
      <w:r>
        <w:t>.</w:t>
      </w:r>
    </w:p>
    <w:p>
      <w:pPr>
        <w:jc w:val="both"/>
      </w:pPr>
      <w:r>
        <w:t>La intención era razonable —evitar que un dato en blanco contara como cero— pero tenía dos efectos que no se habían medido:</w:t>
      </w:r>
    </w:p>
    <w:p>
      <w:pPr>
        <w:jc w:val="both"/>
      </w:pPr>
      <w:r>
        <w:rPr>
          <w:b/>
        </w:rPr>
        <w:t>1. Convertía la falta de dato en un dato.</w:t>
      </w:r>
      <w:r>
        <w:t xml:space="preserve"> Un predio del que no se sabía cuánto se riega pasaba a figurar como regado en su totalidad.</w:t>
      </w:r>
    </w:p>
    <w:p>
      <w:pPr>
        <w:jc w:val="both"/>
      </w:pPr>
      <w:r>
        <w:rPr>
          <w:b/>
        </w:rPr>
        <w:t>2. Borraba lo que el técnico sí había anotado.</w:t>
      </w:r>
      <w:r>
        <w:t xml:space="preserve"> Y este es el punto grave: de las </w:t>
      </w:r>
      <w:r>
        <w:rPr>
          <w:b/>
        </w:rPr>
        <w:t>653 fichas</w:t>
      </w:r>
      <w:r>
        <w:t xml:space="preserve"> sin superficie de riego registrada, </w:t>
      </w:r>
      <w:r>
        <w:rPr>
          <w:b/>
        </w:rPr>
        <w:t>650 sí tenían anotada su superficie sin riego</w:t>
      </w:r>
      <w:r>
        <w:t>. Es decir, el técnico había constatado en campo qué parte del predio no recibe agua, y el sistema descartaba ese dato y contaba el predio entero como regado.</w:t>
      </w:r>
    </w:p>
    <w:p>
      <w:pPr>
        <w:jc w:val="both"/>
      </w:pPr>
      <w:r>
        <w:t xml:space="preserve">Entre esas 653 fichas suman </w:t>
      </w:r>
      <w:r>
        <w:rPr>
          <w:b/>
        </w:rPr>
        <w:t>1.309,62 hectáreas</w:t>
      </w:r>
      <w:r>
        <w:t>. Esa es, en la práctica, casi toda la diferencia.</w:t>
      </w:r>
    </w:p>
    <w:p>
      <w:pPr>
        <w:spacing w:before="40" w:after="160"/>
        <w:pBdr>
          <w:bottom w:val="single" w:sz="6" w:color="BFBFBF"/>
        </w:pBdr>
      </w:pPr>
    </w:p>
    <w:p>
      <w:pPr>
        <w:pStyle w:val="Heading2"/>
        <w:spacing w:before="240" w:after="80"/>
      </w:pPr>
      <w:r>
        <w:rPr>
          <w:b/>
          <w:color w:val="1F4E79"/>
          <w:sz w:val="28"/>
        </w:rPr>
        <w:t>Qué se hizo</w:t>
      </w:r>
    </w:p>
    <w:p>
      <w:pPr>
        <w:jc w:val="both"/>
      </w:pPr>
      <w:r>
        <w:t xml:space="preserve">Ahora la superficie con riego y la superficie sin riego se tratan como lo que son: </w:t>
      </w:r>
      <w:r>
        <w:rPr>
          <w:b/>
        </w:rPr>
        <w:t>dos partes del mismo predio</w:t>
      </w:r>
      <w:r>
        <w:t>. Manda lo que declaró el técnico y la otra parte se ajusta a lo que queda. Ninguna ficha pierde el dato que traía.</w:t>
      </w:r>
    </w:p>
    <w:p>
      <w:pPr>
        <w:jc w:val="both"/>
      </w:pPr>
      <w:r>
        <w:t>Tres correcciones acompañaron el cambio: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r>
              <w:rPr>
                <w:b/>
                <w:color w:val="FFFFFF"/>
                <w:sz w:val="19"/>
              </w:rPr>
              <w:t>Corrección</w:t>
            </w:r>
          </w:p>
        </w:tc>
        <w:tc>
          <w:tcPr>
            <w:tcW w:type="dxa" w:w="3173"/>
            <w:shd w:val="clear" w:color="auto" w:fill="1F4E79"/>
          </w:tcPr>
          <w:p>
            <w:r>
              <w:rPr>
                <w:color w:val="FFFFFF"/>
                <w:sz w:val="19"/>
              </w:rPr>
            </w:r>
            <w:r>
              <w:rPr>
                <w:b/>
                <w:color w:val="FFFFFF"/>
                <w:sz w:val="19"/>
              </w:rPr>
              <w:t>Alcance</w:t>
            </w:r>
          </w:p>
        </w:tc>
        <w:tc>
          <w:tcPr>
            <w:tcW w:type="dxa" w:w="3173"/>
            <w:shd w:val="clear" w:color="auto" w:fill="1F4E79"/>
          </w:tcPr>
          <w:p>
            <w:r>
              <w:rPr>
                <w:color w:val="FFFFFF"/>
                <w:sz w:val="19"/>
              </w:rPr>
            </w:r>
            <w:r>
              <w:rPr>
                <w:b/>
                <w:color w:val="FFFFFF"/>
                <w:sz w:val="19"/>
              </w:rPr>
              <w:t>Efecto</w:t>
            </w:r>
          </w:p>
        </w:tc>
      </w:tr>
      <w:tr>
        <w:tc>
          <w:tcPr>
            <w:tcW w:type="dxa" w:w="3173"/>
          </w:tcPr>
          <w:p>
            <w:r>
              <w:rPr>
                <w:sz w:val="19"/>
              </w:rPr>
            </w:r>
            <w:r>
              <w:rPr>
                <w:sz w:val="19"/>
              </w:rPr>
              <w:t>Se retira la regla que daba por regado el predio entero</w:t>
            </w:r>
          </w:p>
        </w:tc>
        <w:tc>
          <w:tcPr>
            <w:tcW w:type="dxa" w:w="3173"/>
          </w:tcPr>
          <w:p>
            <w:r>
              <w:rPr>
                <w:sz w:val="19"/>
              </w:rPr>
            </w:r>
            <w:r>
              <w:rPr>
                <w:sz w:val="19"/>
              </w:rPr>
              <w:t>653 fichas</w:t>
            </w:r>
          </w:p>
        </w:tc>
        <w:tc>
          <w:tcPr>
            <w:tcW w:type="dxa" w:w="3173"/>
          </w:tcPr>
          <w:p>
            <w:r>
              <w:rPr>
                <w:sz w:val="19"/>
              </w:rPr>
            </w:r>
            <w:r>
              <w:rPr>
                <w:sz w:val="19"/>
              </w:rPr>
              <w:t>−1.307,41 ha de riego</w:t>
            </w:r>
          </w:p>
        </w:tc>
      </w:tr>
      <w:tr>
        <w:tc>
          <w:tcPr>
            <w:tcW w:type="dxa" w:w="3173"/>
          </w:tcPr>
          <w:p>
            <w:r>
              <w:rPr>
                <w:sz w:val="19"/>
              </w:rPr>
            </w:r>
            <w:r>
              <w:rPr>
                <w:sz w:val="19"/>
              </w:rPr>
              <w:t>Fichas que repetían la misma cifra en área total, con riego y sin riego</w:t>
            </w:r>
          </w:p>
        </w:tc>
        <w:tc>
          <w:tcPr>
            <w:tcW w:type="dxa" w:w="3173"/>
          </w:tcPr>
          <w:p>
            <w:r>
              <w:rPr>
                <w:sz w:val="19"/>
              </w:rPr>
            </w:r>
            <w:r>
              <w:rPr>
                <w:sz w:val="19"/>
              </w:rPr>
              <w:t>54 fichas</w:t>
            </w:r>
          </w:p>
        </w:tc>
        <w:tc>
          <w:tcPr>
            <w:tcW w:type="dxa" w:w="3173"/>
          </w:tcPr>
          <w:p>
            <w:r>
              <w:rPr>
                <w:sz w:val="19"/>
              </w:rPr>
            </w:r>
            <w:r>
              <w:rPr>
                <w:sz w:val="19"/>
              </w:rPr>
              <w:t>Reparto corregido</w:t>
            </w:r>
          </w:p>
        </w:tc>
      </w:tr>
      <w:tr>
        <w:tc>
          <w:tcPr>
            <w:tcW w:type="dxa" w:w="3173"/>
          </w:tcPr>
          <w:p>
            <w:r>
              <w:rPr>
                <w:sz w:val="19"/>
              </w:rPr>
            </w:r>
            <w:r>
              <w:rPr>
                <w:sz w:val="19"/>
              </w:rPr>
              <w:t>Predios compartidos donde el reparto estaba anotado en observaciones</w:t>
            </w:r>
          </w:p>
        </w:tc>
        <w:tc>
          <w:tcPr>
            <w:tcW w:type="dxa" w:w="3173"/>
          </w:tcPr>
          <w:p>
            <w:r>
              <w:rPr>
                <w:sz w:val="19"/>
              </w:rPr>
            </w:r>
            <w:r>
              <w:rPr>
                <w:sz w:val="19"/>
              </w:rPr>
              <w:t>22 predios</w:t>
            </w:r>
          </w:p>
        </w:tc>
        <w:tc>
          <w:tcPr>
            <w:tcW w:type="dxa" w:w="3173"/>
          </w:tcPr>
          <w:p>
            <w:r>
              <w:rPr>
                <w:sz w:val="19"/>
              </w:rPr>
            </w:r>
            <w:r>
              <w:rPr>
                <w:sz w:val="19"/>
              </w:rPr>
              <w:t>−98,48 ha de superficie duplicada</w:t>
            </w:r>
          </w:p>
        </w:tc>
      </w:tr>
    </w:tbl>
    <w:p>
      <w:pPr>
        <w:spacing w:after="40"/>
      </w:pPr>
    </w:p>
    <w:p>
      <w:pPr>
        <w:jc w:val="both"/>
      </w:pPr>
      <w:r>
        <w:t xml:space="preserve">Sobre la segunda: había 54 fichas en las que el área total, la superficie con riego y la superficie sin riego traían </w:t>
      </w:r>
      <w:r>
        <w:rPr>
          <w:b/>
        </w:rPr>
        <w:t>el mismo número</w:t>
      </w:r>
      <w:r>
        <w:t>, lo que es imposible: el predio no puede estar entero regado y entero sin regar a la vez. Se resolvieron según su posición respecto al canal, porque el sistema riega por gravedad y lo que queda por encima de la acequia no recibe agua: 27 quedaron como no regadas y 27 como regadas.</w:t>
      </w:r>
    </w:p>
    <w:p>
      <w:pPr>
        <w:jc w:val="both"/>
      </w:pPr>
      <w:r>
        <w:t>Sobre la tercera: en varios predios con varios titulares, cada ficha declaraba el predio completo, de modo que la misma superficie se contaba tantas veces como titulares hubiera. En 22 de ellos el propio técnico había anotado en el campo de observaciones cuánto le correspondía a cada uno; ese dato se recuperó.</w:t>
      </w:r>
    </w:p>
    <w:p>
      <w:pPr>
        <w:spacing w:before="40" w:after="160"/>
        <w:pBdr>
          <w:bottom w:val="single" w:sz="6" w:color="BFBFBF"/>
        </w:pBdr>
      </w:pPr>
    </w:p>
    <w:p>
      <w:pPr>
        <w:pStyle w:val="Heading2"/>
        <w:spacing w:before="240" w:after="80"/>
      </w:pPr>
      <w:r>
        <w:rPr>
          <w:b/>
          <w:color w:val="1F4E79"/>
          <w:sz w:val="28"/>
        </w:rPr>
        <w:t>Las cifras, antes y después</w:t>
      </w:r>
    </w:p>
    <w:p>
      <w:pPr>
        <w:jc w:val="both"/>
      </w:pPr>
      <w:r>
        <w:rPr>
          <w:b/>
        </w:rPr>
        <w:t>En la plataforma</w:t>
      </w:r>
      <w:r>
        <w:t xml:space="preserve"> (suma de las 6.831 fichas, incluidos los predios adicionales de cada titular):</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p>
        </w:tc>
        <w:tc>
          <w:tcPr>
            <w:tcW w:type="dxa" w:w="3173"/>
            <w:shd w:val="clear" w:color="auto" w:fill="1F4E79"/>
          </w:tcPr>
          <w:p>
            <w:r>
              <w:rPr>
                <w:color w:val="FFFFFF"/>
                <w:sz w:val="19"/>
              </w:rPr>
            </w:r>
            <w:r>
              <w:rPr>
                <w:b/>
                <w:color w:val="FFFFFF"/>
                <w:sz w:val="19"/>
              </w:rPr>
              <w:t>Antes</w:t>
            </w:r>
          </w:p>
        </w:tc>
        <w:tc>
          <w:tcPr>
            <w:tcW w:type="dxa" w:w="3173"/>
            <w:shd w:val="clear" w:color="auto" w:fill="1F4E79"/>
          </w:tcPr>
          <w:p>
            <w:r>
              <w:rPr>
                <w:color w:val="FFFFFF"/>
                <w:sz w:val="19"/>
              </w:rPr>
            </w:r>
            <w:r>
              <w:rPr>
                <w:b/>
                <w:color w:val="FFFFFF"/>
                <w:sz w:val="19"/>
              </w:rPr>
              <w:t>Ahora</w:t>
            </w:r>
          </w:p>
        </w:tc>
      </w:tr>
      <w:tr>
        <w:tc>
          <w:tcPr>
            <w:tcW w:type="dxa" w:w="3173"/>
          </w:tcPr>
          <w:p>
            <w:r>
              <w:rPr>
                <w:sz w:val="19"/>
              </w:rPr>
            </w:r>
            <w:r>
              <w:rPr>
                <w:sz w:val="19"/>
              </w:rPr>
              <w:t>Superficie total</w:t>
            </w:r>
          </w:p>
        </w:tc>
        <w:tc>
          <w:tcPr>
            <w:tcW w:type="dxa" w:w="3173"/>
          </w:tcPr>
          <w:p>
            <w:r>
              <w:rPr>
                <w:sz w:val="19"/>
              </w:rPr>
            </w:r>
            <w:r>
              <w:rPr>
                <w:sz w:val="19"/>
              </w:rPr>
              <w:t>10.294,99 ha</w:t>
            </w:r>
          </w:p>
        </w:tc>
        <w:tc>
          <w:tcPr>
            <w:tcW w:type="dxa" w:w="3173"/>
          </w:tcPr>
          <w:p>
            <w:r>
              <w:rPr>
                <w:sz w:val="19"/>
              </w:rPr>
            </w:r>
            <w:r>
              <w:rPr>
                <w:sz w:val="19"/>
              </w:rPr>
              <w:t>10.196,51 ha</w:t>
            </w:r>
          </w:p>
        </w:tc>
      </w:tr>
      <w:tr>
        <w:tc>
          <w:tcPr>
            <w:tcW w:type="dxa" w:w="3173"/>
          </w:tcPr>
          <w:p>
            <w:r>
              <w:rPr>
                <w:sz w:val="19"/>
              </w:rPr>
            </w:r>
            <w:r>
              <w:rPr>
                <w:b/>
                <w:sz w:val="19"/>
              </w:rPr>
              <w:t>Con riego</w:t>
            </w:r>
          </w:p>
        </w:tc>
        <w:tc>
          <w:tcPr>
            <w:tcW w:type="dxa" w:w="3173"/>
          </w:tcPr>
          <w:p>
            <w:r>
              <w:rPr>
                <w:sz w:val="19"/>
              </w:rPr>
            </w:r>
            <w:r>
              <w:rPr>
                <w:b/>
                <w:sz w:val="19"/>
              </w:rPr>
              <w:t>8.978,86 ha</w:t>
            </w:r>
          </w:p>
        </w:tc>
        <w:tc>
          <w:tcPr>
            <w:tcW w:type="dxa" w:w="3173"/>
          </w:tcPr>
          <w:p>
            <w:r>
              <w:rPr>
                <w:sz w:val="19"/>
              </w:rPr>
            </w:r>
            <w:r>
              <w:rPr>
                <w:b/>
                <w:sz w:val="19"/>
              </w:rPr>
              <w:t>7.633,76 ha</w:t>
            </w:r>
          </w:p>
        </w:tc>
      </w:tr>
      <w:tr>
        <w:tc>
          <w:tcPr>
            <w:tcW w:type="dxa" w:w="3173"/>
          </w:tcPr>
          <w:p>
            <w:r>
              <w:rPr>
                <w:sz w:val="19"/>
              </w:rPr>
            </w:r>
            <w:r>
              <w:rPr>
                <w:sz w:val="19"/>
              </w:rPr>
              <w:t>Sin riego</w:t>
            </w:r>
          </w:p>
        </w:tc>
        <w:tc>
          <w:tcPr>
            <w:tcW w:type="dxa" w:w="3173"/>
          </w:tcPr>
          <w:p>
            <w:r>
              <w:rPr>
                <w:sz w:val="19"/>
              </w:rPr>
            </w:r>
            <w:r>
              <w:rPr>
                <w:sz w:val="19"/>
              </w:rPr>
              <w:t>1.372,50 ha</w:t>
            </w:r>
          </w:p>
        </w:tc>
        <w:tc>
          <w:tcPr>
            <w:tcW w:type="dxa" w:w="3173"/>
          </w:tcPr>
          <w:p>
            <w:r>
              <w:rPr>
                <w:sz w:val="19"/>
              </w:rPr>
            </w:r>
            <w:r>
              <w:rPr>
                <w:sz w:val="19"/>
              </w:rPr>
              <w:t>2.562,75 ha</w:t>
            </w:r>
          </w:p>
        </w:tc>
      </w:tr>
      <w:tr>
        <w:tc>
          <w:tcPr>
            <w:tcW w:type="dxa" w:w="3173"/>
          </w:tcPr>
          <w:p>
            <w:r>
              <w:rPr>
                <w:sz w:val="19"/>
              </w:rPr>
            </w:r>
            <w:r>
              <w:rPr>
                <w:sz w:val="19"/>
              </w:rPr>
              <w:t>Diferencia entre la suma de las partes y el total</w:t>
            </w:r>
          </w:p>
        </w:tc>
        <w:tc>
          <w:tcPr>
            <w:tcW w:type="dxa" w:w="3173"/>
          </w:tcPr>
          <w:p>
            <w:r>
              <w:rPr>
                <w:sz w:val="19"/>
              </w:rPr>
            </w:r>
            <w:r>
              <w:rPr>
                <w:sz w:val="19"/>
              </w:rPr>
              <w:t>+56,38 ha</w:t>
            </w:r>
          </w:p>
        </w:tc>
        <w:tc>
          <w:tcPr>
            <w:tcW w:type="dxa" w:w="3173"/>
          </w:tcPr>
          <w:p>
            <w:r>
              <w:rPr>
                <w:sz w:val="19"/>
              </w:rPr>
            </w:r>
            <w:r>
              <w:rPr>
                <w:b/>
                <w:sz w:val="19"/>
              </w:rPr>
              <w:t>0,00 ha</w:t>
            </w:r>
          </w:p>
        </w:tc>
      </w:tr>
    </w:tbl>
    <w:p>
      <w:pPr>
        <w:spacing w:after="40"/>
      </w:pPr>
    </w:p>
    <w:p>
      <w:pPr>
        <w:jc w:val="both"/>
      </w:pPr>
      <w:r>
        <w:rPr>
          <w:b/>
        </w:rPr>
        <w:t>En los informes</w:t>
      </w:r>
      <w:r>
        <w:t xml:space="preserve"> (solo las fichas principales, una por regante, para no contar dos veces a la misma persona):</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p>
        </w:tc>
        <w:tc>
          <w:tcPr>
            <w:tcW w:type="dxa" w:w="3173"/>
            <w:shd w:val="clear" w:color="auto" w:fill="1F4E79"/>
          </w:tcPr>
          <w:p>
            <w:r>
              <w:rPr>
                <w:color w:val="FFFFFF"/>
                <w:sz w:val="19"/>
              </w:rPr>
            </w:r>
            <w:r>
              <w:rPr>
                <w:b/>
                <w:color w:val="FFFFFF"/>
                <w:sz w:val="19"/>
              </w:rPr>
              <w:t>Antes</w:t>
            </w:r>
          </w:p>
        </w:tc>
        <w:tc>
          <w:tcPr>
            <w:tcW w:type="dxa" w:w="3173"/>
            <w:shd w:val="clear" w:color="auto" w:fill="1F4E79"/>
          </w:tcPr>
          <w:p>
            <w:r>
              <w:rPr>
                <w:color w:val="FFFFFF"/>
                <w:sz w:val="19"/>
              </w:rPr>
            </w:r>
            <w:r>
              <w:rPr>
                <w:b/>
                <w:color w:val="FFFFFF"/>
                <w:sz w:val="19"/>
              </w:rPr>
              <w:t>Ahora</w:t>
            </w:r>
          </w:p>
        </w:tc>
      </w:tr>
      <w:tr>
        <w:tc>
          <w:tcPr>
            <w:tcW w:type="dxa" w:w="3173"/>
          </w:tcPr>
          <w:p>
            <w:r>
              <w:rPr>
                <w:sz w:val="19"/>
              </w:rPr>
            </w:r>
            <w:r>
              <w:rPr>
                <w:sz w:val="19"/>
              </w:rPr>
              <w:t>Superficie empadronada</w:t>
            </w:r>
          </w:p>
        </w:tc>
        <w:tc>
          <w:tcPr>
            <w:tcW w:type="dxa" w:w="3173"/>
          </w:tcPr>
          <w:p>
            <w:r>
              <w:rPr>
                <w:sz w:val="19"/>
              </w:rPr>
            </w:r>
            <w:r>
              <w:rPr>
                <w:sz w:val="19"/>
              </w:rPr>
              <w:t>8.310,30 ha</w:t>
            </w:r>
          </w:p>
        </w:tc>
        <w:tc>
          <w:tcPr>
            <w:tcW w:type="dxa" w:w="3173"/>
          </w:tcPr>
          <w:p>
            <w:r>
              <w:rPr>
                <w:sz w:val="19"/>
              </w:rPr>
            </w:r>
            <w:r>
              <w:rPr>
                <w:sz w:val="19"/>
              </w:rPr>
              <w:t>8.211,78 ha</w:t>
            </w:r>
          </w:p>
        </w:tc>
      </w:tr>
      <w:tr>
        <w:tc>
          <w:tcPr>
            <w:tcW w:type="dxa" w:w="3173"/>
          </w:tcPr>
          <w:p>
            <w:r>
              <w:rPr>
                <w:sz w:val="19"/>
              </w:rPr>
            </w:r>
            <w:r>
              <w:rPr>
                <w:sz w:val="19"/>
              </w:rPr>
              <w:t>Con riego</w:t>
            </w:r>
          </w:p>
        </w:tc>
        <w:tc>
          <w:tcPr>
            <w:tcW w:type="dxa" w:w="3173"/>
          </w:tcPr>
          <w:p>
            <w:r>
              <w:rPr>
                <w:sz w:val="19"/>
              </w:rPr>
            </w:r>
            <w:r>
              <w:rPr>
                <w:sz w:val="19"/>
              </w:rPr>
              <w:t>6.497,10 ha</w:t>
            </w:r>
          </w:p>
        </w:tc>
        <w:tc>
          <w:tcPr>
            <w:tcW w:type="dxa" w:w="3173"/>
          </w:tcPr>
          <w:p>
            <w:r>
              <w:rPr>
                <w:sz w:val="19"/>
              </w:rPr>
            </w:r>
            <w:r>
              <w:rPr>
                <w:sz w:val="19"/>
              </w:rPr>
              <w:t>6.431,60 ha</w:t>
            </w:r>
          </w:p>
        </w:tc>
      </w:tr>
      <w:tr>
        <w:tc>
          <w:tcPr>
            <w:tcW w:type="dxa" w:w="3173"/>
          </w:tcPr>
          <w:p>
            <w:r>
              <w:rPr>
                <w:sz w:val="19"/>
              </w:rPr>
            </w:r>
            <w:r>
              <w:rPr>
                <w:sz w:val="19"/>
              </w:rPr>
              <w:t>Proporción bajo riego</w:t>
            </w:r>
          </w:p>
        </w:tc>
        <w:tc>
          <w:tcPr>
            <w:tcW w:type="dxa" w:w="3173"/>
          </w:tcPr>
          <w:p>
            <w:r>
              <w:rPr>
                <w:sz w:val="19"/>
              </w:rPr>
            </w:r>
            <w:r>
              <w:rPr>
                <w:sz w:val="19"/>
              </w:rPr>
              <w:t>78,2 %</w:t>
            </w:r>
          </w:p>
        </w:tc>
        <w:tc>
          <w:tcPr>
            <w:tcW w:type="dxa" w:w="3173"/>
          </w:tcPr>
          <w:p>
            <w:r>
              <w:rPr>
                <w:sz w:val="19"/>
              </w:rPr>
            </w:r>
            <w:r>
              <w:rPr>
                <w:sz w:val="19"/>
              </w:rPr>
              <w:t>78,3 %</w:t>
            </w:r>
          </w:p>
        </w:tc>
      </w:tr>
    </w:tbl>
    <w:p>
      <w:pPr>
        <w:spacing w:after="40"/>
      </w:pPr>
    </w:p>
    <w:p>
      <w:pPr>
        <w:jc w:val="both"/>
      </w:pPr>
      <w:r>
        <w:t xml:space="preserve">Conviene fijarse en que </w:t>
      </w:r>
      <w:r>
        <w:rPr>
          <w:b/>
        </w:rPr>
        <w:t>la proporción bajo riego apenas se mueve</w:t>
      </w:r>
      <w:r>
        <w:t xml:space="preserve"> en los informes: 78,2 % antes, 78,3 % ahora. La caracterización del sistema no cambia. Lo que cambia es la cifra absoluta de la plataforma, que era la más afectada por la regla automática.</w:t>
      </w:r>
    </w:p>
    <w:p>
      <w:pPr>
        <w:spacing w:before="40" w:after="160"/>
        <w:pBdr>
          <w:bottom w:val="single" w:sz="6" w:color="BFBFBF"/>
        </w:pBdr>
      </w:pPr>
    </w:p>
    <w:p>
      <w:pPr>
        <w:pStyle w:val="Heading2"/>
        <w:spacing w:before="240" w:after="80"/>
      </w:pPr>
      <w:r>
        <w:rPr>
          <w:b/>
          <w:color w:val="1F4E79"/>
          <w:sz w:val="28"/>
        </w:rPr>
        <w:t>Lo que ahora cuadra y antes no</w:t>
      </w:r>
    </w:p>
    <w:p>
      <w:pPr>
        <w:jc w:val="both"/>
      </w:pPr>
      <w:r>
        <w:t>Es el mejor indicador de que la corrección iba en la dirección correcta.</w:t>
      </w:r>
    </w:p>
    <w:p>
      <w:pPr>
        <w:jc w:val="both"/>
      </w:pPr>
      <w:r>
        <w:t xml:space="preserve">La superficie con riego más la superficie sin riego deberían sumar exactamente la superficie total del padrón. Antes se pasaban en </w:t>
      </w:r>
      <w:r>
        <w:rPr>
          <w:b/>
        </w:rPr>
        <w:t>56,38 hectáreas</w:t>
      </w:r>
      <w:r>
        <w:t xml:space="preserve">: había terreno contado dos veces. </w:t>
      </w:r>
      <w:r>
        <w:rPr>
          <w:b/>
        </w:rPr>
        <w:t>Hoy la suma es exacta.</w:t>
      </w:r>
    </w:p>
    <w:p>
      <w:pPr>
        <w:spacing w:before="40" w:after="160"/>
        <w:pBdr>
          <w:bottom w:val="single" w:sz="6" w:color="BFBFBF"/>
        </w:pBdr>
      </w:pPr>
    </w:p>
    <w:p>
      <w:pPr>
        <w:pStyle w:val="Heading2"/>
        <w:spacing w:before="240" w:after="80"/>
      </w:pPr>
      <w:r>
        <w:rPr>
          <w:b/>
          <w:color w:val="1F4E79"/>
          <w:sz w:val="28"/>
        </w:rPr>
        <w:t>Lo que no cambió</w:t>
      </w:r>
    </w:p>
    <w:p>
      <w:pPr>
        <w:pStyle w:val="ListBullet"/>
        <w:spacing w:after="60"/>
      </w:pPr>
      <w:r>
        <w:rPr>
          <w:b/>
        </w:rPr>
        <w:t>El número de fichas y de regantes</w:t>
      </w:r>
      <w:r>
        <w:t>: 6.831 fichas, 4.307 regantes. No se eliminó ni se añadió ninguna.</w:t>
      </w:r>
    </w:p>
    <w:p>
      <w:pPr>
        <w:pStyle w:val="ListBullet"/>
        <w:spacing w:after="60"/>
      </w:pPr>
      <w:r>
        <w:rPr>
          <w:b/>
        </w:rPr>
        <w:t>El caudal del sistema</w:t>
      </w:r>
      <w:r>
        <w:t>: 950,16 l/s, igual que antes. Se calcula por comunidad y no depende de estas superficies.</w:t>
      </w:r>
    </w:p>
    <w:p>
      <w:pPr>
        <w:pStyle w:val="ListBullet"/>
        <w:spacing w:after="60"/>
      </w:pPr>
      <w:r>
        <w:rPr>
          <w:b/>
        </w:rPr>
        <w:t>La superficie de cada predio según el catastro municipal</w:t>
      </w:r>
      <w:r>
        <w:t>: no se tocó. La superficie total del padrón solo baja 98,48 ha, y por una razón concreta —los 22 predios en los que la misma superficie se contaba varias veces.</w:t>
      </w:r>
    </w:p>
    <w:p>
      <w:pPr>
        <w:spacing w:before="40" w:after="160"/>
        <w:pBdr>
          <w:bottom w:val="single" w:sz="6" w:color="BFBFBF"/>
        </w:pBdr>
      </w:pPr>
    </w:p>
    <w:p>
      <w:pPr>
        <w:pStyle w:val="Heading2"/>
        <w:spacing w:before="240" w:after="80"/>
      </w:pPr>
      <w:r>
        <w:rPr>
          <w:b/>
          <w:color w:val="1F4E79"/>
          <w:sz w:val="28"/>
        </w:rPr>
        <w:t>Qué sigue abierto</w:t>
      </w:r>
    </w:p>
    <w:p>
      <w:pPr>
        <w:jc w:val="both"/>
      </w:pPr>
      <w:r>
        <w:t xml:space="preserve">Quedan </w:t>
      </w:r>
      <w:r>
        <w:rPr>
          <w:b/>
        </w:rPr>
        <w:t>305 predios</w:t>
      </w:r>
      <w:r>
        <w:t xml:space="preserve"> en los que la superficie declarada supera la del polígono catastral, con </w:t>
      </w:r>
      <w:r>
        <w:rPr>
          <w:b/>
        </w:rPr>
        <w:t>1.859,05 hectáreas</w:t>
      </w:r>
      <w:r>
        <w:t xml:space="preserve"> de diferencia. Casi todos son predios con varios titulares donde cada uno declaró el predio completo.</w:t>
      </w:r>
    </w:p>
    <w:p>
      <w:pPr>
        <w:jc w:val="both"/>
      </w:pPr>
      <w:r>
        <w:t>Están identificados uno por uno, y cada caso indica qué le falta para cerrarse: si nadie anotó su parte, si falta alguna ficha por anotar, o si lo anotado no llega a cubrir el predio. Se pueden consultar en la plataforma, en la pantalla de auditoría de áreas.</w:t>
      </w:r>
    </w:p>
    <w:p>
      <w:pPr>
        <w:jc w:val="both"/>
      </w:pPr>
      <w:r>
        <w:t xml:space="preserve">También está por decidir un criterio de fondo: </w:t>
      </w:r>
      <w:r>
        <w:rPr>
          <w:b/>
        </w:rPr>
        <w:t>cuando la superficie declarada en campo y la del catastro municipal no coinciden, cuál de las dos manda</w:t>
      </w:r>
      <w:r>
        <w:t>. Hoy conviven ambas según el uso; unificarlas dejaría una única superficie oficial para todo el estudio.</w:t>
      </w:r>
    </w:p>
    <w:p>
      <w:pPr>
        <w:spacing w:before="40" w:after="160"/>
        <w:pBdr>
          <w:bottom w:val="single" w:sz="6" w:color="BFBFBF"/>
        </w:pBdr>
      </w:pPr>
    </w:p>
    <w:p>
      <w:pPr>
        <w:pStyle w:val="Heading2"/>
        <w:spacing w:before="240" w:after="80"/>
      </w:pPr>
      <w:r>
        <w:rPr>
          <w:b/>
          <w:color w:val="1F4E79"/>
          <w:sz w:val="28"/>
        </w:rPr>
        <w:t>Cómo comprobarlo</w:t>
      </w:r>
    </w:p>
    <w:p>
      <w:pPr>
        <w:jc w:val="both"/>
      </w:pPr>
      <w:r>
        <w:t>Todas las cifras de este documento se recalculan desde el archivo de campo cada vez que se actualiza el padrón. La pantalla de auditoría de áreas muestra el estado al día: cuántas fichas tienen ya su superficie cuadrada, cuántas conservan alguna inconsistencia y de qué tipo es cada una.</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