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67084A">
      <w:pPr>
        <w:divId w:val="124178844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67084A">
      <w:pPr>
        <w:pStyle w:val="Ttulo1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Datos en proceso de depuración.</w:t>
      </w:r>
      <w:r>
        <w:rPr>
          <w:rFonts w:ascii="Plus Jakarta Sans" w:hAnsi="Plus Jakarta Sans"/>
          <w:lang w:val="es-ES"/>
        </w:rPr>
        <w:t xml:space="preserve"> Las cifras de este informe corresponden al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estado del padrón a la fecha de corte y </w:t>
      </w:r>
      <w:r>
        <w:rPr>
          <w:rStyle w:val="Textoennegrita"/>
          <w:rFonts w:ascii="Plus Jakarta Sans" w:hAnsi="Plus Jakarta Sans"/>
          <w:lang w:val="es-ES"/>
        </w:rPr>
        <w:t>se siguen depurando</w:t>
      </w:r>
      <w:r>
        <w:rPr>
          <w:rFonts w:ascii="Plus Jakarta Sans" w:hAnsi="Plus Jakarta Sans"/>
          <w:lang w:val="es-ES"/>
        </w:rPr>
        <w:t xml:space="preserve"> junto con el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GAD Cayambe. Al cerrar la depuración hay que </w:t>
      </w:r>
      <w:r>
        <w:rPr>
          <w:rStyle w:val="Textoennegrita"/>
          <w:rFonts w:ascii="Plus Jakarta Sans" w:hAnsi="Plus Jakarta Sans"/>
          <w:lang w:val="es-ES"/>
        </w:rPr>
        <w:t>regen</w:t>
      </w:r>
      <w:r>
        <w:rPr>
          <w:rStyle w:val="Textoennegrita"/>
          <w:rFonts w:ascii="Plus Jakarta Sans" w:hAnsi="Plus Jakarta Sans"/>
          <w:lang w:val="es-ES"/>
        </w:rPr>
        <w:t>erar este documento</w:t>
      </w:r>
      <w:r>
        <w:rPr>
          <w:rFonts w:ascii="Plus Jakarta Sans" w:hAnsi="Plus Jakarta Sans"/>
          <w:lang w:val="es-ES"/>
        </w:rPr>
        <w:t>, y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con él los capítulos y el consolidado, porque los totales pueden cambiar.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Todas las superficies de este informe son las declaradas por los regantes</w:t>
      </w:r>
      <w:r>
        <w:rPr>
          <w:rFonts w:ascii="Plus Jakarta Sans" w:hAnsi="Plus Jakarta Sans"/>
          <w:lang w:val="es-ES"/>
        </w:rPr>
        <w:t>,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no la medición catastral. Son dos unidades distintas y no se suman entre sí: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en los predios familiares cada heredero declara el terreno completo, así que lo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declarado supera a lo que miden los polígonos. La superficie del territorio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—la que se entrega al consorcio y al agrónomo— se mide por polígono catastral y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está en el </w:t>
      </w:r>
      <w:r>
        <w:rPr>
          <w:rFonts w:ascii="Plus Jakarta Sans" w:hAnsi="Plus Jakarta Sans"/>
          <w:lang w:val="es-ES"/>
        </w:rPr>
        <w:t>informe consolidado y en el capítulo del predio.</w:t>
      </w:r>
    </w:p>
    <w:p w:rsidR="00000000" w:rsidRDefault="0067084A">
      <w:pPr>
        <w:spacing w:before="450" w:after="450"/>
        <w:divId w:val="52975830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67084A">
      <w:pPr>
        <w:pStyle w:val="Ttulo2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 L</w:t>
      </w:r>
      <w:r>
        <w:rPr>
          <w:rFonts w:eastAsia="Times New Roman"/>
          <w:lang w:val="es-ES"/>
        </w:rPr>
        <w:t>evantamiento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67084A">
      <w:pPr>
        <w:numPr>
          <w:ilvl w:val="0"/>
          <w:numId w:val="1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6,830 fichas</w:t>
      </w:r>
    </w:p>
    <w:p w:rsidR="00000000" w:rsidRDefault="0067084A">
      <w:pPr>
        <w:numPr>
          <w:ilvl w:val="0"/>
          <w:numId w:val="1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Predios Vinculados en Ca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5,993 polígonos unificados</w:t>
      </w:r>
    </w:p>
    <w:p w:rsidR="00000000" w:rsidRDefault="0067084A">
      <w:pPr>
        <w:numPr>
          <w:ilvl w:val="0"/>
          <w:numId w:val="1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13,626 parcelas agrícolas</w:t>
      </w:r>
    </w:p>
    <w:p w:rsidR="00000000" w:rsidRDefault="0067084A">
      <w:pPr>
        <w:numPr>
          <w:ilvl w:val="0"/>
          <w:numId w:val="1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169,471 especies pecuarias</w:t>
      </w:r>
    </w:p>
    <w:p w:rsidR="00000000" w:rsidRDefault="0067084A">
      <w:pPr>
        <w:spacing w:before="450" w:after="450"/>
        <w:divId w:val="52975830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6" style="width:0;height:.75pt" o:hralign="center" o:hrstd="t" o:hr="t" fillcolor="#a0a0a0" stroked="f"/>
        </w:pict>
      </w:r>
    </w:p>
    <w:p w:rsidR="00000000" w:rsidRDefault="0067084A">
      <w:pPr>
        <w:pStyle w:val="Ttulo2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</w:t>
      </w:r>
      <w:r>
        <w:rPr>
          <w:rStyle w:val="Textoennegrita"/>
          <w:rFonts w:ascii="Plus Jakarta Sans" w:hAnsi="Plus Jakarta Sans"/>
          <w:lang w:val="es-ES"/>
        </w:rPr>
        <w:t>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157536105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15753610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5,654</w:t>
            </w:r>
          </w:p>
        </w:tc>
      </w:tr>
      <w:tr w:rsidR="00000000">
        <w:trPr>
          <w:divId w:val="15753610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637</w:t>
            </w:r>
          </w:p>
        </w:tc>
      </w:tr>
      <w:tr w:rsidR="00000000">
        <w:trPr>
          <w:divId w:val="15753610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>
        <w:trPr>
          <w:divId w:val="15753610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:rsidR="00000000" w:rsidRDefault="0067084A">
      <w:pPr>
        <w:spacing w:before="450" w:after="450"/>
        <w:divId w:val="52975830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7" style="width:0;height:.75pt" o:hralign="center" o:hrstd="t" o:hr="t" fillcolor="#a0a0a0" stroked="f"/>
        </w:pict>
      </w:r>
    </w:p>
    <w:p w:rsidR="00000000" w:rsidRDefault="0067084A">
      <w:pPr>
        <w:pStyle w:val="Ttulo2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A. </w:t>
      </w:r>
      <w:r>
        <w:rPr>
          <w:rFonts w:eastAsia="Times New Roman"/>
          <w:lang w:val="es-ES"/>
        </w:rPr>
        <w:t>Superficies de Tenencia y Cobertura de Riego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>
        <w:trPr>
          <w:divId w:val="73258495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7325849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</w:tr>
      <w:tr w:rsidR="00000000">
        <w:trPr>
          <w:divId w:val="7325849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33,505,712.28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26,347,917.33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24,822,553.60 m²</w:t>
            </w:r>
          </w:p>
        </w:tc>
      </w:tr>
      <w:tr w:rsidR="00000000">
        <w:trPr>
          <w:divId w:val="7325849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9,857.52 m² (0.986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11,601.90 m² (1.160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21,398.75 m² (2.140 ha)</w:t>
            </w:r>
          </w:p>
        </w:tc>
      </w:tr>
      <w:tr w:rsidR="00000000">
        <w:trPr>
          <w:divId w:val="7325849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28,071,587.96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19,890,915.25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15,988,580.54 m²</w:t>
            </w:r>
          </w:p>
        </w:tc>
      </w:tr>
      <w:tr w:rsidR="00000000">
        <w:trPr>
          <w:divId w:val="7325849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8,258.78 m² (0.826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8,758.66 m² (0.876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13,783.26 m² (1.378 ha)</w:t>
            </w:r>
          </w:p>
        </w:tc>
      </w:tr>
      <w:tr w:rsidR="00000000">
        <w:trPr>
          <w:divId w:val="7325849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Área sin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5,411,946.00 m² (541.19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6,457,001.99 m² (645.70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8,833,973.07 m² (883.40 ha)</w:t>
            </w:r>
          </w:p>
        </w:tc>
      </w:tr>
      <w:tr w:rsidR="00000000">
        <w:trPr>
          <w:divId w:val="7325849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</w:t>
            </w: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6,958 (51.1%)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4,541 (33.3%)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2,125 (15.6%)</w:t>
            </w:r>
          </w:p>
        </w:tc>
      </w:tr>
      <w:tr w:rsidR="00000000">
        <w:trPr>
          <w:divId w:val="7325849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49,273 (29.1%)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38,137 (22.5%)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82,052 (48.4%)</w:t>
            </w:r>
          </w:p>
        </w:tc>
      </w:tr>
    </w:tbl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sectores de investigación:</w:t>
      </w:r>
    </w:p>
    <w:p w:rsidR="00000000" w:rsidRDefault="0067084A">
      <w:pPr>
        <w:numPr>
          <w:ilvl w:val="0"/>
          <w:numId w:val="2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541.19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sin riego, lo que limita su capacidad de diversificación.</w:t>
      </w:r>
    </w:p>
    <w:p w:rsidR="00000000" w:rsidRDefault="0067084A">
      <w:pPr>
        <w:numPr>
          <w:ilvl w:val="0"/>
          <w:numId w:val="2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producción intermedia estable, conc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33.3%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sin riego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645.70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67084A">
      <w:pPr>
        <w:numPr>
          <w:ilvl w:val="0"/>
          <w:numId w:val="2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dispersión y altitud desfavor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able, presenta la mayor superficie sin riego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883.40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42.7%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 sin riego).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15.6%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necesidad prioritaria de impleme</w:t>
      </w:r>
      <w:r>
        <w:rPr>
          <w:rFonts w:ascii="Plus Jakarta Sans" w:eastAsia="Times New Roman" w:hAnsi="Plus Jakarta Sans"/>
          <w:sz w:val="21"/>
          <w:szCs w:val="21"/>
          <w:lang w:val="es-ES"/>
        </w:rPr>
        <w:t>ntar reservorios comunitarios y extensiones de ramales de riego en este sector.</w:t>
      </w:r>
    </w:p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Sin riego por Sector (ha):</w:t>
      </w:r>
    </w:p>
    <w:p w:rsidR="00000000" w:rsidRDefault="0067084A">
      <w:pPr>
        <w:jc w:val="center"/>
        <w:divId w:val="119461010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67084A">
      <w:pPr>
        <w:jc w:val="center"/>
        <w:divId w:val="181509554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Sin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la superficie total </w:t>
      </w:r>
      <w:r>
        <w:rPr>
          <w:rFonts w:ascii="Plus Jakarta Sans" w:eastAsia="Times New Roman" w:hAnsi="Plus Jakarta Sans"/>
          <w:lang w:val="es-ES"/>
        </w:rPr>
        <w:t>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83.8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16.2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24.5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35.6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67084A">
      <w:pPr>
        <w:spacing w:before="450" w:after="450"/>
        <w:divId w:val="52975830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</w:t>
      </w:r>
      <w:r>
        <w:rPr>
          <w:rFonts w:ascii="Plus Jakarta Sans" w:hAnsi="Plus Jakarta Sans"/>
          <w:lang w:val="es-ES"/>
        </w:rPr>
        <w:t>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>
        <w:trPr>
          <w:divId w:val="95113013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9511301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213 (6.3%)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(6.2%)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 (27.4%)</w:t>
            </w:r>
          </w:p>
        </w:tc>
      </w:tr>
      <w:tr w:rsidR="00000000">
        <w:trPr>
          <w:divId w:val="9511301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1339 (39.4%)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847 (37.3%)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518 (44.7%)</w:t>
            </w:r>
          </w:p>
        </w:tc>
      </w:tr>
      <w:tr w:rsidR="00000000">
        <w:trPr>
          <w:divId w:val="9511301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942 (27.7%)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493 (21.7%)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151 (13.0%)</w:t>
            </w:r>
          </w:p>
        </w:tc>
      </w:tr>
      <w:tr w:rsidR="00000000">
        <w:trPr>
          <w:divId w:val="9511301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828 (24.4%)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761 (33.5%)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142 (12.2%)</w:t>
            </w:r>
          </w:p>
        </w:tc>
      </w:tr>
      <w:tr w:rsidR="00000000">
        <w:trPr>
          <w:divId w:val="9511301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65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 (1.0%)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 (1.4%)</w:t>
            </w:r>
          </w:p>
        </w:tc>
      </w:tr>
      <w:tr w:rsidR="00000000">
        <w:trPr>
          <w:divId w:val="9511301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 (0.4%)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 (1.3%)</w:t>
            </w:r>
          </w:p>
        </w:tc>
      </w:tr>
    </w:tbl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</w:t>
      </w:r>
      <w:r>
        <w:rPr>
          <w:rFonts w:eastAsia="Times New Roman"/>
          <w:lang w:val="es-ES"/>
        </w:rPr>
        <w:t>ución de Predios:</w:t>
      </w:r>
    </w:p>
    <w:p w:rsidR="00000000" w:rsidRDefault="0067084A">
      <w:pPr>
        <w:jc w:val="center"/>
        <w:divId w:val="18961464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67084A">
      <w:pPr>
        <w:jc w:val="center"/>
        <w:divId w:val="66809302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67084A">
      <w:pPr>
        <w:spacing w:before="450" w:after="450"/>
        <w:divId w:val="52975830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9" style="width:0;height:.75pt" o:hralign="center" o:hrstd="t" o:hr="t" fillcolor="#a0a0a0" stroked="f"/>
        </w:pict>
      </w:r>
    </w:p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Evaluamos la carga </w:t>
      </w:r>
      <w:r>
        <w:rPr>
          <w:rFonts w:ascii="Plus Jakarta Sans" w:hAnsi="Plus Jakarta Sans"/>
          <w:lang w:val="es-ES"/>
        </w:rPr>
        <w:t>demográfica que soportan las UPAs familiares a través del número de hijos reportados por hogar:</w:t>
      </w:r>
    </w:p>
    <w:p w:rsidR="00000000" w:rsidRDefault="0067084A">
      <w:pPr>
        <w:numPr>
          <w:ilvl w:val="0"/>
          <w:numId w:val="3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67084A">
      <w:pPr>
        <w:numPr>
          <w:ilvl w:val="0"/>
          <w:numId w:val="3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:rsidR="00000000" w:rsidRDefault="0067084A">
      <w:pPr>
        <w:numPr>
          <w:ilvl w:val="0"/>
          <w:numId w:val="3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(Hogar promedio de ~4.6 personas).</w:t>
      </w:r>
    </w:p>
    <w:p w:rsidR="00000000" w:rsidRDefault="0067084A">
      <w:pPr>
        <w:numPr>
          <w:ilvl w:val="0"/>
          <w:numId w:val="3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3.4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~5.4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>
        <w:trPr>
          <w:divId w:val="6796453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6796453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608 (26.8%)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 (6.2%)</w:t>
            </w:r>
          </w:p>
        </w:tc>
      </w:tr>
      <w:tr w:rsidR="00000000">
        <w:trPr>
          <w:divId w:val="6796453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1040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622 (27.4%)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304 (26.2%)</w:t>
            </w:r>
          </w:p>
        </w:tc>
      </w:tr>
      <w:tr w:rsidR="00000000">
        <w:trPr>
          <w:divId w:val="6796453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599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506 (43.6%)</w:t>
            </w:r>
          </w:p>
        </w:tc>
      </w:tr>
      <w:tr w:rsidR="00000000">
        <w:trPr>
          <w:divId w:val="6796453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959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442 (19.5%)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278 (24.0%)</w:t>
            </w:r>
          </w:p>
        </w:tc>
      </w:tr>
    </w:tbl>
    <w:p w:rsidR="00000000" w:rsidRDefault="0067084A">
      <w:pPr>
        <w:spacing w:before="450" w:after="450"/>
        <w:divId w:val="52975830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El desarrollo productivo de las Unidades de Producción Agropecuaria (UPAs) se sustenta en la actividad pecuaria y en el destino de los cultivos </w:t>
      </w:r>
      <w:r>
        <w:rPr>
          <w:rFonts w:ascii="Plus Jakarta Sans" w:hAnsi="Plus Jakarta Sans"/>
          <w:lang w:val="es-ES"/>
        </w:rPr>
        <w:t>agrícolas cultivados en el territorio:</w:t>
      </w:r>
    </w:p>
    <w:p w:rsidR="00000000" w:rsidRDefault="0067084A">
      <w:pPr>
        <w:pStyle w:val="Ttulo4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67084A">
      <w:pPr>
        <w:jc w:val="center"/>
        <w:divId w:val="23240032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67084A">
      <w:pPr>
        <w:jc w:val="center"/>
        <w:divId w:val="31106542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51.1% (6,958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33.3% (4,541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15.6% (2,125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67084A">
      <w:pPr>
        <w:pStyle w:val="Ttulo4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Sector (Cabezas de Ganado):</w:t>
      </w:r>
    </w:p>
    <w:p w:rsidR="00000000" w:rsidRDefault="0067084A">
      <w:pPr>
        <w:jc w:val="center"/>
        <w:divId w:val="55523746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</w:t>
      </w: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cuarias</w:t>
      </w:r>
    </w:p>
    <w:p w:rsidR="00000000" w:rsidRDefault="0067084A">
      <w:pPr>
        <w:jc w:val="center"/>
        <w:divId w:val="141246265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67084A">
      <w:pPr>
        <w:pStyle w:val="Ttulo4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:rsidR="00000000" w:rsidRDefault="0067084A">
      <w:pPr>
        <w:jc w:val="center"/>
        <w:divId w:val="43903634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:rsidR="00000000" w:rsidRDefault="0067084A">
      <w:pPr>
        <w:jc w:val="center"/>
        <w:divId w:val="134821481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>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67084A">
      <w:pPr>
        <w:spacing w:before="450" w:after="450"/>
        <w:divId w:val="52975830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</w:t>
      </w:r>
      <w:r>
        <w:rPr>
          <w:rFonts w:eastAsia="Times New Roman"/>
          <w:lang w:val="es-ES"/>
        </w:rPr>
        <w:t xml:space="preserve"> Individuales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 continuación, se presenta de forma desagregada para cada sector los cultivos más frecuentes (con su cantidad de parcelas y proporción porcentual) y las especies pecuarias dominantes (número de cabezas de ganado censadas):</w:t>
      </w:r>
    </w:p>
    <w:p w:rsidR="00000000" w:rsidRDefault="0067084A">
      <w:pPr>
        <w:pStyle w:val="Ttulo4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Sector 1: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</w:t>
      </w:r>
      <w:r>
        <w:rPr>
          <w:rFonts w:ascii="Plus Jakarta Sans" w:hAnsi="Plus Jakarta Sans"/>
          <w:lang w:val="es-ES"/>
        </w:rPr>
        <w:t>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203287933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20328793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67084A">
      <w:pPr>
        <w:pStyle w:val="Ttulo4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91037891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cuarias Principales</w:t>
            </w:r>
          </w:p>
        </w:tc>
      </w:tr>
      <w:tr w:rsidR="00000000">
        <w:trPr>
          <w:divId w:val="19103789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67084A">
      <w:pPr>
        <w:pStyle w:val="Ttulo4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201919207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20191920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67084A">
      <w:pPr>
        <w:spacing w:before="450" w:after="450"/>
        <w:divId w:val="52975830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2" style="width:0;height:.75pt" o:hralign="center" o:hrstd="t" o:hr="t" fillcolor="#a0a0a0" stroked="f"/>
        </w:pict>
      </w:r>
    </w:p>
    <w:p w:rsidR="00000000" w:rsidRDefault="0067084A">
      <w:pPr>
        <w:pStyle w:val="Ttulo2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2525879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252587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3180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818 (70.5%)</w:t>
            </w:r>
          </w:p>
        </w:tc>
      </w:tr>
      <w:tr w:rsidR="00000000">
        <w:trPr>
          <w:divId w:val="252587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209 (18.0%)</w:t>
            </w:r>
          </w:p>
        </w:tc>
      </w:tr>
      <w:tr w:rsidR="00000000">
        <w:trPr>
          <w:divId w:val="252587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211 (9.3%)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133 (11.5%)</w:t>
            </w:r>
          </w:p>
        </w:tc>
      </w:tr>
      <w:tr w:rsidR="00000000">
        <w:trPr>
          <w:divId w:val="252587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:rsidR="00000000" w:rsidRDefault="0067084A">
      <w:pPr>
        <w:spacing w:before="375" w:after="225"/>
        <w:jc w:val="center"/>
        <w:divId w:val="51052717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67084A">
      <w:pPr>
        <w:spacing w:after="375"/>
        <w:jc w:val="center"/>
        <w:divId w:val="111000923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B. Aplicación de </w:t>
      </w:r>
      <w:r>
        <w:rPr>
          <w:rFonts w:eastAsia="Times New Roman"/>
          <w:lang w:val="es-ES"/>
        </w:rPr>
        <w:t>Métodos de Riego por Sector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67084A">
      <w:pPr>
        <w:numPr>
          <w:ilvl w:val="0"/>
          <w:numId w:val="4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67084A">
      <w:pPr>
        <w:numPr>
          <w:ilvl w:val="0"/>
          <w:numId w:val="4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396 predios).</w:t>
      </w:r>
    </w:p>
    <w:p w:rsidR="00000000" w:rsidRDefault="0067084A">
      <w:pPr>
        <w:numPr>
          <w:ilvl w:val="0"/>
          <w:numId w:val="4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757 predios).</w:t>
      </w:r>
    </w:p>
    <w:p w:rsidR="00000000" w:rsidRDefault="0067084A">
      <w:pPr>
        <w:numPr>
          <w:ilvl w:val="0"/>
          <w:numId w:val="4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>Sector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282 predios).</w:t>
      </w:r>
    </w:p>
    <w:p w:rsidR="00000000" w:rsidRDefault="0067084A">
      <w:pPr>
        <w:numPr>
          <w:ilvl w:val="0"/>
          <w:numId w:val="4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67084A">
      <w:pPr>
        <w:numPr>
          <w:ilvl w:val="0"/>
          <w:numId w:val="4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2992 predios).</w:t>
      </w:r>
    </w:p>
    <w:p w:rsidR="00000000" w:rsidRDefault="0067084A">
      <w:pPr>
        <w:numPr>
          <w:ilvl w:val="0"/>
          <w:numId w:val="4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1795 predios).</w:t>
      </w:r>
    </w:p>
    <w:p w:rsidR="00000000" w:rsidRDefault="0067084A">
      <w:pPr>
        <w:numPr>
          <w:ilvl w:val="0"/>
          <w:numId w:val="4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799 predios).</w:t>
      </w:r>
    </w:p>
    <w:p w:rsidR="00000000" w:rsidRDefault="0067084A">
      <w:pPr>
        <w:numPr>
          <w:ilvl w:val="0"/>
          <w:numId w:val="4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67084A">
      <w:pPr>
        <w:numPr>
          <w:ilvl w:val="0"/>
          <w:numId w:val="4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175 predios).</w:t>
      </w:r>
    </w:p>
    <w:p w:rsidR="00000000" w:rsidRDefault="0067084A">
      <w:pPr>
        <w:numPr>
          <w:ilvl w:val="0"/>
          <w:numId w:val="4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579 predios).</w:t>
      </w:r>
    </w:p>
    <w:p w:rsidR="00000000" w:rsidRDefault="0067084A">
      <w:pPr>
        <w:numPr>
          <w:ilvl w:val="0"/>
          <w:numId w:val="4"/>
        </w:numPr>
        <w:spacing w:before="100" w:beforeAutospacing="1" w:after="90"/>
        <w:ind w:left="1020"/>
        <w:divId w:val="52975830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155 predios).</w:t>
      </w:r>
    </w:p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67084A">
      <w:pPr>
        <w:spacing w:before="375" w:after="225"/>
        <w:jc w:val="center"/>
        <w:divId w:val="140772562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67084A">
      <w:pPr>
        <w:spacing w:after="375"/>
        <w:jc w:val="center"/>
        <w:divId w:val="96496971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67084A">
      <w:pPr>
        <w:spacing w:before="450" w:after="450"/>
        <w:divId w:val="52975830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67084A">
      <w:pPr>
        <w:pStyle w:val="Ttulo2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</w:t>
      </w:r>
      <w:r>
        <w:rPr>
          <w:rFonts w:ascii="Plus Jakarta Sans" w:hAnsi="Plus Jakarta Sans"/>
          <w:lang w:val="es-ES"/>
        </w:rPr>
        <w:t>amente la información del catastro y el censo socio-agrícola, destacamos cuatro hallazgos clave de alto impacto para la planificación del proyecto: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</w:t>
      </w:r>
      <w:r>
        <w:rPr>
          <w:rStyle w:val="Textoennegrita"/>
          <w:rFonts w:ascii="Plus Jakarta Sans" w:hAnsi="Plus Jakarta Sans"/>
          <w:lang w:val="es-ES"/>
        </w:rPr>
        <w:t>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estructurarse asumiendo que los regantes operan UPAs de subsistencia a muy pequeña escal</w:t>
      </w:r>
      <w:r>
        <w:rPr>
          <w:rFonts w:ascii="Plus Jakarta Sans" w:hAnsi="Plus Jakarta Sans"/>
          <w:lang w:val="es-ES"/>
        </w:rPr>
        <w:t>a, lo que dificulta la tecnificación individual y hace imprescindible las soluciones de manejo asociativo.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</w:t>
      </w:r>
      <w:r>
        <w:rPr>
          <w:rFonts w:ascii="Plus Jakarta Sans" w:hAnsi="Plus Jakarta Sans"/>
          <w:lang w:val="es-ES"/>
        </w:rPr>
        <w:t xml:space="preserve">ctura privada o familiar es muy baja (menor al 8% en el mejor de los casos). Esto demuestra que el tejido social y organizativo local es la base fundamental del éxito del sistema. Las juntas de agua locales son las aliadas centrales en el desarrollo de la </w:t>
      </w:r>
      <w:r>
        <w:rPr>
          <w:rFonts w:ascii="Plus Jakarta Sans" w:hAnsi="Plus Jakarta Sans"/>
          <w:lang w:val="es-ES"/>
        </w:rPr>
        <w:t>presa y canales.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riego de todos los sectores, mientras que el riego por goteo (tecnología altamente eficient</w:t>
      </w:r>
      <w:r>
        <w:rPr>
          <w:rFonts w:ascii="Plus Jakarta Sans" w:hAnsi="Plus Jakarta Sans"/>
          <w:lang w:val="es-ES"/>
        </w:rPr>
        <w:t>e) tiene una cobertura casi inexistente (menor al 5% en predios activos). Existe una oportunidad enorme de optimización y ahorro de recursos hídricos incentivando la transición de aspersión a goteo.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>: En el área del</w:t>
      </w:r>
      <w:r>
        <w:rPr>
          <w:rFonts w:ascii="Plus Jakarta Sans" w:hAnsi="Plus Jakarta Sans"/>
          <w:lang w:val="es-ES"/>
        </w:rPr>
        <w:t xml:space="preserve">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dependen de la producción de parcelas menores a 0.5 ha. Garantizar un flujo constante de a</w:t>
      </w:r>
      <w:r>
        <w:rPr>
          <w:rFonts w:ascii="Plus Jakarta Sans" w:hAnsi="Plus Jakarta Sans"/>
          <w:lang w:val="es-ES"/>
        </w:rPr>
        <w:t>gua para riego no solo es un tema de desarrollo económico, sino de seguridad alimentaria directa para estas familias numerosas.</w:t>
      </w:r>
    </w:p>
    <w:p w:rsidR="00000000" w:rsidRDefault="0067084A">
      <w:pPr>
        <w:spacing w:before="450" w:after="450"/>
        <w:divId w:val="52975830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67084A">
      <w:pPr>
        <w:pStyle w:val="Ttulo2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6,830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70379722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7037972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3,350.57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2,807.16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543.41 ha</w:t>
            </w:r>
          </w:p>
        </w:tc>
      </w:tr>
      <w:tr w:rsidR="00000000">
        <w:trPr>
          <w:divId w:val="7037972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2,634.79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1,989.09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645.70 ha</w:t>
            </w:r>
          </w:p>
        </w:tc>
      </w:tr>
      <w:tr w:rsidR="00000000">
        <w:trPr>
          <w:divId w:val="7037972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2,482.26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1,598.86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883.40 ha</w:t>
            </w:r>
          </w:p>
        </w:tc>
      </w:tr>
      <w:tr w:rsidR="00000000">
        <w:trPr>
          <w:divId w:val="7037972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8,467.62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6,395.11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2,072.51 ha</w:t>
            </w:r>
          </w:p>
        </w:tc>
      </w:tr>
    </w:tbl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189808527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89808527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6,043</w:t>
            </w:r>
          </w:p>
        </w:tc>
      </w:tr>
      <w:tr w:rsidR="00000000">
        <w:trPr>
          <w:divId w:val="189808527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2,696</w:t>
            </w:r>
          </w:p>
        </w:tc>
      </w:tr>
    </w:tbl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185980932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18598093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>
        <w:trPr>
          <w:divId w:val="18598093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>
        <w:trPr>
          <w:divId w:val="18598093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97.4%</w:t>
            </w:r>
          </w:p>
        </w:tc>
      </w:tr>
    </w:tbl>
    <w:p w:rsidR="00000000" w:rsidRDefault="0067084A">
      <w:pPr>
        <w:pStyle w:val="Ttulo4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67084A">
      <w:pPr>
        <w:spacing w:before="375" w:after="225"/>
        <w:jc w:val="center"/>
        <w:divId w:val="198469397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67084A">
      <w:pPr>
        <w:spacing w:after="375"/>
        <w:jc w:val="center"/>
        <w:divId w:val="1751141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</w:t>
      </w:r>
      <w:r>
        <w:rPr>
          <w:rFonts w:eastAsia="Times New Roman"/>
          <w:lang w:val="es-ES"/>
        </w:rPr>
        <w:t>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100050389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10005038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3,372</w:t>
            </w:r>
          </w:p>
        </w:tc>
      </w:tr>
      <w:tr w:rsidR="00000000">
        <w:trPr>
          <w:divId w:val="10005038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2,119</w:t>
            </w:r>
          </w:p>
        </w:tc>
      </w:tr>
      <w:tr w:rsidR="00000000">
        <w:trPr>
          <w:divId w:val="10005038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1,115</w:t>
            </w:r>
          </w:p>
        </w:tc>
      </w:tr>
    </w:tbl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149737947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14973794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14973794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>
        <w:trPr>
          <w:divId w:val="14973794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3.4</w:t>
            </w:r>
          </w:p>
        </w:tc>
      </w:tr>
      <w:tr w:rsidR="00000000">
        <w:trPr>
          <w:divId w:val="14973794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21,962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6,830 titulares + 21,962 hijos = </w:t>
      </w:r>
      <w:r>
        <w:rPr>
          <w:rStyle w:val="Textoennegrita"/>
          <w:rFonts w:ascii="Plus Jakarta Sans" w:hAnsi="Plus Jakarta Sans"/>
          <w:lang w:val="es-ES"/>
        </w:rPr>
        <w:t>~28,792 personas</w:t>
      </w:r>
      <w:r>
        <w:rPr>
          <w:rFonts w:ascii="Plus Jakarta Sans" w:hAnsi="Plus Jakarta Sans"/>
          <w:lang w:val="es-ES"/>
        </w:rPr>
        <w:t>.</w:t>
      </w:r>
    </w:p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174216916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17421691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95.9%</w:t>
            </w:r>
          </w:p>
        </w:tc>
      </w:tr>
      <w:tr w:rsidR="00000000">
        <w:trPr>
          <w:divId w:val="17421691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94.6%</w:t>
            </w:r>
          </w:p>
        </w:tc>
      </w:tr>
    </w:tbl>
    <w:p w:rsidR="00000000" w:rsidRDefault="0067084A">
      <w:pPr>
        <w:pStyle w:val="Ttulo4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67084A">
      <w:pPr>
        <w:spacing w:before="375" w:after="225"/>
        <w:jc w:val="center"/>
        <w:divId w:val="53414960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67084A">
      <w:pPr>
        <w:spacing w:after="375"/>
        <w:jc w:val="center"/>
        <w:divId w:val="101511553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207199854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20719985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3,153</w:t>
            </w:r>
          </w:p>
        </w:tc>
      </w:tr>
      <w:tr w:rsidR="00000000">
        <w:trPr>
          <w:divId w:val="20719985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536</w:t>
            </w:r>
          </w:p>
        </w:tc>
      </w:tr>
      <w:tr w:rsidR="00000000">
        <w:trPr>
          <w:divId w:val="20719985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362</w:t>
            </w:r>
          </w:p>
        </w:tc>
      </w:tr>
      <w:tr w:rsidR="00000000">
        <w:trPr>
          <w:divId w:val="20719985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218</w:t>
            </w:r>
          </w:p>
        </w:tc>
      </w:tr>
      <w:tr w:rsidR="00000000">
        <w:trPr>
          <w:divId w:val="20719985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160</w:t>
            </w:r>
          </w:p>
        </w:tc>
      </w:tr>
      <w:tr w:rsidR="00000000">
        <w:trPr>
          <w:divId w:val="20719985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131</w:t>
            </w:r>
          </w:p>
        </w:tc>
      </w:tr>
    </w:tbl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24238002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2423800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</w:tr>
      <w:tr w:rsidR="00000000">
        <w:trPr>
          <w:divId w:val="2423800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1,329</w:t>
            </w:r>
          </w:p>
        </w:tc>
      </w:tr>
      <w:tr w:rsidR="00000000">
        <w:trPr>
          <w:divId w:val="2423800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988</w:t>
            </w:r>
          </w:p>
        </w:tc>
      </w:tr>
      <w:tr w:rsidR="00000000">
        <w:trPr>
          <w:divId w:val="2423800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563</w:t>
            </w:r>
          </w:p>
        </w:tc>
      </w:tr>
      <w:tr w:rsidR="00000000">
        <w:trPr>
          <w:divId w:val="2423800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:rsidR="00000000" w:rsidRDefault="0067084A">
      <w:pPr>
        <w:pStyle w:val="Ttulo3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59698818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5969881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4,961</w:t>
            </w:r>
          </w:p>
        </w:tc>
      </w:tr>
      <w:tr w:rsidR="00000000">
        <w:trPr>
          <w:divId w:val="5969881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67084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1,869</w:t>
            </w:r>
          </w:p>
        </w:tc>
      </w:tr>
    </w:tbl>
    <w:p w:rsidR="00000000" w:rsidRDefault="0067084A">
      <w:pPr>
        <w:pStyle w:val="Ttulo4"/>
        <w:divId w:val="52975830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67084A">
      <w:pPr>
        <w:spacing w:before="375" w:after="225"/>
        <w:jc w:val="center"/>
        <w:divId w:val="133399312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67084A">
      <w:pPr>
        <w:spacing w:after="375"/>
        <w:jc w:val="center"/>
        <w:divId w:val="57987533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67084A">
      <w:pPr>
        <w:spacing w:before="450" w:after="450"/>
        <w:divId w:val="52975830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67084A">
      <w:pPr>
        <w:spacing w:before="450" w:after="450"/>
        <w:divId w:val="52975830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67084A">
      <w:pPr>
        <w:pStyle w:val="NormalWeb"/>
        <w:divId w:val="529758303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67084A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E6DE4"/>
    <w:multiLevelType w:val="multilevel"/>
    <w:tmpl w:val="2A42A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A33347"/>
    <w:multiLevelType w:val="multilevel"/>
    <w:tmpl w:val="B7FC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07096E"/>
    <w:multiLevelType w:val="multilevel"/>
    <w:tmpl w:val="CAB2A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AF2893"/>
    <w:multiLevelType w:val="multilevel"/>
    <w:tmpl w:val="7842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84A"/>
    <w:rsid w:val="00670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6D3B8EA-160C-4A96-9C95-91297D225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97583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36105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58495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09554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1010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13013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9302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464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6453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06542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0032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46265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3746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21481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3634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8793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37891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207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879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0923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52717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96971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72562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79722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8527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0932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41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69397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0389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37947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16916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553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4960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99854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8002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8818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7533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99312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788446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2354</Words>
  <Characters>12949</Characters>
  <Application>Microsoft Office Word</Application>
  <DocSecurity>0</DocSecurity>
  <Lines>107</Lines>
  <Paragraphs>30</Paragraphs>
  <ScaleCrop>false</ScaleCrop>
  <Company/>
  <LinksUpToDate>false</LinksUpToDate>
  <CharactersWithSpaces>15273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2026-08-18T21:19:00Z</dcterms:created>
  <dcterms:modified xsi:type="dcterms:W3CDTF">2026-08-18T21:19:00Z</dcterms:modified>
</cp:coreProperties>
</file>