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A9B0E" w14:textId="77777777" w:rsidR="00000000" w:rsidRDefault="00753EA4">
      <w:pPr>
        <w:divId w:val="1302468380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Imprimir Reporte / Guardar PDF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7D2B4E23" w14:textId="77777777" w:rsidR="00000000" w:rsidRDefault="00753EA4">
      <w:pPr>
        <w:pStyle w:val="Ttulo1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Informe Técnico: Estado del Catastro y Levantamiento de Información</w:t>
      </w:r>
    </w:p>
    <w:p w14:paraId="01617DB2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Style w:val="nfasis"/>
          <w:rFonts w:ascii="Plus Jakarta Sans" w:hAnsi="Plus Jakarta Sans"/>
          <w:lang w:val="es-ES"/>
        </w:rPr>
        <w:t>Elaborado por el Equipo Técnico de ap&amp;catastro</w:t>
      </w:r>
    </w:p>
    <w:p w14:paraId="141FB536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Este informe técnico presenta los resultados consolidados del levantamiento catastral, de infraestructura y socio-productivo para el </w:t>
      </w:r>
      <w:r>
        <w:rPr>
          <w:rStyle w:val="Textoennegrita"/>
          <w:rFonts w:ascii="Plus Jakarta Sans" w:hAnsi="Plus Jakarta Sans"/>
          <w:lang w:val="es-ES"/>
        </w:rPr>
        <w:t>SISTEMA DE RIEGO COMUNITARIO GUANGUILQUI POROTOG</w:t>
      </w:r>
      <w:r>
        <w:rPr>
          <w:rFonts w:ascii="Plus Jakarta Sans" w:hAnsi="Plus Jakarta Sans"/>
          <w:lang w:val="es-ES"/>
        </w:rPr>
        <w:t xml:space="preserve"> al día de hoy. El documento sirve como soporte formal para la presentación</w:t>
      </w:r>
      <w:r>
        <w:rPr>
          <w:rFonts w:ascii="Plus Jakarta Sans" w:hAnsi="Plus Jakarta Sans"/>
          <w:lang w:val="es-ES"/>
        </w:rPr>
        <w:t xml:space="preserve"> y revisión del estado de avance de la consultoría.</w:t>
      </w:r>
    </w:p>
    <w:p w14:paraId="1F779E27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&gt; </w:t>
      </w:r>
      <w:r>
        <w:rPr>
          <w:rStyle w:val="Textoennegrita"/>
          <w:rFonts w:ascii="Plus Jakarta Sans" w:hAnsi="Plus Jakarta Sans"/>
          <w:lang w:val="es-ES"/>
        </w:rPr>
        <w:t>Datos en proceso de depuración.</w:t>
      </w:r>
      <w:r>
        <w:rPr>
          <w:rFonts w:ascii="Plus Jakarta Sans" w:hAnsi="Plus Jakarta Sans"/>
          <w:lang w:val="es-ES"/>
        </w:rPr>
        <w:t xml:space="preserve"> Las cifras de este informe corresponden al</w:t>
      </w:r>
    </w:p>
    <w:p w14:paraId="4AFB12B9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&gt; estado del padrón a la fecha de corte y </w:t>
      </w:r>
      <w:r>
        <w:rPr>
          <w:rStyle w:val="Textoennegrita"/>
          <w:rFonts w:ascii="Plus Jakarta Sans" w:hAnsi="Plus Jakarta Sans"/>
          <w:lang w:val="es-ES"/>
        </w:rPr>
        <w:t>se siguen depurando</w:t>
      </w:r>
      <w:r>
        <w:rPr>
          <w:rFonts w:ascii="Plus Jakarta Sans" w:hAnsi="Plus Jakarta Sans"/>
          <w:lang w:val="es-ES"/>
        </w:rPr>
        <w:t xml:space="preserve"> junto con el</w:t>
      </w:r>
    </w:p>
    <w:p w14:paraId="1D0A2F85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&gt; GAD Cayambe. Al cerrar la depuración hay que </w:t>
      </w:r>
      <w:r>
        <w:rPr>
          <w:rStyle w:val="Textoennegrita"/>
          <w:rFonts w:ascii="Plus Jakarta Sans" w:hAnsi="Plus Jakarta Sans"/>
          <w:lang w:val="es-ES"/>
        </w:rPr>
        <w:t>regen</w:t>
      </w:r>
      <w:r>
        <w:rPr>
          <w:rStyle w:val="Textoennegrita"/>
          <w:rFonts w:ascii="Plus Jakarta Sans" w:hAnsi="Plus Jakarta Sans"/>
          <w:lang w:val="es-ES"/>
        </w:rPr>
        <w:t>erar este documento</w:t>
      </w:r>
      <w:r>
        <w:rPr>
          <w:rFonts w:ascii="Plus Jakarta Sans" w:hAnsi="Plus Jakarta Sans"/>
          <w:lang w:val="es-ES"/>
        </w:rPr>
        <w:t>, y</w:t>
      </w:r>
    </w:p>
    <w:p w14:paraId="2ACDB71E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&gt; con él los capítulos y el consolidado, porque los totales pueden cambiar.</w:t>
      </w:r>
    </w:p>
    <w:p w14:paraId="30F6BD69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&gt;</w:t>
      </w:r>
    </w:p>
    <w:p w14:paraId="04CD31E0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&gt; </w:t>
      </w:r>
      <w:r>
        <w:rPr>
          <w:rStyle w:val="Textoennegrita"/>
          <w:rFonts w:ascii="Plus Jakarta Sans" w:hAnsi="Plus Jakarta Sans"/>
          <w:lang w:val="es-ES"/>
        </w:rPr>
        <w:t>Todas las superficies de este informe son las declaradas por los regantes</w:t>
      </w:r>
      <w:r>
        <w:rPr>
          <w:rFonts w:ascii="Plus Jakarta Sans" w:hAnsi="Plus Jakarta Sans"/>
          <w:lang w:val="es-ES"/>
        </w:rPr>
        <w:t>,</w:t>
      </w:r>
    </w:p>
    <w:p w14:paraId="4EFF11DA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&gt; no la medición catastral. Son dos unidades distintas y no se suman entre sí:</w:t>
      </w:r>
    </w:p>
    <w:p w14:paraId="2A5CA9DE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&gt; en los predios familiares cada heredero declara el terreno completo, así que lo</w:t>
      </w:r>
    </w:p>
    <w:p w14:paraId="3FED830A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&gt; declarado supera a lo que miden los polígonos. La superficie del territorio</w:t>
      </w:r>
    </w:p>
    <w:p w14:paraId="15C8E4DC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&gt; —la que se entrega al consorcio y al agrónomo— se mide por polígono catastral y</w:t>
      </w:r>
    </w:p>
    <w:p w14:paraId="570097AC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&gt; está en el </w:t>
      </w:r>
      <w:r>
        <w:rPr>
          <w:rFonts w:ascii="Plus Jakarta Sans" w:hAnsi="Plus Jakarta Sans"/>
          <w:lang w:val="es-ES"/>
        </w:rPr>
        <w:t>informe consolidado y en el capítulo del predio.</w:t>
      </w:r>
    </w:p>
    <w:p w14:paraId="4CC793D3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0CC8F4DB">
          <v:rect id="_x0000_i1025" style="width:0;height:.75pt" o:hralign="center" o:hrstd="t" o:hr="t" fillcolor="#a0a0a0" stroked="f"/>
        </w:pict>
      </w:r>
    </w:p>
    <w:p w14:paraId="1F7EE689" w14:textId="77777777" w:rsidR="00000000" w:rsidRDefault="00753EA4">
      <w:pPr>
        <w:pStyle w:val="Ttulo2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1. Resumen Ejecutivo del L</w:t>
      </w:r>
      <w:r>
        <w:rPr>
          <w:rFonts w:eastAsia="Times New Roman"/>
          <w:lang w:val="es-ES"/>
        </w:rPr>
        <w:t>evantamiento</w:t>
      </w:r>
    </w:p>
    <w:p w14:paraId="625EEA49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Actualmente, el levantamiento de información georreferenciada en campo presenta las siguientes métricas clave de cobertura global:</w:t>
      </w:r>
    </w:p>
    <w:p w14:paraId="6E4EEE86" w14:textId="77777777" w:rsidR="00000000" w:rsidRDefault="00753EA4">
      <w:pPr>
        <w:numPr>
          <w:ilvl w:val="0"/>
          <w:numId w:val="1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Total de Fichas Investigadas - Unidades de Producción Agropecuaria (UPAs)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6,830 fichas</w:t>
      </w:r>
    </w:p>
    <w:p w14:paraId="65217C1F" w14:textId="77777777" w:rsidR="00000000" w:rsidRDefault="00753EA4">
      <w:pPr>
        <w:numPr>
          <w:ilvl w:val="0"/>
          <w:numId w:val="1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Predios Vinculados en Ca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rtografía (Catastro)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5,987 polígonos unificados</w:t>
      </w:r>
    </w:p>
    <w:p w14:paraId="50A38B66" w14:textId="77777777" w:rsidR="00000000" w:rsidRDefault="00753EA4">
      <w:pPr>
        <w:numPr>
          <w:ilvl w:val="0"/>
          <w:numId w:val="1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Total de Cultivos Registrados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13,620 parcelas agrícolas</w:t>
      </w:r>
    </w:p>
    <w:p w14:paraId="2D27B59A" w14:textId="77777777" w:rsidR="00000000" w:rsidRDefault="00753EA4">
      <w:pPr>
        <w:numPr>
          <w:ilvl w:val="0"/>
          <w:numId w:val="1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Total de Animales Censados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169,471 especies pecuarias</w:t>
      </w:r>
    </w:p>
    <w:p w14:paraId="676E9DD9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lastRenderedPageBreak/>
        <w:pict w14:anchorId="14662DD5">
          <v:rect id="_x0000_i1026" style="width:0;height:.75pt" o:hralign="center" o:hrstd="t" o:hr="t" fillcolor="#a0a0a0" stroked="f"/>
        </w:pict>
      </w:r>
    </w:p>
    <w:p w14:paraId="19AA83EC" w14:textId="77777777" w:rsidR="00000000" w:rsidRDefault="00753EA4">
      <w:pPr>
        <w:pStyle w:val="Ttulo2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2. Cobertura por Parroquias y Comunidades</w:t>
      </w:r>
    </w:p>
    <w:p w14:paraId="3D93B267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La investigación cubre </w:t>
      </w:r>
      <w:r>
        <w:rPr>
          <w:rStyle w:val="Textoennegrita"/>
          <w:rFonts w:ascii="Plus Jakarta Sans" w:hAnsi="Plus Jakarta Sans"/>
          <w:lang w:val="es-ES"/>
        </w:rPr>
        <w:t>4 parroquia</w:t>
      </w:r>
      <w:r>
        <w:rPr>
          <w:rStyle w:val="Textoennegrita"/>
          <w:rFonts w:ascii="Plus Jakarta Sans" w:hAnsi="Plus Jakarta Sans"/>
          <w:lang w:val="es-ES"/>
        </w:rPr>
        <w:t>s principales</w:t>
      </w:r>
      <w:r>
        <w:rPr>
          <w:rFonts w:ascii="Plus Jakarta Sans" w:hAnsi="Plus Jakarta Sans"/>
          <w:lang w:val="es-ES"/>
        </w:rPr>
        <w:t xml:space="preserve"> del Cantón Cayambe, registrando la siguiente distribución de fichas asociadas: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4876"/>
      </w:tblGrid>
      <w:tr w:rsidR="00000000" w14:paraId="5286503B" w14:textId="77777777">
        <w:trPr>
          <w:divId w:val="124351815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2FDFB3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Parroquia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A5BE67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N° Fichas Asociadas</w:t>
            </w:r>
          </w:p>
        </w:tc>
      </w:tr>
      <w:tr w:rsidR="00000000" w14:paraId="76FE6A86" w14:textId="77777777">
        <w:trPr>
          <w:divId w:val="124351815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C0C6F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CANGAHUA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9DE24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5,654</w:t>
            </w:r>
          </w:p>
        </w:tc>
      </w:tr>
      <w:tr w:rsidR="00000000" w14:paraId="60AE27B2" w14:textId="77777777">
        <w:trPr>
          <w:divId w:val="124351815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49816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OTÓN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F532E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637</w:t>
            </w:r>
          </w:p>
        </w:tc>
      </w:tr>
      <w:tr w:rsidR="00000000" w14:paraId="16419A16" w14:textId="77777777">
        <w:trPr>
          <w:divId w:val="124351815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5D3D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ASCÁZUBI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0BF84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197</w:t>
            </w:r>
          </w:p>
        </w:tc>
      </w:tr>
      <w:tr w:rsidR="00000000" w14:paraId="5D54229F" w14:textId="77777777">
        <w:trPr>
          <w:divId w:val="124351815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C0F80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CUSUBAMBA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F94EE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342</w:t>
            </w:r>
          </w:p>
        </w:tc>
      </w:tr>
    </w:tbl>
    <w:p w14:paraId="7FC10486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2EF907AA">
          <v:rect id="_x0000_i1027" style="width:0;height:.75pt" o:hralign="center" o:hrstd="t" o:hr="t" fillcolor="#a0a0a0" stroked="f"/>
        </w:pict>
      </w:r>
    </w:p>
    <w:p w14:paraId="2AD795EC" w14:textId="77777777" w:rsidR="00000000" w:rsidRDefault="00753EA4">
      <w:pPr>
        <w:pStyle w:val="Ttulo2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3. Primeros Resultados por Sectores de Investigación (Sectores 1, 2 y 3)</w:t>
      </w:r>
    </w:p>
    <w:p w14:paraId="2B9F4159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A. </w:t>
      </w:r>
      <w:r>
        <w:rPr>
          <w:rFonts w:eastAsia="Times New Roman"/>
          <w:lang w:val="es-ES"/>
        </w:rPr>
        <w:t>Superficies de Tenencia y Cobertura de Riego</w:t>
      </w:r>
    </w:p>
    <w:p w14:paraId="179AB92B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La siguiente tabla compara las áreas cultivadas y las superficies bajo riego promedio reportadas por los regantes en cada sector: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092"/>
        <w:gridCol w:w="2092"/>
        <w:gridCol w:w="2092"/>
      </w:tblGrid>
      <w:tr w:rsidR="00000000" w14:paraId="03986EB9" w14:textId="77777777">
        <w:trPr>
          <w:divId w:val="201868970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BE6530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Métrica de Superficie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CAF9E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29F751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01E41A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</w:tr>
      <w:tr w:rsidR="00000000" w14:paraId="5F74613E" w14:textId="77777777">
        <w:trPr>
          <w:divId w:val="20186897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DC684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Fichas Totales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9A3B8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3,399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EB411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2,271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2C603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1,160</w:t>
            </w:r>
          </w:p>
        </w:tc>
      </w:tr>
      <w:tr w:rsidR="00000000" w14:paraId="127F33A8" w14:textId="77777777">
        <w:trPr>
          <w:divId w:val="20186897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C36F0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Área Total Declarada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8626E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33,059,322.72 m²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8FEFF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22,885,273.38 m²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F6CF6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23,984,155.02 m²</w:t>
            </w:r>
          </w:p>
        </w:tc>
      </w:tr>
      <w:tr w:rsidR="00000000" w14:paraId="486B35C4" w14:textId="77777777">
        <w:trPr>
          <w:divId w:val="20186897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ED5EF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Área Total Promedio por Predio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6106A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9,726.19 m² (0.973 ha)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48A46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10,077.18 m² (1.008 ha)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D81A0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20,676.00 m² (2.068 ha)</w:t>
            </w:r>
          </w:p>
        </w:tc>
      </w:tr>
      <w:tr w:rsidR="00000000" w14:paraId="09B400F6" w14:textId="77777777">
        <w:trPr>
          <w:divId w:val="20186897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FA750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Área con Riego Declarada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68325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27,641,067.98 m²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5FC7D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18,192,333.19 m²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82383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15,895,101.93 m²</w:t>
            </w:r>
          </w:p>
        </w:tc>
      </w:tr>
      <w:tr w:rsidR="00000000" w14:paraId="3F14F032" w14:textId="77777777">
        <w:trPr>
          <w:divId w:val="20186897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95827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Área con Riego Promedio por Predio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BA98F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8,132.12 m² (0.813 ha)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8B537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8,010.71 m² (0.801 ha)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0DA8E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13,702.67 m² (1.370 ha)</w:t>
            </w:r>
          </w:p>
        </w:tc>
      </w:tr>
      <w:tr w:rsidR="00000000" w14:paraId="4F35E13B" w14:textId="77777777">
        <w:trPr>
          <w:divId w:val="20186897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4F7F0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lastRenderedPageBreak/>
              <w:t>Área sin Riego Declarada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C86F8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5,396,076.38 m² (539.61 ha)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6C6FC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4,692,940.05 m² (469.29 ha)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09134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8,089,053.09 m² (808.91 ha)</w:t>
            </w:r>
          </w:p>
        </w:tc>
      </w:tr>
      <w:tr w:rsidR="00000000" w14:paraId="6434745F" w14:textId="77777777">
        <w:trPr>
          <w:divId w:val="20186897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0E7BF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Culti</w:t>
            </w: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vos en el Sector (% del total)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B74D7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6,954 (51.1%)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2281D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4,540 (33.3%)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DB681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2,123 (15.6%)</w:t>
            </w:r>
          </w:p>
        </w:tc>
      </w:tr>
      <w:tr w:rsidR="00000000" w14:paraId="4D47C7BA" w14:textId="77777777">
        <w:trPr>
          <w:divId w:val="20186897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6147B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Animales en el Sector (% del total)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08095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49,273 (29.1%)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5B701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38,086 (22.5%)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E7738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82,052 (48.4%)</w:t>
            </w:r>
          </w:p>
        </w:tc>
      </w:tr>
    </w:tbl>
    <w:p w14:paraId="55C60190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Análisis de Cobertura y Uso Sectorial:</w:t>
      </w:r>
    </w:p>
    <w:p w14:paraId="2836C6BC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El análisis de superficies revela una distribución productiva y de acceso al recurso hídrico altamente contrastante entre los tres sectores de investigación:</w:t>
      </w:r>
    </w:p>
    <w:p w14:paraId="5872D078" w14:textId="77777777" w:rsidR="00000000" w:rsidRDefault="00753EA4">
      <w:pPr>
        <w:numPr>
          <w:ilvl w:val="0"/>
          <w:numId w:val="2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Sector 1: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Concentra el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51.1%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de la producción agrícola y el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29.1%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de las especies pecuarias del sistema. A pesar de ser el motor agropecuario principal del proyecto, registra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539.61 ha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de tierras sin riego, lo que limita su capacidad de diversificación.</w:t>
      </w:r>
    </w:p>
    <w:p w14:paraId="47B471F2" w14:textId="77777777" w:rsidR="00000000" w:rsidRDefault="00753EA4">
      <w:pPr>
        <w:numPr>
          <w:ilvl w:val="0"/>
          <w:numId w:val="2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Sector 2: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Representa una zona de producción intermedia estable, conc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entrando el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33.3%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de los cultivos y el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22.5%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del ganado. Este sector mantiene una superficie sin riego de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469.29 ha</w:t>
      </w:r>
      <w:r>
        <w:rPr>
          <w:rFonts w:ascii="Plus Jakarta Sans" w:eastAsia="Times New Roman" w:hAnsi="Plus Jakarta Sans"/>
          <w:sz w:val="21"/>
          <w:szCs w:val="21"/>
          <w:lang w:val="es-ES"/>
        </w:rPr>
        <w:t>, sustentada principalmente en minifundios de explotación familiar.</w:t>
      </w:r>
    </w:p>
    <w:p w14:paraId="70842F65" w14:textId="77777777" w:rsidR="00000000" w:rsidRDefault="00753EA4">
      <w:pPr>
        <w:numPr>
          <w:ilvl w:val="0"/>
          <w:numId w:val="2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Sector 3: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Al ubicarse en las zonas de mayor dispersión y altitud desfavor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able, presenta la mayor superficie sin riego declarada del sistema con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808.91 ha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(el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44.5%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del total sin riego). Esta carencia crítica de cobertura de riego restringe su producción agrícola al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15.6%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del total, reflejando la necesidad prioritaria de impleme</w:t>
      </w:r>
      <w:r>
        <w:rPr>
          <w:rFonts w:ascii="Plus Jakarta Sans" w:eastAsia="Times New Roman" w:hAnsi="Plus Jakarta Sans"/>
          <w:sz w:val="21"/>
          <w:szCs w:val="21"/>
          <w:lang w:val="es-ES"/>
        </w:rPr>
        <w:t>ntar reservorios comunitarios y extensiones de ramales de riego en este sector.</w:t>
      </w:r>
    </w:p>
    <w:p w14:paraId="1A1B37C5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Gráfico de Cobertura de Riego vs Sin riego por Sector (ha):</w:t>
      </w:r>
    </w:p>
    <w:p w14:paraId="213740A2" w14:textId="77777777" w:rsidR="00000000" w:rsidRDefault="00753EA4">
      <w:pPr>
        <w:jc w:val="center"/>
        <w:divId w:val="2034644396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Cobertura de Riego</w:t>
      </w:r>
    </w:p>
    <w:p w14:paraId="5FB745F1" w14:textId="77777777" w:rsidR="00000000" w:rsidRDefault="00753EA4">
      <w:pPr>
        <w:jc w:val="center"/>
        <w:divId w:val="735057832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Cobertura de Suelo: Riego vs Sin riego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Distribución porcentual de la superficie total </w:t>
      </w:r>
      <w:r>
        <w:rPr>
          <w:rFonts w:ascii="Plus Jakarta Sans" w:eastAsia="Times New Roman" w:hAnsi="Plus Jakarta Sans"/>
          <w:lang w:val="es-ES"/>
        </w:rPr>
        <w:t>(Horizontal 100%</w:t>
      </w:r>
      <w:r>
        <w:rPr>
          <w:rFonts w:ascii="Plus Jakarta Sans" w:eastAsia="Times New Roman" w:hAnsi="Plus Jakarta Sans"/>
          <w:lang w:val="es-ES"/>
        </w:rPr>
        <w:t>)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100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83.7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16.3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79.5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20.5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66.3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33.7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Rieg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Sin rieg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15030625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22A7E2F2">
          <v:rect id="_x0000_i1028" style="width:0;height:.75pt" o:hralign="center" o:hrstd="t" o:hr="t" fillcolor="#a0a0a0" stroked="f"/>
        </w:pict>
      </w:r>
    </w:p>
    <w:p w14:paraId="300F79E2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B. Distribución del Tamaño de los Predios (Minifundio)</w:t>
      </w:r>
    </w:p>
    <w:p w14:paraId="5CC38EAB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Para entender la fragmentación de la tierra en la zona de estudio, se desglosa el tamaño de las propiedades de los regantes (Unidades de Producción Agropecuari</w:t>
      </w:r>
      <w:r>
        <w:rPr>
          <w:rFonts w:ascii="Plus Jakarta Sans" w:hAnsi="Plus Jakarta Sans"/>
          <w:lang w:val="es-ES"/>
        </w:rPr>
        <w:t>a - UPAs) en rangos lógicos de hectáreas: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1670"/>
        <w:gridCol w:w="1557"/>
        <w:gridCol w:w="1557"/>
      </w:tblGrid>
      <w:tr w:rsidR="00000000" w14:paraId="6CF075EA" w14:textId="77777777">
        <w:trPr>
          <w:divId w:val="1539778687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451F78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lastRenderedPageBreak/>
              <w:t>Rango de Propiedad (ha)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D52744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505264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759560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</w:tr>
      <w:tr w:rsidR="00000000" w14:paraId="4269D668" w14:textId="77777777">
        <w:trPr>
          <w:divId w:val="153977868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E87D6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Menos de 0.1 ha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(Microparcela)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1ED75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217 (6.4%)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37198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148 (6.5%)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DB982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323 (27.8%)</w:t>
            </w:r>
          </w:p>
        </w:tc>
      </w:tr>
      <w:tr w:rsidR="00000000" w14:paraId="37FCA2AD" w14:textId="77777777">
        <w:trPr>
          <w:divId w:val="153977868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53285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0.1 a 0.5 ha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(Pequeño predio)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40C77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1348 (39.7%)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31CD5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852 (37.5%)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A0698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519 (44.7%)</w:t>
            </w:r>
          </w:p>
        </w:tc>
      </w:tr>
      <w:tr w:rsidR="00000000" w14:paraId="1B1383ED" w14:textId="77777777">
        <w:trPr>
          <w:divId w:val="153977868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F9A9C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0.5 a 1.0 ha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>(Predio medio)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F221F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946 (27.8%)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0DB3E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504 (22.2%)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BBA77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153 (13.2%)</w:t>
            </w:r>
          </w:p>
        </w:tc>
      </w:tr>
      <w:tr w:rsidR="00000000" w14:paraId="65ED9D0F" w14:textId="77777777">
        <w:trPr>
          <w:divId w:val="153977868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B8E7D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1.0 a 5.0 ha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(Familiar)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A2637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812 (23.9%)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CFAA7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740 (32.6%)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CAB0C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141 (12.2%)</w:t>
            </w:r>
          </w:p>
        </w:tc>
      </w:tr>
      <w:tr w:rsidR="00000000" w14:paraId="7EEBA6AA" w14:textId="77777777">
        <w:trPr>
          <w:divId w:val="153977868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AF3A9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5.0 a 10.0 ha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(Mediana producción)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6698A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64 (1.9%)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FB1F8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20 (0.9%)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F638B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11 (0.9%)</w:t>
            </w:r>
          </w:p>
        </w:tc>
      </w:tr>
      <w:tr w:rsidR="00000000" w14:paraId="5E736D3F" w14:textId="77777777">
        <w:trPr>
          <w:divId w:val="153977868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65B93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Más de 10.0 ha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(Gran escala)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7EB3A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12 (0.4%)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BF6E4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7 (0.3%)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F76F3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13 (1.1%)</w:t>
            </w:r>
          </w:p>
        </w:tc>
      </w:tr>
    </w:tbl>
    <w:p w14:paraId="0D32EDEB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Gráfico de Distrib</w:t>
      </w:r>
      <w:r>
        <w:rPr>
          <w:rFonts w:eastAsia="Times New Roman"/>
          <w:lang w:val="es-ES"/>
        </w:rPr>
        <w:t>ución de Predios:</w:t>
      </w:r>
    </w:p>
    <w:p w14:paraId="75DE16A7" w14:textId="77777777" w:rsidR="00000000" w:rsidRDefault="00753EA4">
      <w:pPr>
        <w:jc w:val="center"/>
        <w:divId w:val="572282385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Distribución Predios</w:t>
      </w:r>
    </w:p>
    <w:p w14:paraId="6417ED0B" w14:textId="77777777" w:rsidR="00000000" w:rsidRDefault="00753EA4">
      <w:pPr>
        <w:jc w:val="center"/>
        <w:divId w:val="1677924377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Distribución del Tamaño de Predios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Porcentaje de predios en cada rango de hectáreas (ha</w:t>
      </w:r>
      <w:r>
        <w:rPr>
          <w:rFonts w:ascii="Plus Jakarta Sans" w:eastAsia="Times New Roman" w:hAnsi="Plus Jakarta Sans"/>
          <w:lang w:val="es-ES"/>
        </w:rPr>
        <w:t>)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30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40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&lt; 0.1 h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0.1-0.5 h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0.5-1.0 h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1.0-5.0 h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5.0-10.0 h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&gt; 10.0 h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04ED99E3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1DBA1DC1">
          <v:rect id="_x0000_i1029" style="width:0;height:.75pt" o:hralign="center" o:hrstd="t" o:hr="t" fillcolor="#a0a0a0" stroked="f"/>
        </w:pict>
      </w:r>
    </w:p>
    <w:p w14:paraId="2A35599B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C. Características de las Familias de Regantes</w:t>
      </w:r>
    </w:p>
    <w:p w14:paraId="5BBB555D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Evaluamos la carga </w:t>
      </w:r>
      <w:r>
        <w:rPr>
          <w:rFonts w:ascii="Plus Jakarta Sans" w:hAnsi="Plus Jakarta Sans"/>
          <w:lang w:val="es-ES"/>
        </w:rPr>
        <w:t>demográfica que soportan las UPAs familiares a través del número de hijos reportados por hogar:</w:t>
      </w:r>
    </w:p>
    <w:p w14:paraId="3CC6CA9E" w14:textId="77777777" w:rsidR="00000000" w:rsidRDefault="00753EA4">
      <w:pPr>
        <w:numPr>
          <w:ilvl w:val="0"/>
          <w:numId w:val="3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Promedio de Hijos por Hogar</w:t>
      </w:r>
      <w:r>
        <w:rPr>
          <w:rFonts w:ascii="Plus Jakarta Sans" w:eastAsia="Times New Roman" w:hAnsi="Plus Jakarta Sans"/>
          <w:sz w:val="21"/>
          <w:szCs w:val="21"/>
          <w:lang w:val="es-ES"/>
        </w:rPr>
        <w:t>:</w:t>
      </w:r>
    </w:p>
    <w:p w14:paraId="3157F693" w14:textId="77777777" w:rsidR="00000000" w:rsidRDefault="00753EA4">
      <w:pPr>
        <w:numPr>
          <w:ilvl w:val="0"/>
          <w:numId w:val="3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1: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3.5 hijos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(Hogar promedio de ~5.5 personas).</w:t>
      </w:r>
    </w:p>
    <w:p w14:paraId="169B43D1" w14:textId="77777777" w:rsidR="00000000" w:rsidRDefault="00753EA4">
      <w:pPr>
        <w:numPr>
          <w:ilvl w:val="0"/>
          <w:numId w:val="3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2: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2.6 hijos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</w:t>
      </w:r>
      <w:r>
        <w:rPr>
          <w:rFonts w:ascii="Plus Jakarta Sans" w:eastAsia="Times New Roman" w:hAnsi="Plus Jakarta Sans"/>
          <w:sz w:val="21"/>
          <w:szCs w:val="21"/>
          <w:lang w:val="es-ES"/>
        </w:rPr>
        <w:t>(Hogar promedio de ~4.6 personas).</w:t>
      </w:r>
    </w:p>
    <w:p w14:paraId="5D85574E" w14:textId="77777777" w:rsidR="00000000" w:rsidRDefault="00753EA4">
      <w:pPr>
        <w:numPr>
          <w:ilvl w:val="0"/>
          <w:numId w:val="3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3: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3.4 hijos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(Hogar promedio de ~5.4 personas).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853"/>
        <w:gridCol w:w="1728"/>
        <w:gridCol w:w="1728"/>
      </w:tblGrid>
      <w:tr w:rsidR="00000000" w14:paraId="1B865ECD" w14:textId="77777777">
        <w:trPr>
          <w:divId w:val="2056880119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7335E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Carga Familiar (N° Hijos)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E7042E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9833D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08FAB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</w:tr>
      <w:tr w:rsidR="00000000" w14:paraId="2BF69493" w14:textId="77777777">
        <w:trPr>
          <w:divId w:val="205688011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EF93A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Hogares Sin Hijos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0105F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207 (6.1%)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4F0F2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608 (26.8%)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05220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72 (6.2%)</w:t>
            </w:r>
          </w:p>
        </w:tc>
      </w:tr>
      <w:tr w:rsidR="00000000" w14:paraId="4D313F69" w14:textId="77777777">
        <w:trPr>
          <w:divId w:val="205688011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AE89D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Hogares con 1 a 2 hijos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E9FC8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1040 (30.6%)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89AC9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622 (27.4%)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AE3B9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304 (26.2%)</w:t>
            </w:r>
          </w:p>
        </w:tc>
      </w:tr>
      <w:tr w:rsidR="00000000" w14:paraId="3F806DA7" w14:textId="77777777">
        <w:trPr>
          <w:divId w:val="205688011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5A8F6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Hogares con 3 a 4 hijos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3BA68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1193 (35.1%)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71441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599 (26.4%)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4F050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506 (43.6%)</w:t>
            </w:r>
          </w:p>
        </w:tc>
      </w:tr>
      <w:tr w:rsidR="00000000" w14:paraId="6BBC86CB" w14:textId="77777777">
        <w:trPr>
          <w:divId w:val="205688011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FB7B8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lastRenderedPageBreak/>
              <w:t>Hogares con 5 o más hijos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BEDE6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959 (28.2%)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6718F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442 (19.5%)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36A09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278 (24.0%)</w:t>
            </w:r>
          </w:p>
        </w:tc>
      </w:tr>
    </w:tbl>
    <w:p w14:paraId="3A8BF8D5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081445AA">
          <v:rect id="_x0000_i1030" style="width:0;height:.75pt" o:hralign="center" o:hrstd="t" o:hr="t" fillcolor="#a0a0a0" stroked="f"/>
        </w:pict>
      </w:r>
    </w:p>
    <w:p w14:paraId="26D5CA30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D. Actividad y Producción Agropecuaria por Sector</w:t>
      </w:r>
    </w:p>
    <w:p w14:paraId="72BA5FDD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El desarrollo productivo de las Unidades de Producción Agropecuaria (UPAs) se sustenta en la actividad pecuaria y en el destino de los cultivos </w:t>
      </w:r>
      <w:r>
        <w:rPr>
          <w:rFonts w:ascii="Plus Jakarta Sans" w:hAnsi="Plus Jakarta Sans"/>
          <w:lang w:val="es-ES"/>
        </w:rPr>
        <w:t>agrícolas cultivados en el territorio:</w:t>
      </w:r>
    </w:p>
    <w:p w14:paraId="72FC859D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Distribución del Total de Cultivos por Sector:</w:t>
      </w:r>
    </w:p>
    <w:p w14:paraId="5C9EBA44" w14:textId="77777777" w:rsidR="00000000" w:rsidRDefault="00753EA4">
      <w:pPr>
        <w:jc w:val="center"/>
        <w:divId w:val="1628269596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Distribución de Cultivos</w:t>
      </w:r>
    </w:p>
    <w:p w14:paraId="505CA1A3" w14:textId="77777777" w:rsidR="00000000" w:rsidRDefault="00753EA4">
      <w:pPr>
        <w:jc w:val="center"/>
        <w:divId w:val="168108200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Distribución de Cultivos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Porcentaje y número de parcelas agrícolas registradas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100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51.1% (6,954 cultivos</w:t>
      </w:r>
      <w:r>
        <w:rPr>
          <w:rFonts w:ascii="Plus Jakarta Sans" w:eastAsia="Times New Roman" w:hAnsi="Plus Jakarta Sans"/>
          <w:lang w:val="es-ES"/>
        </w:rPr>
        <w:t>)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33.3% (4,540 cultivos</w:t>
      </w:r>
      <w:r>
        <w:rPr>
          <w:rFonts w:ascii="Plus Jakarta Sans" w:eastAsia="Times New Roman" w:hAnsi="Plus Jakarta Sans"/>
          <w:lang w:val="es-ES"/>
        </w:rPr>
        <w:t>)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15.6% (2,123 cultivos</w:t>
      </w:r>
      <w:r>
        <w:rPr>
          <w:rFonts w:ascii="Plus Jakarta Sans" w:eastAsia="Times New Roman" w:hAnsi="Plus Jakarta Sans"/>
          <w:lang w:val="es-ES"/>
        </w:rPr>
        <w:t>)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0CB1C961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Especies Pecuarias Principales por Sector (Cabezas de Ganado):</w:t>
      </w:r>
    </w:p>
    <w:p w14:paraId="1B873594" w14:textId="77777777" w:rsidR="00000000" w:rsidRDefault="00753EA4">
      <w:pPr>
        <w:jc w:val="center"/>
        <w:divId w:val="1440642301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Especies Pe</w:t>
      </w: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cuarias</w:t>
      </w:r>
    </w:p>
    <w:p w14:paraId="2D1F301B" w14:textId="77777777" w:rsidR="00000000" w:rsidRDefault="00753EA4">
      <w:pPr>
        <w:jc w:val="center"/>
        <w:divId w:val="1138575635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Especies Pecuarias Principales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Cabezas de ganado por tipo y sector de investigación (Censo</w:t>
      </w:r>
      <w:r>
        <w:rPr>
          <w:rFonts w:ascii="Plus Jakarta Sans" w:eastAsia="Times New Roman" w:hAnsi="Plus Jakarta Sans"/>
          <w:lang w:val="es-ES"/>
        </w:rPr>
        <w:t>)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16,25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32,50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48,75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65,00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Gallinas De C..</w:t>
      </w:r>
      <w:r>
        <w:rPr>
          <w:rFonts w:ascii="Plus Jakarta Sans" w:eastAsia="Times New Roman" w:hAnsi="Plus Jakarta Sans"/>
          <w:lang w:val="es-ES"/>
        </w:rPr>
        <w:t>.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Cuyes / Conejo</w:t>
      </w:r>
      <w:r>
        <w:rPr>
          <w:rFonts w:ascii="Plus Jakarta Sans" w:eastAsia="Times New Roman" w:hAnsi="Plus Jakarta Sans"/>
          <w:lang w:val="es-ES"/>
        </w:rPr>
        <w:t>s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Ovejas / Cabra</w:t>
      </w:r>
      <w:r>
        <w:rPr>
          <w:rFonts w:ascii="Plus Jakarta Sans" w:eastAsia="Times New Roman" w:hAnsi="Plus Jakarta Sans"/>
          <w:lang w:val="es-ES"/>
        </w:rPr>
        <w:t>s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Otro</w:t>
      </w:r>
      <w:r>
        <w:rPr>
          <w:rFonts w:ascii="Plus Jakarta Sans" w:eastAsia="Times New Roman" w:hAnsi="Plus Jakarta Sans"/>
          <w:lang w:val="es-ES"/>
        </w:rPr>
        <w:t>s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Pollos De Eng..</w:t>
      </w:r>
      <w:r>
        <w:rPr>
          <w:rFonts w:ascii="Plus Jakarta Sans" w:eastAsia="Times New Roman" w:hAnsi="Plus Jakarta Sans"/>
          <w:lang w:val="es-ES"/>
        </w:rPr>
        <w:t>.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20853E46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Destino de la Producción Agrícola por Sector:</w:t>
      </w:r>
    </w:p>
    <w:p w14:paraId="32B2BB54" w14:textId="77777777" w:rsidR="00000000" w:rsidRDefault="00753EA4">
      <w:pPr>
        <w:jc w:val="center"/>
        <w:divId w:val="2032683252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Destino de la Producción</w:t>
      </w:r>
    </w:p>
    <w:p w14:paraId="0DC94C54" w14:textId="77777777" w:rsidR="00000000" w:rsidRDefault="00753EA4">
      <w:pPr>
        <w:jc w:val="center"/>
        <w:divId w:val="1313946885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Destino de la Producción Agrícola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Cantidad de parcelas agrícolas según su propósito comercia</w:t>
      </w:r>
      <w:r>
        <w:rPr>
          <w:rFonts w:ascii="Plus Jakarta Sans" w:eastAsia="Times New Roman" w:hAnsi="Plus Jakarta Sans"/>
          <w:lang w:val="es-ES"/>
        </w:rPr>
        <w:t>l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87</w:t>
      </w:r>
      <w:r>
        <w:rPr>
          <w:rFonts w:ascii="Plus Jakarta Sans" w:eastAsia="Times New Roman" w:hAnsi="Plus Jakarta Sans"/>
          <w:lang w:val="es-ES"/>
        </w:rPr>
        <w:t>5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1,75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2,62</w:t>
      </w:r>
      <w:r>
        <w:rPr>
          <w:rFonts w:ascii="Plus Jakarta Sans" w:eastAsia="Times New Roman" w:hAnsi="Plus Jakarta Sans"/>
          <w:lang w:val="es-ES"/>
        </w:rPr>
        <w:t>5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3,50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Autoconsum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Mercado / Vent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>groindustri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Exportació</w:t>
      </w:r>
      <w:r>
        <w:rPr>
          <w:rFonts w:ascii="Plus Jakarta Sans" w:eastAsia="Times New Roman" w:hAnsi="Plus Jakarta Sans"/>
          <w:lang w:val="es-ES"/>
        </w:rPr>
        <w:t>n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7E81D893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0CC1485A">
          <v:rect id="_x0000_i1031" style="width:0;height:.75pt" o:hralign="center" o:hrstd="t" o:hr="t" fillcolor="#a0a0a0" stroked="f"/>
        </w:pict>
      </w:r>
    </w:p>
    <w:p w14:paraId="565E8A18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E. Detalle de Producción Agropecuaria por Sectores</w:t>
      </w:r>
      <w:r>
        <w:rPr>
          <w:rFonts w:eastAsia="Times New Roman"/>
          <w:lang w:val="es-ES"/>
        </w:rPr>
        <w:t xml:space="preserve"> Individuales</w:t>
      </w:r>
    </w:p>
    <w:p w14:paraId="03E49CF4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A continuación, se presenta de forma desagregada para cada sector los cultivos más frecuentes (con su cantidad de parcelas y proporción porcentual) y las especies pecuarias dominantes (número de cabezas de ganado censadas):</w:t>
      </w:r>
    </w:p>
    <w:p w14:paraId="7465F522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Sector 1:</w:t>
      </w:r>
    </w:p>
    <w:p w14:paraId="067A17E9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La produ</w:t>
      </w:r>
      <w:r>
        <w:rPr>
          <w:rFonts w:ascii="Plus Jakarta Sans" w:hAnsi="Plus Jakarta Sans"/>
          <w:lang w:val="es-ES"/>
        </w:rPr>
        <w:t>cción en el Sector 1 está fuertemente consolidada en cultivos hortícolas y ganadería menor de aves y cobayos.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4997"/>
      </w:tblGrid>
      <w:tr w:rsidR="00000000" w14:paraId="384830CE" w14:textId="77777777">
        <w:trPr>
          <w:divId w:val="1014529613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F3F12E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Cultivos Frecuentes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7839A4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Especies Pecuarias Principales</w:t>
            </w:r>
          </w:p>
        </w:tc>
      </w:tr>
      <w:tr w:rsidR="00000000" w14:paraId="142D1084" w14:textId="77777777">
        <w:trPr>
          <w:divId w:val="1014529613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851BCA" w14:textId="257F3CDD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!</w:t>
            </w:r>
            <w:hyperlink r:id="rId5" w:tgtFrame="_blank" w:history="1">
              <w:r>
                <w:rPr>
                  <w:rStyle w:val="Hipervnculo"/>
                  <w:rFonts w:ascii="Plus Jakarta Sans" w:eastAsia="Times New Roman" w:hAnsi="Plus Jakarta Sans"/>
                  <w:sz w:val="20"/>
                  <w:szCs w:val="20"/>
                </w:rPr>
                <w:t>Cultivos Sector 1</w:t>
              </w:r>
            </w:hyperlink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87DCC4" w14:textId="7640D0E1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!</w:t>
            </w:r>
            <w:hyperlink r:id="rId6" w:tgtFrame="_blank" w:history="1">
              <w:r>
                <w:rPr>
                  <w:rStyle w:val="Hipervnculo"/>
                  <w:rFonts w:ascii="Plus Jakarta Sans" w:eastAsia="Times New Roman" w:hAnsi="Plus Jakarta Sans"/>
                  <w:sz w:val="20"/>
                  <w:szCs w:val="20"/>
                </w:rPr>
                <w:t>Animales Sector 1</w:t>
              </w:r>
            </w:hyperlink>
          </w:p>
        </w:tc>
      </w:tr>
    </w:tbl>
    <w:p w14:paraId="1FDF4C1B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Sector 2:</w:t>
      </w:r>
    </w:p>
    <w:p w14:paraId="54776B78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El Sector 2 muestra un perfil diversificado con fuerte ganadería de vacunos productores de leche y cultivos de ciclo corto.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4997"/>
      </w:tblGrid>
      <w:tr w:rsidR="00000000" w14:paraId="2D61B7D3" w14:textId="77777777">
        <w:trPr>
          <w:divId w:val="712077634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62B543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Cultivos Frecuentes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D0769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Especies Pe</w:t>
            </w: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cuarias Principales</w:t>
            </w:r>
          </w:p>
        </w:tc>
      </w:tr>
      <w:tr w:rsidR="00000000" w14:paraId="581563BC" w14:textId="77777777">
        <w:trPr>
          <w:divId w:val="712077634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D5EC00" w14:textId="489BBD06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!</w:t>
            </w:r>
            <w:hyperlink r:id="rId7" w:tgtFrame="_blank" w:history="1">
              <w:r>
                <w:rPr>
                  <w:rStyle w:val="Hipervnculo"/>
                  <w:rFonts w:ascii="Plus Jakarta Sans" w:eastAsia="Times New Roman" w:hAnsi="Plus Jakarta Sans"/>
                  <w:sz w:val="20"/>
                  <w:szCs w:val="20"/>
                </w:rPr>
                <w:t>Cultivos Sector 2</w:t>
              </w:r>
            </w:hyperlink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CB8760" w14:textId="6EB976F5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!</w:t>
            </w:r>
            <w:hyperlink r:id="rId8" w:tgtFrame="_blank" w:history="1">
              <w:r>
                <w:rPr>
                  <w:rStyle w:val="Hipervnculo"/>
                  <w:rFonts w:ascii="Plus Jakarta Sans" w:eastAsia="Times New Roman" w:hAnsi="Plus Jakarta Sans"/>
                  <w:sz w:val="20"/>
                  <w:szCs w:val="20"/>
                </w:rPr>
                <w:t>Animales Sector 2</w:t>
              </w:r>
            </w:hyperlink>
          </w:p>
        </w:tc>
      </w:tr>
    </w:tbl>
    <w:p w14:paraId="47A018C9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Sector 3:</w:t>
      </w:r>
    </w:p>
    <w:p w14:paraId="63E3A9AA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El Sector 3, debido a su altitud y menor cobertura de canales secundarios, reporta especies pecuarias rústicas y cultivos andinos adaptados.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4997"/>
      </w:tblGrid>
      <w:tr w:rsidR="00000000" w14:paraId="04817C6F" w14:textId="77777777">
        <w:trPr>
          <w:divId w:val="1012335524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F0C603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Cultivos Frecuentes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E9201B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Especies Pecuarias Principales</w:t>
            </w:r>
          </w:p>
        </w:tc>
      </w:tr>
      <w:tr w:rsidR="00000000" w14:paraId="7745FF0D" w14:textId="77777777">
        <w:trPr>
          <w:divId w:val="1012335524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8F72E1" w14:textId="4F45D944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!</w:t>
            </w:r>
            <w:hyperlink r:id="rId9" w:tgtFrame="_blank" w:history="1">
              <w:r>
                <w:rPr>
                  <w:rStyle w:val="Hipervnculo"/>
                  <w:rFonts w:ascii="Plus Jakarta Sans" w:eastAsia="Times New Roman" w:hAnsi="Plus Jakarta Sans"/>
                  <w:sz w:val="20"/>
                  <w:szCs w:val="20"/>
                </w:rPr>
                <w:t>Cultivos Sector 3</w:t>
              </w:r>
            </w:hyperlink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3729A8" w14:textId="587D7F9E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!</w:t>
            </w:r>
            <w:hyperlink r:id="rId10" w:tgtFrame="_blank" w:history="1">
              <w:r>
                <w:rPr>
                  <w:rStyle w:val="Hipervnculo"/>
                  <w:rFonts w:ascii="Plus Jakarta Sans" w:eastAsia="Times New Roman" w:hAnsi="Plus Jakarta Sans"/>
                  <w:sz w:val="20"/>
                  <w:szCs w:val="20"/>
                </w:rPr>
                <w:t>Animales Sector 3</w:t>
              </w:r>
            </w:hyperlink>
          </w:p>
        </w:tc>
      </w:tr>
    </w:tbl>
    <w:p w14:paraId="53567AA6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6E016402">
          <v:rect id="_x0000_i1032" style="width:0;height:.75pt" o:hralign="center" o:hrstd="t" o:hr="t" fillcolor="#a0a0a0" stroked="f"/>
        </w:pict>
      </w:r>
    </w:p>
    <w:p w14:paraId="37AC25EB" w14:textId="77777777" w:rsidR="00000000" w:rsidRDefault="00753EA4">
      <w:pPr>
        <w:pStyle w:val="Ttulo2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4. Infraestructura y Métodos de Riego</w:t>
      </w:r>
    </w:p>
    <w:p w14:paraId="62378CA0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La infraestructura hidráulica y los métodos utilizados para regar los lotes reflejan la tecnología instalada en el territorio:</w:t>
      </w:r>
    </w:p>
    <w:p w14:paraId="081AB151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A. Sistemas de Riego (Tenencia de Reservorio)</w:t>
      </w:r>
    </w:p>
    <w:p w14:paraId="03112614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Comparación del tipo de reservorio del cual se abastece la familia: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1980"/>
        <w:gridCol w:w="1980"/>
        <w:gridCol w:w="1846"/>
      </w:tblGrid>
      <w:tr w:rsidR="00000000" w14:paraId="4AA06695" w14:textId="77777777">
        <w:trPr>
          <w:divId w:val="230697418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EE82D7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Tipo de Reservorio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1E4714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9993FF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CF6D49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</w:tr>
      <w:tr w:rsidR="00000000" w14:paraId="4A84BE27" w14:textId="77777777">
        <w:trPr>
          <w:divId w:val="230697418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8C2C8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Comunitario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95456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3180 (93.6%)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94851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2003 (88.2%)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C39DA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818 (70.5%)</w:t>
            </w:r>
          </w:p>
        </w:tc>
      </w:tr>
      <w:tr w:rsidR="00000000" w14:paraId="15A00A14" w14:textId="77777777">
        <w:trPr>
          <w:divId w:val="230697418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7FC2F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Privado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66A38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79 (2.3%)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9BE47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57 (2.5%)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99215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209 (18.0%)</w:t>
            </w:r>
          </w:p>
        </w:tc>
      </w:tr>
      <w:tr w:rsidR="00000000" w14:paraId="68C1BB5D" w14:textId="77777777">
        <w:trPr>
          <w:divId w:val="230697418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AF591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No tiene reservorio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F9873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140 (4.1%)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C459B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211 (9.3%)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B27F1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133 (11.5%)</w:t>
            </w:r>
          </w:p>
        </w:tc>
      </w:tr>
      <w:tr w:rsidR="00000000" w14:paraId="1894C8BB" w14:textId="77777777">
        <w:trPr>
          <w:divId w:val="230697418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3DD93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No definido / S/A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C30B8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0 (0.0%)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9E910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0 (0.0%)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2DFEC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0 (0.0%)</w:t>
            </w:r>
          </w:p>
        </w:tc>
      </w:tr>
    </w:tbl>
    <w:p w14:paraId="1EE561B6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Gráfico de Tenencia de Reservorio:</w:t>
      </w:r>
    </w:p>
    <w:p w14:paraId="60E24A4C" w14:textId="77777777" w:rsidR="00000000" w:rsidRDefault="00753EA4">
      <w:pPr>
        <w:spacing w:before="375" w:after="225"/>
        <w:jc w:val="center"/>
        <w:divId w:val="930553788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Reservorios</w:t>
      </w:r>
    </w:p>
    <w:p w14:paraId="644934E0" w14:textId="77777777" w:rsidR="00000000" w:rsidRDefault="00753EA4">
      <w:pPr>
        <w:spacing w:after="375"/>
        <w:jc w:val="center"/>
        <w:divId w:val="277958075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Tipo de Reservorio e Infraestructura de Rieg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Proporción de tenencia de reservorio (Horizontal 100%</w:t>
      </w:r>
      <w:r>
        <w:rPr>
          <w:rFonts w:ascii="Plus Jakarta Sans" w:eastAsia="Times New Roman" w:hAnsi="Plus Jakarta Sans"/>
          <w:lang w:val="es-ES"/>
        </w:rPr>
        <w:t>)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100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94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88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71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18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11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Comunitari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Privad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N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677E6B76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B. Aplicación de Métodos de Riego por Sector</w:t>
      </w:r>
    </w:p>
    <w:p w14:paraId="77ED71E5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Desglose del porcentaje de uso promedio para cada método de riego</w:t>
      </w:r>
      <w:r>
        <w:rPr>
          <w:rFonts w:ascii="Plus Jakarta Sans" w:hAnsi="Plus Jakarta Sans"/>
          <w:lang w:val="es-ES"/>
        </w:rPr>
        <w:t xml:space="preserve"> reportado en los predios que cuentan con cobertura hídrica:</w:t>
      </w:r>
    </w:p>
    <w:p w14:paraId="6B374AD6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Gravedad</w:t>
      </w:r>
      <w:r>
        <w:rPr>
          <w:rFonts w:ascii="Plus Jakarta Sans" w:eastAsia="Times New Roman" w:hAnsi="Plus Jakarta Sans"/>
          <w:sz w:val="21"/>
          <w:szCs w:val="21"/>
          <w:lang w:val="es-ES"/>
        </w:rPr>
        <w:t>:</w:t>
      </w:r>
    </w:p>
    <w:p w14:paraId="433EDC44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1: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93.7%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396 predios).</w:t>
      </w:r>
    </w:p>
    <w:p w14:paraId="5D950587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2: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79.8%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757 predios).</w:t>
      </w:r>
    </w:p>
    <w:p w14:paraId="3901EA4E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3: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94.2%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282 predios).</w:t>
      </w:r>
    </w:p>
    <w:p w14:paraId="19867925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Aspersión</w:t>
      </w:r>
      <w:r>
        <w:rPr>
          <w:rFonts w:ascii="Plus Jakarta Sans" w:eastAsia="Times New Roman" w:hAnsi="Plus Jakarta Sans"/>
          <w:sz w:val="21"/>
          <w:szCs w:val="21"/>
          <w:lang w:val="es-ES"/>
        </w:rPr>
        <w:t>:</w:t>
      </w:r>
    </w:p>
    <w:p w14:paraId="56E24CDE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1: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97.8%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2992 predios).</w:t>
      </w:r>
    </w:p>
    <w:p w14:paraId="42ABC4FA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>S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ector 2: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77.6%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1795 predios).</w:t>
      </w:r>
    </w:p>
    <w:p w14:paraId="52B08CFA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3: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87.3%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799 predios).</w:t>
      </w:r>
    </w:p>
    <w:p w14:paraId="5A1D2AB6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Goteo</w:t>
      </w:r>
      <w:r>
        <w:rPr>
          <w:rFonts w:ascii="Plus Jakarta Sans" w:eastAsia="Times New Roman" w:hAnsi="Plus Jakarta Sans"/>
          <w:sz w:val="21"/>
          <w:szCs w:val="21"/>
          <w:lang w:val="es-ES"/>
        </w:rPr>
        <w:t>:</w:t>
      </w:r>
    </w:p>
    <w:p w14:paraId="2BFC646E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1: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51.5%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175 predios).</w:t>
      </w:r>
    </w:p>
    <w:p w14:paraId="0CA5A169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2: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12.6%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579 predios).</w:t>
      </w:r>
    </w:p>
    <w:p w14:paraId="492DFDA1" w14:textId="77777777" w:rsidR="00000000" w:rsidRDefault="00753EA4">
      <w:pPr>
        <w:numPr>
          <w:ilvl w:val="0"/>
          <w:numId w:val="4"/>
        </w:numPr>
        <w:spacing w:before="100" w:beforeAutospacing="1" w:after="90"/>
        <w:ind w:left="1020"/>
        <w:divId w:val="507990143"/>
        <w:rPr>
          <w:rFonts w:ascii="Plus Jakarta Sans" w:eastAsia="Times New Roman" w:hAnsi="Plus Jakarta Sans"/>
          <w:sz w:val="21"/>
          <w:szCs w:val="21"/>
          <w:lang w:val="es-ES"/>
        </w:rPr>
      </w:pP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Sector 3: </w:t>
      </w:r>
      <w:r>
        <w:rPr>
          <w:rStyle w:val="Textoennegrita"/>
          <w:rFonts w:ascii="Plus Jakarta Sans" w:eastAsia="Times New Roman" w:hAnsi="Plus Jakarta Sans"/>
          <w:sz w:val="21"/>
          <w:szCs w:val="21"/>
          <w:lang w:val="es-ES"/>
        </w:rPr>
        <w:t>67.0%</w:t>
      </w:r>
      <w:r>
        <w:rPr>
          <w:rFonts w:ascii="Plus Jakarta Sans" w:eastAsia="Times New Roman" w:hAnsi="Plus Jakarta Sans"/>
          <w:sz w:val="21"/>
          <w:szCs w:val="21"/>
          <w:lang w:val="es-ES"/>
        </w:rPr>
        <w:t xml:space="preserve"> promedio (en 155 predios).</w:t>
      </w:r>
    </w:p>
    <w:p w14:paraId="0467E415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Gráfico de Métodos de Riego por Sector:</w:t>
      </w:r>
    </w:p>
    <w:p w14:paraId="20A59DE5" w14:textId="77777777" w:rsidR="00000000" w:rsidRDefault="00753EA4">
      <w:pPr>
        <w:spacing w:before="375" w:after="225"/>
        <w:jc w:val="center"/>
        <w:divId w:val="1845509884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Métodos de Riego</w:t>
      </w:r>
    </w:p>
    <w:p w14:paraId="0CA730BD" w14:textId="77777777" w:rsidR="00000000" w:rsidRDefault="00753EA4">
      <w:pPr>
        <w:spacing w:after="375"/>
        <w:jc w:val="center"/>
        <w:divId w:val="1962760635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Distribución de Métodos de Riego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Porcentaje de uso promedio de Gravedad, Aspersión y Gote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100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Graveda</w:t>
      </w:r>
      <w:r>
        <w:rPr>
          <w:rFonts w:ascii="Plus Jakarta Sans" w:eastAsia="Times New Roman" w:hAnsi="Plus Jakarta Sans"/>
          <w:lang w:val="es-ES"/>
        </w:rPr>
        <w:t>d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Aspersió</w:t>
      </w:r>
      <w:r>
        <w:rPr>
          <w:rFonts w:ascii="Plus Jakarta Sans" w:eastAsia="Times New Roman" w:hAnsi="Plus Jakarta Sans"/>
          <w:lang w:val="es-ES"/>
        </w:rPr>
        <w:t>n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Gote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05056E46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46668D39">
          <v:rect id="_x0000_i1033" style="width:0;height:.75pt" o:hralign="center" o:hrstd="t" o:hr="t" fillcolor="#a0a0a0" stroked="f"/>
        </w:pict>
      </w:r>
    </w:p>
    <w:p w14:paraId="3C641BF7" w14:textId="77777777" w:rsidR="00000000" w:rsidRDefault="00753EA4">
      <w:pPr>
        <w:pStyle w:val="Ttulo2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 Hallazgos Clave de Alto Impacto para la Planificación</w:t>
      </w:r>
    </w:p>
    <w:p w14:paraId="6791B6D5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>Analizando detallad</w:t>
      </w:r>
      <w:r>
        <w:rPr>
          <w:rFonts w:ascii="Plus Jakarta Sans" w:hAnsi="Plus Jakarta Sans"/>
          <w:lang w:val="es-ES"/>
        </w:rPr>
        <w:t>amente la información del catastro y el censo socio-agrícola, destacamos cuatro hallazgos clave de alto impacto para la planificación del proyecto:</w:t>
      </w:r>
    </w:p>
    <w:p w14:paraId="5C1FFCFE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1. </w:t>
      </w:r>
      <w:r>
        <w:rPr>
          <w:rStyle w:val="Textoennegrita"/>
          <w:rFonts w:ascii="Plus Jakarta Sans" w:hAnsi="Plus Jakarta Sans"/>
          <w:lang w:val="es-ES"/>
        </w:rPr>
        <w:t>La Realidad del Minifundio y su Impacto Productivo</w:t>
      </w:r>
      <w:r>
        <w:rPr>
          <w:rFonts w:ascii="Plus Jakarta Sans" w:hAnsi="Plus Jakarta Sans"/>
          <w:lang w:val="es-ES"/>
        </w:rPr>
        <w:t xml:space="preserve">: En los Sectores 2 y 3, </w:t>
      </w:r>
      <w:r>
        <w:rPr>
          <w:rStyle w:val="Textoennegrita"/>
          <w:rFonts w:ascii="Plus Jakarta Sans" w:hAnsi="Plus Jakarta Sans"/>
          <w:lang w:val="es-ES"/>
        </w:rPr>
        <w:t>más del 65% de los predios inv</w:t>
      </w:r>
      <w:r>
        <w:rPr>
          <w:rStyle w:val="Textoennegrita"/>
          <w:rFonts w:ascii="Plus Jakarta Sans" w:hAnsi="Plus Jakarta Sans"/>
          <w:lang w:val="es-ES"/>
        </w:rPr>
        <w:t>estigados miden menos de 0.5 Hectáreas</w:t>
      </w:r>
      <w:r>
        <w:rPr>
          <w:rFonts w:ascii="Plus Jakarta Sans" w:hAnsi="Plus Jakarta Sans"/>
          <w:lang w:val="es-ES"/>
        </w:rPr>
        <w:t xml:space="preserve"> (5,000 m²). Esto evidencia una fragmentación de tierra sumamente alta. Cualquier planificación de inversión y tecnificación debe estructurarse asumiendo que los regantes operan UPAs de subsistencia a muy pequeña escal</w:t>
      </w:r>
      <w:r>
        <w:rPr>
          <w:rFonts w:ascii="Plus Jakarta Sans" w:hAnsi="Plus Jakarta Sans"/>
          <w:lang w:val="es-ES"/>
        </w:rPr>
        <w:t>a, lo que dificulta la tecnificación individual y hace imprescindible las soluciones de manejo asociativo.</w:t>
      </w:r>
    </w:p>
    <w:p w14:paraId="52398087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2. </w:t>
      </w:r>
      <w:r>
        <w:rPr>
          <w:rStyle w:val="Textoennegrita"/>
          <w:rFonts w:ascii="Plus Jakarta Sans" w:hAnsi="Plus Jakarta Sans"/>
          <w:lang w:val="es-ES"/>
        </w:rPr>
        <w:t>Fuerte Dependencia de Gestión Comunitaria</w:t>
      </w:r>
      <w:r>
        <w:rPr>
          <w:rFonts w:ascii="Plus Jakarta Sans" w:hAnsi="Plus Jakarta Sans"/>
          <w:lang w:val="es-ES"/>
        </w:rPr>
        <w:t xml:space="preserve">: En promedio, </w:t>
      </w:r>
      <w:r>
        <w:rPr>
          <w:rStyle w:val="Textoennegrita"/>
          <w:rFonts w:ascii="Plus Jakarta Sans" w:hAnsi="Plus Jakarta Sans"/>
          <w:lang w:val="es-ES"/>
        </w:rPr>
        <w:t>más del 85% de los regantes se abastecen de reservorios de tipo Comunitario</w:t>
      </w:r>
      <w:r>
        <w:rPr>
          <w:rFonts w:ascii="Plus Jakarta Sans" w:hAnsi="Plus Jakarta Sans"/>
          <w:lang w:val="es-ES"/>
        </w:rPr>
        <w:t>. La infraestru</w:t>
      </w:r>
      <w:r>
        <w:rPr>
          <w:rFonts w:ascii="Plus Jakarta Sans" w:hAnsi="Plus Jakarta Sans"/>
          <w:lang w:val="es-ES"/>
        </w:rPr>
        <w:t xml:space="preserve">ctura privada o familiar es muy baja (menor al 8% en el mejor de los casos). Esto demuestra que el tejido social y organizativo local es la base fundamental del éxito del sistema. Las juntas de agua locales son las aliadas centrales en el desarrollo de la </w:t>
      </w:r>
      <w:r>
        <w:rPr>
          <w:rFonts w:ascii="Plus Jakarta Sans" w:hAnsi="Plus Jakarta Sans"/>
          <w:lang w:val="es-ES"/>
        </w:rPr>
        <w:t>presa y canales.</w:t>
      </w:r>
    </w:p>
    <w:p w14:paraId="0304963C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3. </w:t>
      </w:r>
      <w:r>
        <w:rPr>
          <w:rStyle w:val="Textoennegrita"/>
          <w:rFonts w:ascii="Plus Jakarta Sans" w:hAnsi="Plus Jakarta Sans"/>
          <w:lang w:val="es-ES"/>
        </w:rPr>
        <w:t>Aspersión como Tecnología Dominante con Oportunidad de Optimización</w:t>
      </w:r>
      <w:r>
        <w:rPr>
          <w:rFonts w:ascii="Plus Jakarta Sans" w:hAnsi="Plus Jakarta Sans"/>
          <w:lang w:val="es-ES"/>
        </w:rPr>
        <w:t xml:space="preserve">: El riego por aspersión abarca más del </w:t>
      </w:r>
      <w:r>
        <w:rPr>
          <w:rStyle w:val="Textoennegrita"/>
          <w:rFonts w:ascii="Plus Jakarta Sans" w:hAnsi="Plus Jakarta Sans"/>
          <w:lang w:val="es-ES"/>
        </w:rPr>
        <w:t>95% de la aplicación</w:t>
      </w:r>
      <w:r>
        <w:rPr>
          <w:rFonts w:ascii="Plus Jakarta Sans" w:hAnsi="Plus Jakarta Sans"/>
          <w:lang w:val="es-ES"/>
        </w:rPr>
        <w:t xml:space="preserve"> en los lotes con riego de todos los sectores, mientras que el riego por goteo (tecnología altamente eficient</w:t>
      </w:r>
      <w:r>
        <w:rPr>
          <w:rFonts w:ascii="Plus Jakarta Sans" w:hAnsi="Plus Jakarta Sans"/>
          <w:lang w:val="es-ES"/>
        </w:rPr>
        <w:t>e) tiene una cobertura casi inexistente (menor al 5% en predios activos). Existe una oportunidad enorme de optimización y ahorro de recursos hídricos incentivando la transición de aspersión a goteo.</w:t>
      </w:r>
    </w:p>
    <w:p w14:paraId="62043172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4. </w:t>
      </w:r>
      <w:r>
        <w:rPr>
          <w:rStyle w:val="Textoennegrita"/>
          <w:rFonts w:ascii="Plus Jakarta Sans" w:hAnsi="Plus Jakarta Sans"/>
          <w:lang w:val="es-ES"/>
        </w:rPr>
        <w:t>Seguridad Alimentaria Familiar Crítica</w:t>
      </w:r>
      <w:r>
        <w:rPr>
          <w:rFonts w:ascii="Plus Jakarta Sans" w:hAnsi="Plus Jakarta Sans"/>
          <w:lang w:val="es-ES"/>
        </w:rPr>
        <w:t>: En el área del</w:t>
      </w:r>
      <w:r>
        <w:rPr>
          <w:rFonts w:ascii="Plus Jakarta Sans" w:hAnsi="Plus Jakarta Sans"/>
          <w:lang w:val="es-ES"/>
        </w:rPr>
        <w:t xml:space="preserve"> proyecto, </w:t>
      </w:r>
      <w:r>
        <w:rPr>
          <w:rStyle w:val="Textoennegrita"/>
          <w:rFonts w:ascii="Plus Jakarta Sans" w:hAnsi="Plus Jakarta Sans"/>
          <w:lang w:val="es-ES"/>
        </w:rPr>
        <w:t>más del 20% de los hogares reportan familias con 5 o más hijos</w:t>
      </w:r>
      <w:r>
        <w:rPr>
          <w:rFonts w:ascii="Plus Jakarta Sans" w:hAnsi="Plus Jakarta Sans"/>
          <w:lang w:val="es-ES"/>
        </w:rPr>
        <w:t xml:space="preserve"> (con un promedio general superior a 3.1 hijos por familia). Estos hogares de 5 a 6 personas dependen de la producción de parcelas menores a 0.5 ha. Garantizar un flujo constante de a</w:t>
      </w:r>
      <w:r>
        <w:rPr>
          <w:rFonts w:ascii="Plus Jakarta Sans" w:hAnsi="Plus Jakarta Sans"/>
          <w:lang w:val="es-ES"/>
        </w:rPr>
        <w:t>gua para riego no solo es un tema de desarrollo económico, sino de seguridad alimentaria directa para estas familias numerosas.</w:t>
      </w:r>
    </w:p>
    <w:p w14:paraId="55E9BE5A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67449E25">
          <v:rect id="_x0000_i1034" style="width:0;height:.75pt" o:hralign="center" o:hrstd="t" o:hr="t" fillcolor="#a0a0a0" stroked="f"/>
        </w:pict>
      </w:r>
    </w:p>
    <w:p w14:paraId="03386EAC" w14:textId="77777777" w:rsidR="00000000" w:rsidRDefault="00753EA4">
      <w:pPr>
        <w:pStyle w:val="Ttulo2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6. Indicadores Clave para la Planificación</w:t>
      </w:r>
    </w:p>
    <w:p w14:paraId="26FA6625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A continuación se presentan los indicadores socioeconómicos y de infraestructura consolidados, extraídos </w:t>
      </w:r>
      <w:r>
        <w:rPr>
          <w:rFonts w:ascii="Plus Jakarta Sans" w:hAnsi="Plus Jakarta Sans"/>
          <w:lang w:val="es-ES"/>
        </w:rPr>
        <w:t xml:space="preserve">del levantamiento censal de </w:t>
      </w:r>
      <w:r>
        <w:rPr>
          <w:rStyle w:val="Textoennegrita"/>
          <w:rFonts w:ascii="Plus Jakarta Sans" w:hAnsi="Plus Jakarta Sans"/>
          <w:lang w:val="es-ES"/>
        </w:rPr>
        <w:t>6,830 familias</w:t>
      </w:r>
      <w:r>
        <w:rPr>
          <w:rFonts w:ascii="Plus Jakarta Sans" w:hAnsi="Plus Jakarta Sans"/>
          <w:lang w:val="es-ES"/>
        </w:rPr>
        <w:t xml:space="preserve"> investigadas en los tres sectores del sistema de riego.</w:t>
      </w:r>
    </w:p>
    <w:p w14:paraId="6F2D72FB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A. Superficie por Sector de Investigación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154"/>
        <w:gridCol w:w="2354"/>
        <w:gridCol w:w="1858"/>
        <w:gridCol w:w="1781"/>
      </w:tblGrid>
      <w:tr w:rsidR="00000000" w14:paraId="2645DD4F" w14:textId="77777777">
        <w:trPr>
          <w:divId w:val="1148474926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A0FA59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B10936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Fichas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BB5781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Hectáreas Totales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189F25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Ha con Riego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9E1986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Ha sin Riego</w:t>
            </w:r>
          </w:p>
        </w:tc>
      </w:tr>
      <w:tr w:rsidR="00000000" w14:paraId="6847A176" w14:textId="77777777">
        <w:trPr>
          <w:divId w:val="114847492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47D8F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5A8D1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3,399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E26DC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3,305.93 ha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9AA31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2,764.11 ha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6F98D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541.83 ha</w:t>
            </w:r>
          </w:p>
        </w:tc>
      </w:tr>
      <w:tr w:rsidR="00000000" w14:paraId="7E4547BC" w14:textId="77777777">
        <w:trPr>
          <w:divId w:val="114847492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0A0F0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EFA24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2,271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31B87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2,288.53 ha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7D8C7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1,819.23 ha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815FC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469.29 ha</w:t>
            </w:r>
          </w:p>
        </w:tc>
      </w:tr>
      <w:tr w:rsidR="00000000" w14:paraId="0962AB35" w14:textId="77777777">
        <w:trPr>
          <w:divId w:val="114847492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DDF8B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9AC4B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1,160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798A9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2,398.42 ha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C6316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1,589.51 ha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61E38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808.91 ha</w:t>
            </w:r>
          </w:p>
        </w:tc>
      </w:tr>
      <w:tr w:rsidR="00000000" w14:paraId="646611E1" w14:textId="77777777">
        <w:trPr>
          <w:divId w:val="114847492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4EB8B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11219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6,830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437BC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7,992.88 ha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F0187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6,172.85 ha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E6AC2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1,820.02 ha</w:t>
            </w:r>
          </w:p>
        </w:tc>
      </w:tr>
    </w:tbl>
    <w:p w14:paraId="3AC8BECD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B. Predios Catastrados y Adicionales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1247"/>
        <w:gridCol w:w="1247"/>
        <w:gridCol w:w="1247"/>
        <w:gridCol w:w="1001"/>
      </w:tblGrid>
      <w:tr w:rsidR="00000000" w14:paraId="6868253C" w14:textId="77777777">
        <w:trPr>
          <w:divId w:val="1449737406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4CA50D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64B0C1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DD8519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47F7A1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F3DCBE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000000" w14:paraId="6B795747" w14:textId="77777777">
        <w:trPr>
          <w:divId w:val="144973740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69622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Predios catastrados (claves únicas)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E89AC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3,129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86F8A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1,975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FDB3C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938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E77B7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6,042</w:t>
            </w:r>
          </w:p>
        </w:tc>
      </w:tr>
      <w:tr w:rsidR="00000000" w14:paraId="45F559BA" w14:textId="77777777">
        <w:trPr>
          <w:divId w:val="144973740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163C1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Predios adicionales (Sección 7)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0B735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55245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6076A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B5867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2,696</w:t>
            </w:r>
          </w:p>
        </w:tc>
      </w:tr>
    </w:tbl>
    <w:p w14:paraId="7080191F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C. Conocimiento del Proyecto Guanguilquí Porotog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1181"/>
        <w:gridCol w:w="1181"/>
        <w:gridCol w:w="1181"/>
        <w:gridCol w:w="948"/>
        <w:gridCol w:w="997"/>
      </w:tblGrid>
      <w:tr w:rsidR="00000000" w14:paraId="5B2F552B" w14:textId="77777777">
        <w:trPr>
          <w:divId w:val="695423428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50B15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AF88C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1E3898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6DE8F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8E81ED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1B3E3C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000000" w14:paraId="19D9B3C0" w14:textId="77777777">
        <w:trPr>
          <w:divId w:val="695423428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E3368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¿Conoce el Proyecto?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(Sí)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AEAB3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3,013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EB00D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1,852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8D451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946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9FD0A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5,811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138B7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85.1%</w:t>
            </w:r>
          </w:p>
        </w:tc>
      </w:tr>
      <w:tr w:rsidR="00000000" w14:paraId="0C21A9FF" w14:textId="77777777">
        <w:trPr>
          <w:divId w:val="695423428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D19D5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No conoce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8F306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363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41F3E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301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35EB9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9C969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838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49ED4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12.3%</w:t>
            </w:r>
          </w:p>
        </w:tc>
      </w:tr>
      <w:tr w:rsidR="00000000" w14:paraId="4F547AB3" w14:textId="77777777">
        <w:trPr>
          <w:divId w:val="695423428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835B4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¿Conoce a la Presidenta?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(Sí)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5093C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3,381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41521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2,153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F6C53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1,120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F90D9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6,654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8B840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97.4%</w:t>
            </w:r>
          </w:p>
        </w:tc>
      </w:tr>
    </w:tbl>
    <w:p w14:paraId="76F3F86B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Gráfico de Conocimiento del Proyecto y Directiva:</w:t>
      </w:r>
    </w:p>
    <w:p w14:paraId="088E2772" w14:textId="77777777" w:rsidR="00000000" w:rsidRDefault="00753EA4">
      <w:pPr>
        <w:spacing w:before="375" w:after="225"/>
        <w:jc w:val="center"/>
        <w:divId w:val="1666321110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Conocimiento del Proyecto</w:t>
      </w:r>
    </w:p>
    <w:p w14:paraId="508BFC95" w14:textId="77777777" w:rsidR="00000000" w:rsidRDefault="00753EA4">
      <w:pPr>
        <w:spacing w:after="375"/>
        <w:jc w:val="center"/>
        <w:divId w:val="888030319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Conocimiento del Proyecto y Directiva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Porcentaje de regantes que conocen la iniciativa y a la directiv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100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88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99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81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94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81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96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Conoce Proyect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Conoce President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2565B480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D. Longitud del Canal Principal (Pe</w:t>
      </w:r>
      <w:r>
        <w:rPr>
          <w:rFonts w:eastAsia="Times New Roman"/>
          <w:lang w:val="es-ES"/>
        </w:rPr>
        <w:t>rcepción de los Usuarios)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359"/>
        <w:gridCol w:w="3664"/>
      </w:tblGrid>
      <w:tr w:rsidR="00000000" w14:paraId="2D56804E" w14:textId="77777777">
        <w:trPr>
          <w:divId w:val="1046029916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CA5A35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F3769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Promedio estimado (km)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18BEA5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Regantes que respondieron</w:t>
            </w:r>
          </w:p>
        </w:tc>
      </w:tr>
      <w:tr w:rsidR="00000000" w14:paraId="2A8337AD" w14:textId="77777777">
        <w:trPr>
          <w:divId w:val="104602991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850B4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0F5B9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56.0 km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3933C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3,372</w:t>
            </w:r>
          </w:p>
        </w:tc>
      </w:tr>
      <w:tr w:rsidR="00000000" w14:paraId="478D611B" w14:textId="77777777">
        <w:trPr>
          <w:divId w:val="104602991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FBA30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AAA38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62.7 km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4F62C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2,119</w:t>
            </w:r>
          </w:p>
        </w:tc>
      </w:tr>
      <w:tr w:rsidR="00000000" w14:paraId="3C9D6B7F" w14:textId="77777777">
        <w:trPr>
          <w:divId w:val="104602991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D3298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ED801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57.7 km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575D2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1,115</w:t>
            </w:r>
          </w:p>
        </w:tc>
      </w:tr>
    </w:tbl>
    <w:p w14:paraId="7E31C82A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&gt; </w:t>
      </w:r>
      <w:r>
        <w:rPr>
          <w:rStyle w:val="nfasis"/>
          <w:rFonts w:ascii="Plus Jakarta Sans" w:hAnsi="Plus Jakarta Sans"/>
          <w:lang w:val="es-ES"/>
        </w:rPr>
        <w:t>Nota: Este dato refleja la percepción de los usuarios sobre la longitud del canal principal, no una medición técnica georreferenciada.</w:t>
      </w:r>
    </w:p>
    <w:p w14:paraId="56D8FC13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E. Población y Familias Beneficiarias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158"/>
        <w:gridCol w:w="1721"/>
        <w:gridCol w:w="1648"/>
        <w:gridCol w:w="1372"/>
        <w:gridCol w:w="1454"/>
      </w:tblGrid>
      <w:tr w:rsidR="00000000" w14:paraId="3C11BE8D" w14:textId="77777777">
        <w:trPr>
          <w:divId w:val="221526309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4B58D1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9B23B1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Familias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B50802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Hijos Hombres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00EBE1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Hijos Mujeres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65BE3A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Total Hijos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3F8658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Prom. Hijos</w:t>
            </w:r>
          </w:p>
        </w:tc>
      </w:tr>
      <w:tr w:rsidR="00000000" w14:paraId="311FED8B" w14:textId="77777777">
        <w:trPr>
          <w:divId w:val="22152630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C8063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A3EB9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3,399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90BCE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6,066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AB5EE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5,971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64A93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12,037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BCB95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3.5</w:t>
            </w:r>
          </w:p>
        </w:tc>
      </w:tr>
      <w:tr w:rsidR="00000000" w14:paraId="572D6E10" w14:textId="77777777">
        <w:trPr>
          <w:divId w:val="22152630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E8AF4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99496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2,271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A2C67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3,041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A5BF3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2,886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A4987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5,927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79C2A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2.6</w:t>
            </w:r>
          </w:p>
        </w:tc>
      </w:tr>
      <w:tr w:rsidR="00000000" w14:paraId="19920501" w14:textId="77777777">
        <w:trPr>
          <w:divId w:val="22152630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E43D2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0A8C6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1,160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B9551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2,116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01142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1,882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6E6DF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3,998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7C674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3.4</w:t>
            </w:r>
          </w:p>
        </w:tc>
      </w:tr>
      <w:tr w:rsidR="00000000" w14:paraId="4E59C4C9" w14:textId="77777777">
        <w:trPr>
          <w:divId w:val="22152630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D6A96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2E2E3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6,830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B08EC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11,223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61961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10,739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C80CF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21,962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A5DE9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3.2</w:t>
            </w:r>
          </w:p>
        </w:tc>
      </w:tr>
    </w:tbl>
    <w:p w14:paraId="64DF431C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Fonts w:ascii="Plus Jakarta Sans" w:hAnsi="Plus Jakarta Sans"/>
          <w:lang w:val="es-ES"/>
        </w:rPr>
        <w:t xml:space="preserve">&gt; </w:t>
      </w:r>
      <w:r>
        <w:rPr>
          <w:rStyle w:val="Textoennegrita"/>
          <w:rFonts w:ascii="Plus Jakarta Sans" w:hAnsi="Plus Jakarta Sans"/>
          <w:lang w:val="es-ES"/>
        </w:rPr>
        <w:t>Población estimada beneficiaria:</w:t>
      </w:r>
      <w:r>
        <w:rPr>
          <w:rFonts w:ascii="Plus Jakarta Sans" w:hAnsi="Plus Jakarta Sans"/>
          <w:lang w:val="es-ES"/>
        </w:rPr>
        <w:t xml:space="preserve"> 6,830 titulares + 21,962 hijos = </w:t>
      </w:r>
      <w:r>
        <w:rPr>
          <w:rStyle w:val="Textoennegrita"/>
          <w:rFonts w:ascii="Plus Jakarta Sans" w:hAnsi="Plus Jakarta Sans"/>
          <w:lang w:val="es-ES"/>
        </w:rPr>
        <w:t>~28,792 personas</w:t>
      </w:r>
      <w:r>
        <w:rPr>
          <w:rFonts w:ascii="Plus Jakarta Sans" w:hAnsi="Plus Jakarta Sans"/>
          <w:lang w:val="es-ES"/>
        </w:rPr>
        <w:t>.</w:t>
      </w:r>
    </w:p>
    <w:p w14:paraId="641E7F2F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F. Servicios Básicos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191"/>
        <w:gridCol w:w="1191"/>
        <w:gridCol w:w="1191"/>
        <w:gridCol w:w="954"/>
        <w:gridCol w:w="1579"/>
      </w:tblGrid>
      <w:tr w:rsidR="00000000" w14:paraId="252103A2" w14:textId="77777777">
        <w:trPr>
          <w:divId w:val="424963517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020B24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72081E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AE4EE7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15B75A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27E3D1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5BA6F6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% Cobertura</w:t>
            </w:r>
          </w:p>
        </w:tc>
      </w:tr>
      <w:tr w:rsidR="00000000" w14:paraId="0577C65F" w14:textId="77777777">
        <w:trPr>
          <w:divId w:val="42496351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9536A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Agua de consumo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(Sí)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5E14C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2,523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50296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1,257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50373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822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63360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4,602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1CD72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95.9%</w:t>
            </w:r>
          </w:p>
        </w:tc>
      </w:tr>
      <w:tr w:rsidR="00000000" w14:paraId="0FCF5CD1" w14:textId="77777777">
        <w:trPr>
          <w:divId w:val="42496351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01E91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Energía eléctrica</w:t>
            </w:r>
            <w:r>
              <w:rPr>
                <w:rFonts w:ascii="Plus Jakarta Sans" w:eastAsia="Times New Roman" w:hAnsi="Plus Jakarta Sans"/>
                <w:sz w:val="20"/>
                <w:szCs w:val="20"/>
              </w:rPr>
              <w:t xml:space="preserve"> (Sí)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57717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2,304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A7D95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1,187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49978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811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47D7D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4,302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30F26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94.6%</w:t>
            </w:r>
          </w:p>
        </w:tc>
      </w:tr>
    </w:tbl>
    <w:p w14:paraId="21286EC8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Gráfico de Cobertura de Servicios Básicos:</w:t>
      </w:r>
    </w:p>
    <w:p w14:paraId="272EB29E" w14:textId="77777777" w:rsidR="00000000" w:rsidRDefault="00753EA4">
      <w:pPr>
        <w:spacing w:before="375" w:after="225"/>
        <w:jc w:val="center"/>
        <w:divId w:val="533273820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Cobertura de Servicios Básicos</w:t>
      </w:r>
    </w:p>
    <w:p w14:paraId="45872792" w14:textId="77777777" w:rsidR="00000000" w:rsidRDefault="00753EA4">
      <w:pPr>
        <w:spacing w:after="375"/>
        <w:jc w:val="center"/>
        <w:divId w:val="907810270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Cobertura de Servicios Básicos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Porcentaje de acceso a agua de consumo y red de energía eléctric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100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96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94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96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96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93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93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Agua de Consum</w:t>
      </w:r>
      <w:r>
        <w:rPr>
          <w:rFonts w:ascii="Plus Jakarta Sans" w:eastAsia="Times New Roman" w:hAnsi="Plus Jakarta Sans"/>
          <w:lang w:val="es-ES"/>
        </w:rPr>
        <w:t>o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Energía Eléctric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6D05F383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G. Material Predominante de Construcción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521"/>
        <w:gridCol w:w="1520"/>
        <w:gridCol w:w="1520"/>
        <w:gridCol w:w="1217"/>
      </w:tblGrid>
      <w:tr w:rsidR="00000000" w14:paraId="56D5C746" w14:textId="77777777">
        <w:trPr>
          <w:divId w:val="940457167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5BE2E0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1B6FA3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9685E5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9B9F8B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449359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000000" w14:paraId="3DCEB19C" w14:textId="77777777">
        <w:trPr>
          <w:divId w:val="94045716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4AB1B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Bloque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90281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1,768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5F1B8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937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AFD8B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448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19DA0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3,153</w:t>
            </w:r>
          </w:p>
        </w:tc>
      </w:tr>
      <w:tr w:rsidR="00000000" w14:paraId="207005AF" w14:textId="77777777">
        <w:trPr>
          <w:divId w:val="94045716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8090C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Hormigón Armado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3FEE3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256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A2F42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164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7E124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116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90F76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536</w:t>
            </w:r>
          </w:p>
        </w:tc>
      </w:tr>
      <w:tr w:rsidR="00000000" w14:paraId="4B0D55A0" w14:textId="77777777">
        <w:trPr>
          <w:divId w:val="94045716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96C73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Tapia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647A9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153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C0D4B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AE529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158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A35554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361</w:t>
            </w:r>
          </w:p>
        </w:tc>
      </w:tr>
      <w:tr w:rsidR="00000000" w14:paraId="021FB2F1" w14:textId="77777777">
        <w:trPr>
          <w:divId w:val="94045716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9ABA5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Ladrillo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EC301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FDC5EF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9F4B0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0DFFE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218</w:t>
            </w:r>
          </w:p>
        </w:tc>
      </w:tr>
      <w:tr w:rsidR="00000000" w14:paraId="138BCD04" w14:textId="77777777">
        <w:trPr>
          <w:divId w:val="94045716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206F7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Adobe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61E12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06B43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3C53C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67FE1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160</w:t>
            </w:r>
          </w:p>
        </w:tc>
      </w:tr>
      <w:tr w:rsidR="00000000" w14:paraId="26B732AD" w14:textId="77777777">
        <w:trPr>
          <w:divId w:val="94045716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44D45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Mixta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91F44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5615E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92F00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0DE28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131</w:t>
            </w:r>
          </w:p>
        </w:tc>
      </w:tr>
    </w:tbl>
    <w:p w14:paraId="5D1FD915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H. Nivel de Instrucción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653"/>
        <w:gridCol w:w="1652"/>
        <w:gridCol w:w="1652"/>
        <w:gridCol w:w="1323"/>
      </w:tblGrid>
      <w:tr w:rsidR="00000000" w14:paraId="106818C8" w14:textId="77777777">
        <w:trPr>
          <w:divId w:val="88164069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D7EA59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462B80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FFBF2B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559D27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7AB46A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000000" w14:paraId="799A1B39" w14:textId="77777777">
        <w:trPr>
          <w:divId w:val="8816406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8B751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Primaria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16E0CB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1,679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BAC0D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1,048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858E2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654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ABBDB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3,381</w:t>
            </w:r>
          </w:p>
        </w:tc>
      </w:tr>
      <w:tr w:rsidR="00000000" w14:paraId="0967E1C5" w14:textId="77777777">
        <w:trPr>
          <w:divId w:val="8816406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1362A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Secundaria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BD623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705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6C8F0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338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B7ACE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286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6FE31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1,329</w:t>
            </w:r>
          </w:p>
        </w:tc>
      </w:tr>
      <w:tr w:rsidR="00000000" w14:paraId="52E64759" w14:textId="77777777">
        <w:trPr>
          <w:divId w:val="8816406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4CF21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Ninguno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EF7C8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443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88EE6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467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2DE6F0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016E02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988</w:t>
            </w:r>
          </w:p>
        </w:tc>
      </w:tr>
      <w:tr w:rsidR="00000000" w14:paraId="25322A4E" w14:textId="77777777">
        <w:trPr>
          <w:divId w:val="8816406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4C0EA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Alfabetizado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DAF707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342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43C9F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147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A8F84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48AD6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563</w:t>
            </w:r>
          </w:p>
        </w:tc>
      </w:tr>
      <w:tr w:rsidR="00000000" w14:paraId="676420FF" w14:textId="77777777">
        <w:trPr>
          <w:divId w:val="8816406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8DC7E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Superior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3AD365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194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CC8171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8E84E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8E2668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342</w:t>
            </w:r>
          </w:p>
        </w:tc>
      </w:tr>
    </w:tbl>
    <w:p w14:paraId="0752BFD7" w14:textId="77777777" w:rsidR="00000000" w:rsidRDefault="00753EA4">
      <w:pPr>
        <w:pStyle w:val="Ttulo3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I. Tenencia del Predio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661"/>
        <w:gridCol w:w="1661"/>
        <w:gridCol w:w="1661"/>
        <w:gridCol w:w="1330"/>
      </w:tblGrid>
      <w:tr w:rsidR="00000000" w14:paraId="778FADB6" w14:textId="77777777">
        <w:trPr>
          <w:divId w:val="2022928239"/>
          <w:tblHeader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964F7C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Tenencia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73FA3F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54378C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E3EF04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Sector 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5561A4" w14:textId="77777777" w:rsidR="00000000" w:rsidRDefault="00753EA4">
            <w:pPr>
              <w:jc w:val="center"/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Outfit" w:eastAsia="Times New Roman" w:hAnsi="Outfi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000000" w14:paraId="724B05E1" w14:textId="77777777">
        <w:trPr>
          <w:divId w:val="202292823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0816D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Escritura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618D3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2,508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73B05A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1,552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41553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902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6F2E2C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4,962</w:t>
            </w:r>
          </w:p>
        </w:tc>
      </w:tr>
      <w:tr w:rsidR="00000000" w14:paraId="750D2D40" w14:textId="77777777">
        <w:trPr>
          <w:divId w:val="2022928239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2D75E9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Style w:val="Textoennegrita"/>
                <w:rFonts w:ascii="Plus Jakarta Sans" w:eastAsia="Times New Roman" w:hAnsi="Plus Jakarta Sans"/>
                <w:sz w:val="20"/>
                <w:szCs w:val="20"/>
              </w:rPr>
              <w:t>Sin Escritura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113826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891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A3CEBE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719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3F06B3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258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F0B2ED" w14:textId="77777777" w:rsidR="00000000" w:rsidRDefault="00753EA4">
            <w:pPr>
              <w:rPr>
                <w:rFonts w:ascii="Plus Jakarta Sans" w:eastAsia="Times New Roman" w:hAnsi="Plus Jakarta Sans"/>
                <w:sz w:val="20"/>
                <w:szCs w:val="20"/>
              </w:rPr>
            </w:pPr>
            <w:r>
              <w:rPr>
                <w:rFonts w:ascii="Plus Jakarta Sans" w:eastAsia="Times New Roman" w:hAnsi="Plus Jakarta Sans"/>
                <w:sz w:val="20"/>
                <w:szCs w:val="20"/>
              </w:rPr>
              <w:t>1,868</w:t>
            </w:r>
          </w:p>
        </w:tc>
      </w:tr>
    </w:tbl>
    <w:p w14:paraId="158DD375" w14:textId="77777777" w:rsidR="00000000" w:rsidRDefault="00753EA4">
      <w:pPr>
        <w:pStyle w:val="Ttulo4"/>
        <w:divId w:val="50799014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Gráfico de Tenencia de Tierras:</w:t>
      </w:r>
    </w:p>
    <w:p w14:paraId="7CF5F5DC" w14:textId="77777777" w:rsidR="00000000" w:rsidRDefault="00753EA4">
      <w:pPr>
        <w:spacing w:before="375" w:after="225"/>
        <w:jc w:val="center"/>
        <w:divId w:val="629215336"/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</w:pPr>
      <w:r>
        <w:rPr>
          <w:rFonts w:ascii="Outfit" w:eastAsia="Times New Roman" w:hAnsi="Outfit"/>
          <w:b/>
          <w:bCs/>
          <w:caps/>
          <w:spacing w:val="12"/>
          <w:sz w:val="20"/>
          <w:szCs w:val="20"/>
          <w:lang w:val="es-ES"/>
        </w:rPr>
        <w:t>Tenencia de Predios</w:t>
      </w:r>
    </w:p>
    <w:p w14:paraId="02E5E845" w14:textId="77777777" w:rsidR="00000000" w:rsidRDefault="00753EA4">
      <w:pPr>
        <w:spacing w:after="375"/>
        <w:jc w:val="center"/>
        <w:divId w:val="1722364348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t>Estado Legal de Tenencia del Predio por Secto</w:t>
      </w:r>
      <w:r>
        <w:rPr>
          <w:rFonts w:ascii="Plus Jakarta Sans" w:eastAsia="Times New Roman" w:hAnsi="Plus Jakarta Sans"/>
          <w:lang w:val="es-ES"/>
        </w:rPr>
        <w:t>r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Proporción relativa del estado de legalización de tierra</w:t>
      </w:r>
      <w:r>
        <w:rPr>
          <w:rFonts w:ascii="Plus Jakarta Sans" w:eastAsia="Times New Roman" w:hAnsi="Plus Jakarta Sans"/>
          <w:lang w:val="es-ES"/>
        </w:rPr>
        <w:t>s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50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75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100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1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73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26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2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68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31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 xml:space="preserve">Sector </w:t>
      </w:r>
      <w:r>
        <w:rPr>
          <w:rFonts w:ascii="Plus Jakarta Sans" w:eastAsia="Times New Roman" w:hAnsi="Plus Jakarta Sans"/>
          <w:lang w:val="es-ES"/>
        </w:rPr>
        <w:t>3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77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22</w:t>
      </w:r>
      <w:r>
        <w:rPr>
          <w:rFonts w:ascii="Plus Jakarta Sans" w:eastAsia="Times New Roman" w:hAnsi="Plus Jakarta Sans"/>
          <w:lang w:val="es-ES"/>
        </w:rPr>
        <w:t>%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Escritur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  <w:r>
        <w:rPr>
          <w:rFonts w:ascii="Plus Jakarta Sans" w:eastAsia="Times New Roman" w:hAnsi="Plus Jakarta Sans"/>
          <w:lang w:val="es-ES"/>
        </w:rPr>
        <w:t>Sin Escritur</w:t>
      </w:r>
      <w:r>
        <w:rPr>
          <w:rFonts w:ascii="Plus Jakarta Sans" w:eastAsia="Times New Roman" w:hAnsi="Plus Jakarta Sans"/>
          <w:lang w:val="es-ES"/>
        </w:rPr>
        <w:t>a</w:t>
      </w:r>
      <w:r>
        <w:rPr>
          <w:rFonts w:ascii="Plus Jakarta Sans" w:eastAsia="Times New Roman" w:hAnsi="Plus Jakarta Sans"/>
          <w:lang w:val="es-ES"/>
        </w:rPr>
        <w:t xml:space="preserve"> </w:t>
      </w:r>
    </w:p>
    <w:p w14:paraId="490C4F8B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4E73D47F">
          <v:rect id="_x0000_i1035" style="width:0;height:.75pt" o:hralign="center" o:hrstd="t" o:hr="t" fillcolor="#a0a0a0" stroked="f"/>
        </w:pict>
      </w:r>
    </w:p>
    <w:p w14:paraId="78547557" w14:textId="77777777" w:rsidR="00000000" w:rsidRDefault="00753EA4">
      <w:pPr>
        <w:spacing w:before="450" w:after="450"/>
        <w:divId w:val="507990143"/>
        <w:rPr>
          <w:rFonts w:ascii="Plus Jakarta Sans" w:eastAsia="Times New Roman" w:hAnsi="Plus Jakarta Sans"/>
          <w:lang w:val="es-ES"/>
        </w:rPr>
      </w:pPr>
      <w:r>
        <w:rPr>
          <w:rFonts w:ascii="Plus Jakarta Sans" w:eastAsia="Times New Roman" w:hAnsi="Plus Jakarta Sans"/>
          <w:lang w:val="es-ES"/>
        </w:rPr>
        <w:pict w14:anchorId="4CABEAEC">
          <v:rect id="_x0000_i1036" style="width:0;height:.75pt" o:hralign="center" o:hrstd="t" o:hr="t" fillcolor="#a0a0a0" stroked="f"/>
        </w:pict>
      </w:r>
    </w:p>
    <w:p w14:paraId="5B268663" w14:textId="77777777" w:rsidR="00000000" w:rsidRDefault="00753EA4">
      <w:pPr>
        <w:pStyle w:val="NormalWeb"/>
        <w:divId w:val="507990143"/>
        <w:rPr>
          <w:rFonts w:ascii="Plus Jakarta Sans" w:hAnsi="Plus Jakarta Sans"/>
          <w:lang w:val="es-ES"/>
        </w:rPr>
      </w:pPr>
      <w:r>
        <w:rPr>
          <w:rStyle w:val="Textoennegrita"/>
          <w:rFonts w:ascii="Plus Jakarta Sans" w:hAnsi="Plus Jakarta Sans"/>
          <w:lang w:val="es-ES"/>
        </w:rPr>
        <w:t>Elaborado por:</w:t>
      </w:r>
      <w:r>
        <w:rPr>
          <w:rFonts w:ascii="Plus Jakarta Sans" w:hAnsi="Plus Jakarta Sans"/>
          <w:lang w:val="es-ES"/>
        </w:rPr>
        <w:t xml:space="preserve"> Equipo Técnico de ap&amp;catastro</w:t>
      </w:r>
    </w:p>
    <w:p w14:paraId="6FFE6080" w14:textId="77777777" w:rsidR="00000000" w:rsidRDefault="00753EA4">
      <w:pPr>
        <w:rPr>
          <w:rFonts w:eastAsia="Times New Roman"/>
        </w:rPr>
      </w:pPr>
      <w:r>
        <w:rPr>
          <w:rFonts w:ascii="Plus Jakarta Sans" w:hAnsi="Plus Jakarta Sans"/>
          <w:lang w:val="es-ES"/>
        </w:rPr>
        <w:pict w14:anchorId="7A6030F4"/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utfi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96657"/>
    <w:multiLevelType w:val="multilevel"/>
    <w:tmpl w:val="B65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17BCA"/>
    <w:multiLevelType w:val="multilevel"/>
    <w:tmpl w:val="74B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317C"/>
    <w:multiLevelType w:val="multilevel"/>
    <w:tmpl w:val="4F1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50E52"/>
    <w:multiLevelType w:val="multilevel"/>
    <w:tmpl w:val="4608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A4"/>
    <w:rsid w:val="0075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EEB6F1"/>
  <w15:chartTrackingRefBased/>
  <w15:docId w15:val="{EFF04AAC-5472-4922-AD14-5FFFCCE7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20"/>
      <w:jc w:val="center"/>
      <w:outlineLvl w:val="0"/>
    </w:pPr>
    <w:rPr>
      <w:rFonts w:ascii="Outfit" w:hAnsi="Outfit"/>
      <w:b/>
      <w:bCs/>
      <w:kern w:val="36"/>
      <w:sz w:val="42"/>
      <w:szCs w:val="42"/>
    </w:rPr>
  </w:style>
  <w:style w:type="paragraph" w:styleId="Ttulo2">
    <w:name w:val="heading 2"/>
    <w:basedOn w:val="Normal"/>
    <w:link w:val="Ttulo2Car"/>
    <w:uiPriority w:val="9"/>
    <w:qFormat/>
    <w:pPr>
      <w:spacing w:before="525" w:after="225"/>
      <w:outlineLvl w:val="1"/>
    </w:pPr>
    <w:rPr>
      <w:rFonts w:ascii="Outfit" w:hAnsi="Outfit"/>
      <w:b/>
      <w:bCs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300" w:after="150"/>
      <w:outlineLvl w:val="2"/>
    </w:pPr>
    <w:rPr>
      <w:rFonts w:ascii="Outfit" w:hAnsi="Outfit"/>
      <w:b/>
      <w:bCs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rFonts w:ascii="Outfit" w:hAnsi="Outfit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b w:val="0"/>
      <w:bCs w:val="0"/>
      <w:strike w:val="0"/>
      <w:dstrike w:val="0"/>
      <w:color w:val="0000FF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Pr>
      <w:b w:val="0"/>
      <w:bCs w:val="0"/>
      <w:strike w:val="0"/>
      <w:dstrike w:val="0"/>
      <w:color w:val="800080"/>
      <w:u w:val="none"/>
      <w:effect w:val="non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240"/>
      <w:jc w:val="both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40"/>
      <w:jc w:val="both"/>
    </w:pPr>
    <w:rPr>
      <w:sz w:val="22"/>
      <w:szCs w:val="22"/>
    </w:rPr>
  </w:style>
  <w:style w:type="paragraph" w:customStyle="1" w:styleId="subtitle">
    <w:name w:val="subtitle"/>
    <w:basedOn w:val="Normal"/>
    <w:pPr>
      <w:spacing w:before="100" w:beforeAutospacing="1" w:after="90"/>
    </w:pPr>
    <w:rPr>
      <w:rFonts w:ascii="Arial" w:hAnsi="Arial" w:cs="Arial"/>
      <w:sz w:val="17"/>
      <w:szCs w:val="17"/>
    </w:rPr>
  </w:style>
  <w:style w:type="paragraph" w:customStyle="1" w:styleId="report-wrapper">
    <w:name w:val="report-wrapper"/>
    <w:basedOn w:val="Normal"/>
    <w:rPr>
      <w:sz w:val="21"/>
      <w:szCs w:val="21"/>
    </w:rPr>
  </w:style>
  <w:style w:type="paragraph" w:customStyle="1" w:styleId="table-container">
    <w:name w:val="table-container"/>
    <w:basedOn w:val="Normal"/>
    <w:pPr>
      <w:spacing w:before="300" w:after="300"/>
    </w:pPr>
    <w:rPr>
      <w:sz w:val="21"/>
      <w:szCs w:val="21"/>
    </w:rPr>
  </w:style>
  <w:style w:type="paragraph" w:customStyle="1" w:styleId="chart-box">
    <w:name w:val="chart-box"/>
    <w:basedOn w:val="Normal"/>
    <w:pPr>
      <w:spacing w:before="375" w:after="375"/>
      <w:jc w:val="center"/>
    </w:pPr>
    <w:rPr>
      <w:sz w:val="21"/>
      <w:szCs w:val="21"/>
    </w:rPr>
  </w:style>
  <w:style w:type="paragraph" w:customStyle="1" w:styleId="chart-title">
    <w:name w:val="chart-title"/>
    <w:basedOn w:val="Normal"/>
    <w:pPr>
      <w:spacing w:before="100" w:beforeAutospacing="1" w:after="225"/>
    </w:pPr>
    <w:rPr>
      <w:rFonts w:ascii="Outfit" w:hAnsi="Outfit"/>
      <w:b/>
      <w:bCs/>
      <w:caps/>
      <w:spacing w:val="12"/>
      <w:sz w:val="20"/>
      <w:szCs w:val="20"/>
    </w:rPr>
  </w:style>
  <w:style w:type="paragraph" w:customStyle="1" w:styleId="finding-alert">
    <w:name w:val="finding-alert"/>
    <w:basedOn w:val="Normal"/>
    <w:pPr>
      <w:spacing w:before="225" w:after="225"/>
    </w:pPr>
    <w:rPr>
      <w:sz w:val="21"/>
      <w:szCs w:val="21"/>
    </w:rPr>
  </w:style>
  <w:style w:type="paragraph" w:customStyle="1" w:styleId="success-alert">
    <w:name w:val="success-alert"/>
    <w:basedOn w:val="Normal"/>
    <w:pPr>
      <w:spacing w:before="150" w:after="150"/>
    </w:pPr>
    <w:rPr>
      <w:sz w:val="20"/>
      <w:szCs w:val="20"/>
    </w:rPr>
  </w:style>
  <w:style w:type="paragraph" w:customStyle="1" w:styleId="warning-alert">
    <w:name w:val="warning-alert"/>
    <w:basedOn w:val="Normal"/>
    <w:pPr>
      <w:spacing w:before="150" w:after="150"/>
    </w:pPr>
    <w:rPr>
      <w:sz w:val="20"/>
      <w:szCs w:val="20"/>
    </w:rPr>
  </w:style>
  <w:style w:type="paragraph" w:customStyle="1" w:styleId="print-btn-bar">
    <w:name w:val="print-btn-bar"/>
    <w:basedOn w:val="Normal"/>
    <w:pPr>
      <w:spacing w:after="225"/>
    </w:pPr>
    <w:rPr>
      <w:sz w:val="21"/>
      <w:szCs w:val="21"/>
    </w:rPr>
  </w:style>
  <w:style w:type="paragraph" w:customStyle="1" w:styleId="print-btn">
    <w:name w:val="print-btn"/>
    <w:basedOn w:val="Normal"/>
    <w:pPr>
      <w:spacing w:before="100" w:beforeAutospacing="1" w:after="90"/>
    </w:pPr>
    <w:rPr>
      <w:rFonts w:ascii="Outfit" w:hAnsi="Outfit"/>
      <w:b/>
      <w:bCs/>
      <w:color w:val="FFFFFF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customStyle="1" w:styleId="title">
    <w:name w:val="title"/>
    <w:basedOn w:val="Normal"/>
    <w:pPr>
      <w:spacing w:before="100" w:beforeAutospacing="1" w:after="90"/>
    </w:pPr>
    <w:rPr>
      <w:rFonts w:ascii="Arial" w:hAnsi="Arial" w:cs="Arial"/>
      <w:b/>
      <w:bCs/>
      <w:sz w:val="23"/>
      <w:szCs w:val="23"/>
    </w:rPr>
  </w:style>
  <w:style w:type="paragraph" w:customStyle="1" w:styleId="axis-label">
    <w:name w:val="axis-label"/>
    <w:basedOn w:val="Normal"/>
    <w:pPr>
      <w:spacing w:before="100" w:beforeAutospacing="1" w:after="90"/>
    </w:pPr>
    <w:rPr>
      <w:rFonts w:ascii="Arial" w:hAnsi="Arial" w:cs="Arial"/>
      <w:sz w:val="15"/>
      <w:szCs w:val="15"/>
    </w:rPr>
  </w:style>
  <w:style w:type="paragraph" w:customStyle="1" w:styleId="bar-label">
    <w:name w:val="bar-label"/>
    <w:basedOn w:val="Normal"/>
    <w:pPr>
      <w:spacing w:before="100" w:beforeAutospacing="1" w:after="90"/>
    </w:pPr>
    <w:rPr>
      <w:rFonts w:ascii="Arial" w:hAnsi="Arial" w:cs="Arial"/>
      <w:b/>
      <w:bCs/>
      <w:sz w:val="17"/>
      <w:szCs w:val="17"/>
    </w:rPr>
  </w:style>
  <w:style w:type="paragraph" w:customStyle="1" w:styleId="pct-label">
    <w:name w:val="pct-label"/>
    <w:basedOn w:val="Normal"/>
    <w:pPr>
      <w:spacing w:before="100" w:beforeAutospacing="1" w:after="90"/>
    </w:pPr>
    <w:rPr>
      <w:rFonts w:ascii="Arial" w:hAnsi="Arial" w:cs="Arial"/>
      <w:b/>
      <w:bCs/>
      <w:sz w:val="15"/>
      <w:szCs w:val="15"/>
    </w:rPr>
  </w:style>
  <w:style w:type="paragraph" w:customStyle="1" w:styleId="legend-text">
    <w:name w:val="legend-text"/>
    <w:basedOn w:val="Normal"/>
    <w:pPr>
      <w:spacing w:before="100" w:beforeAutospacing="1" w:after="90"/>
    </w:pPr>
    <w:rPr>
      <w:rFonts w:ascii="Arial" w:hAnsi="Arial" w:cs="Arial"/>
      <w:b/>
      <w:bCs/>
      <w:sz w:val="17"/>
      <w:szCs w:val="17"/>
    </w:rPr>
  </w:style>
  <w:style w:type="paragraph" w:customStyle="1" w:styleId="val-label">
    <w:name w:val="val-label"/>
    <w:basedOn w:val="Normal"/>
    <w:pPr>
      <w:spacing w:before="100" w:beforeAutospacing="1" w:after="90"/>
    </w:pPr>
    <w:rPr>
      <w:rFonts w:ascii="Arial" w:hAnsi="Arial" w:cs="Arial"/>
      <w:b/>
      <w:bCs/>
      <w:sz w:val="17"/>
      <w:szCs w:val="17"/>
    </w:rPr>
  </w:style>
  <w:style w:type="paragraph" w:customStyle="1" w:styleId="bar-val">
    <w:name w:val="bar-val"/>
    <w:basedOn w:val="Normal"/>
    <w:pPr>
      <w:spacing w:before="100" w:beforeAutospacing="1" w:after="90"/>
    </w:pPr>
    <w:rPr>
      <w:rFonts w:ascii="Arial" w:hAnsi="Arial" w:cs="Arial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90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18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89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783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43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786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437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23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801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20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5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756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23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94688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32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296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763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55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741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0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7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606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8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49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4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34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031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11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99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63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351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02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38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71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40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82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43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3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8380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OneDrive\Escritorio\CAYAMBE%20CATASTRO%20RIEGO\padron-app\public\informe_graficos\chart_animales_sector2.svg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HP\OneDrive\Escritorio\CAYAMBE%20CATASTRO%20RIEGO\padron-app\public\informe_graficos\chart_cultivos_sector2.sv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HP\OneDrive\Escritorio\CAYAMBE%20CATASTRO%20RIEGO\padron-app\public\informe_graficos\chart_animales_sector1.svg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HP\OneDrive\Escritorio\CAYAMBE%20CATASTRO%20RIEGO\padron-app\public\informe_graficos\chart_cultivos_sector1.svg" TargetMode="External"/><Relationship Id="rId10" Type="http://schemas.openxmlformats.org/officeDocument/2006/relationships/hyperlink" Target="file:///C:\Users\HP\OneDrive\Escritorio\CAYAMBE%20CATASTRO%20RIEGO\padron-app\public\informe_graficos\chart_animales_sector3.sv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OneDrive\Escritorio\CAYAMBE%20CATASTRO%20RIEGO\padron-app\public\informe_graficos\chart_cultivos_sector3.sv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2354</Words>
  <Characters>12949</Characters>
  <Application>Microsoft Office Word</Application>
  <DocSecurity>0</DocSecurity>
  <Lines>107</Lines>
  <Paragraphs>30</Paragraphs>
  <ScaleCrop>false</ScaleCrop>
  <Company/>
  <LinksUpToDate>false</LinksUpToDate>
  <CharactersWithSpaces>15273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- Padrón de Riego Porotog</dc:title>
  <dc:subject/>
  <dc:creator>♣♦J☺V♪K○♦♣ Dávila</dc:creator>
  <cp:keywords/>
  <dc:description/>
  <cp:lastModifiedBy>♣♦J☺V♪K○♦♣ Dávila</cp:lastModifiedBy>
  <cp:revision>2</cp:revision>
  <dcterms:created xsi:type="dcterms:W3CDTF">2026-09-10T17:56:00Z</dcterms:created>
  <dcterms:modified xsi:type="dcterms:W3CDTF">2026-09-10T17:56:00Z</dcterms:modified>
</cp:coreProperties>
</file>