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1F4E79"/>
          <w:sz w:val="38"/>
        </w:rPr>
        <w:t>Reporte de pendientes — Padrón Guanguilquí–Porotog</w:t>
      </w:r>
    </w:p>
    <w:p>
      <w:pPr>
        <w:jc w:val="both"/>
      </w:pPr>
      <w:r>
        <w:rPr>
          <w:b/>
        </w:rPr>
        <w:t>Corte de datos:</w:t>
      </w:r>
      <w:r>
        <w:t xml:space="preserve"> 4 de agosto de 2026 (6.826 fichas · 4.305 regantes · 2.521 predios adicionales) </w:t>
      </w:r>
      <w:r>
        <w:rPr>
          <w:b/>
        </w:rPr>
        <w:t>Generado:</w:t>
      </w:r>
      <w:r>
        <w:t xml:space="preserve"> 4 de agosto de 2026</w:t>
      </w:r>
    </w:p>
    <w:p>
      <w:pPr>
        <w:jc w:val="both"/>
      </w:pPr>
      <w:r>
        <w:t xml:space="preserve">Este documento reúne, en un solo lugar, todo lo que queda abierto. Se agrupa por </w:t>
      </w:r>
      <w:r>
        <w:rPr>
          <w:b/>
        </w:rPr>
        <w:t>quién lo tiene que resolver</w:t>
      </w:r>
      <w:r>
        <w:t>, porque esa es la única división que cambia lo que hay que hacer mañana.</w:t>
      </w:r>
    </w:p>
    <w:p>
      <w:pPr>
        <w:spacing w:before="40" w:after="160"/>
        <w:pBdr>
          <w:bottom w:val="single" w:sz="6" w:color="BFBFBF"/>
        </w:pBdr>
      </w:pPr>
    </w:p>
    <w:p>
      <w:pPr>
        <w:pStyle w:val="Heading2"/>
        <w:spacing w:before="240" w:after="80"/>
      </w:pPr>
      <w:r>
        <w:rPr>
          <w:b/>
          <w:color w:val="1F4E79"/>
          <w:sz w:val="28"/>
        </w:rPr>
        <w:t>Resumen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Bloque</w:t>
            </w:r>
          </w:p>
        </w:tc>
        <w:tc>
          <w:tcPr>
            <w:tcW w:type="dxa" w:w="2379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Casos</w:t>
            </w:r>
          </w:p>
        </w:tc>
        <w:tc>
          <w:tcPr>
            <w:tcW w:type="dxa" w:w="2379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Quién resuelve</w:t>
            </w:r>
          </w:p>
        </w:tc>
        <w:tc>
          <w:tcPr>
            <w:tcW w:type="dxa" w:w="2379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¿Bloquea el informe?</w:t>
            </w:r>
          </w:p>
        </w:tc>
      </w:tr>
      <w:tr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sz w:val="19"/>
              </w:rPr>
              <w:t>A. Datos excluidos por inconsistencia</w:t>
            </w:r>
          </w:p>
        </w:tc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sz w:val="19"/>
              </w:rPr>
              <w:t>3 casos</w:t>
            </w:r>
          </w:p>
        </w:tc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sz w:val="19"/>
              </w:rPr>
              <w:t>JAVIKO / dirección</w:t>
            </w:r>
          </w:p>
        </w:tc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Sí</w:t>
            </w:r>
            <w:r>
              <w:rPr>
                <w:sz w:val="19"/>
              </w:rPr>
              <w:t>, están fuera de las cifras</w:t>
            </w:r>
          </w:p>
        </w:tc>
      </w:tr>
      <w:tr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sz w:val="19"/>
              </w:rPr>
              <w:t>B. Trabajo de campo pendiente</w:t>
            </w:r>
          </w:p>
        </w:tc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sz w:val="19"/>
              </w:rPr>
              <w:t>405 fichas</w:t>
            </w:r>
          </w:p>
        </w:tc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sz w:val="19"/>
              </w:rPr>
              <w:t>Técnicos</w:t>
            </w:r>
          </w:p>
        </w:tc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sz w:val="19"/>
              </w:rPr>
              <w:t>No, pero deja huecos</w:t>
            </w:r>
          </w:p>
        </w:tc>
      </w:tr>
      <w:tr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sz w:val="19"/>
              </w:rPr>
              <w:t>C. Apartados incompletos de la ficha</w:t>
            </w:r>
          </w:p>
        </w:tc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sz w:val="19"/>
              </w:rPr>
              <w:t>1.396 predios</w:t>
            </w:r>
          </w:p>
        </w:tc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sz w:val="19"/>
              </w:rPr>
              <w:t>Técnicos</w:t>
            </w:r>
          </w:p>
        </w:tc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Sí</w:t>
            </w:r>
            <w:r>
              <w:rPr>
                <w:sz w:val="19"/>
              </w:rPr>
              <w:t>, el capítulo va preliminar</w:t>
            </w:r>
          </w:p>
        </w:tc>
      </w:tr>
      <w:tr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sz w:val="19"/>
              </w:rPr>
              <w:t>D. Formulario: correcciones sin cerrar</w:t>
            </w:r>
          </w:p>
        </w:tc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sz w:val="19"/>
              </w:rPr>
              <w:t>10 de 14 ítems</w:t>
            </w:r>
          </w:p>
        </w:tc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sz w:val="19"/>
              </w:rPr>
              <w:t>Dirección de proyecto</w:t>
            </w:r>
          </w:p>
        </w:tc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sz w:val="19"/>
              </w:rPr>
              <w:t>Define el alcance del censo</w:t>
            </w:r>
          </w:p>
        </w:tc>
      </w:tr>
      <w:tr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sz w:val="19"/>
              </w:rPr>
              <w:t>E. Datos con error de origen</w:t>
            </w:r>
          </w:p>
        </w:tc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sz w:val="19"/>
              </w:rPr>
              <w:t>1 caso</w:t>
            </w:r>
          </w:p>
        </w:tc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sz w:val="19"/>
              </w:rPr>
              <w:t>Decisión + campo</w:t>
            </w:r>
          </w:p>
        </w:tc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sz w:val="19"/>
              </w:rPr>
              <w:t>No, hay parche</w:t>
            </w:r>
          </w:p>
        </w:tc>
      </w:tr>
    </w:tbl>
    <w:p>
      <w:pPr>
        <w:spacing w:after="40"/>
      </w:pPr>
    </w:p>
    <w:p>
      <w:pPr>
        <w:spacing w:before="40" w:after="160"/>
        <w:pBdr>
          <w:bottom w:val="single" w:sz="6" w:color="BFBFBF"/>
        </w:pBdr>
      </w:pPr>
    </w:p>
    <w:p>
      <w:pPr>
        <w:pStyle w:val="Heading2"/>
        <w:spacing w:before="240" w:after="80"/>
      </w:pPr>
      <w:r>
        <w:rPr>
          <w:b/>
          <w:color w:val="1F4E79"/>
          <w:sz w:val="28"/>
        </w:rPr>
        <w:t>A. Datos excluidos de los informes por inconsistencia</w:t>
      </w:r>
    </w:p>
    <w:p>
      <w:pPr>
        <w:jc w:val="both"/>
      </w:pPr>
      <w:r>
        <w:t xml:space="preserve">Están </w:t>
      </w:r>
      <w:r>
        <w:rPr>
          <w:b/>
        </w:rPr>
        <w:t>fuera de las cifras publicadas</w:t>
      </w:r>
      <w:r>
        <w:t xml:space="preserve"> porque incluirlos las distorsiona. Cada uno necesita una confirmación para poder entrar (o quedar descartado en firme).</w:t>
      </w:r>
    </w:p>
    <w:p>
      <w:pPr>
        <w:pStyle w:val="Heading3"/>
        <w:spacing w:before="180" w:after="80"/>
      </w:pPr>
      <w:r>
        <w:rPr>
          <w:b/>
          <w:color w:val="1F4E79"/>
          <w:sz w:val="24"/>
        </w:rPr>
        <w:t>A1 · Granja avícola de Asociación Rosalía — 60.000 aves</w:t>
      </w:r>
    </w:p>
    <w:p>
      <w:pPr>
        <w:jc w:val="both"/>
      </w:pPr>
      <w:r>
        <w:t xml:space="preserve">Seis fichas de </w:t>
      </w:r>
      <w:r>
        <w:rPr>
          <w:b/>
        </w:rPr>
        <w:t>una misma familia</w:t>
      </w:r>
      <w:r>
        <w:t xml:space="preserve"> declaran </w:t>
      </w:r>
      <w:r>
        <w:rPr>
          <w:b/>
        </w:rPr>
        <w:t>10.000 gallinas cada una</w:t>
      </w:r>
      <w:r>
        <w:t xml:space="preserve"> sobre </w:t>
      </w:r>
      <w:r>
        <w:rPr>
          <w:b/>
        </w:rPr>
        <w:t>el mismo predio</w:t>
      </w:r>
      <w:r>
        <w:t xml:space="preserve"> de 9,8 ha. Casi con certeza es </w:t>
      </w:r>
      <w:r>
        <w:rPr>
          <w:b/>
        </w:rPr>
        <w:t>una sola granja contada seis veces</w:t>
      </w:r>
      <w:r>
        <w:t>, una por cada titular.</w:t>
      </w:r>
    </w:p>
    <w:p>
      <w:pPr>
        <w:pStyle w:val="ListBullet"/>
        <w:spacing w:after="60"/>
      </w:pPr>
      <w:r>
        <w:rPr>
          <w:b/>
        </w:rPr>
        <w:t>Impacto si se incluyera:</w:t>
      </w:r>
      <w:r>
        <w:t xml:space="preserve"> el hato pasa a 159.640 animales y </w:t>
      </w:r>
      <w:r>
        <w:rPr>
          <w:b/>
        </w:rPr>
        <w:t>una sola explotación sería el 35 % del ganado de todo el sistema</w:t>
      </w:r>
      <w:r>
        <w:t>.</w:t>
      </w:r>
    </w:p>
    <w:p>
      <w:pPr>
        <w:pStyle w:val="ListBullet"/>
        <w:spacing w:after="60"/>
      </w:pPr>
      <w:r>
        <w:rPr>
          <w:b/>
        </w:rPr>
        <w:t>Qué falta:</w:t>
      </w:r>
      <w:r>
        <w:t xml:space="preserve"> ir al predio y contar cuántas aves existen realmente, y a nombre de quién se registran.</w:t>
      </w:r>
    </w:p>
    <w:p>
      <w:pPr>
        <w:pStyle w:val="ListBullet"/>
        <w:spacing w:after="60"/>
      </w:pPr>
      <w:r>
        <w:rPr>
          <w:b/>
        </w:rPr>
        <w:t>Estado:</w:t>
      </w:r>
      <w:r>
        <w:t xml:space="preserve"> excluido del capítulo de Producción Agropecuaria, con nota visible en el informe.</w:t>
      </w:r>
    </w:p>
    <w:p>
      <w:pPr>
        <w:pStyle w:val="Heading3"/>
        <w:spacing w:before="180" w:after="80"/>
      </w:pPr>
      <w:r>
        <w:rPr>
          <w:b/>
          <w:color w:val="1F4E79"/>
          <w:sz w:val="24"/>
        </w:rPr>
        <w:t>A2 · Tarifas de ALPAKA — 491 fichas</w:t>
      </w:r>
    </w:p>
    <w:p>
      <w:pPr>
        <w:jc w:val="both"/>
      </w:pPr>
      <w:r>
        <w:t xml:space="preserve">491 fichas registran tarifas de </w:t>
      </w:r>
      <w:r>
        <w:rPr>
          <w:b/>
        </w:rPr>
        <w:t>672 y 308 USD como "fijo mensual"</w:t>
      </w:r>
      <w:r>
        <w:t xml:space="preserve">, contra una </w:t>
      </w:r>
      <w:r>
        <w:rPr>
          <w:b/>
        </w:rPr>
        <w:t>mediana de 3,00 USD</w:t>
      </w:r>
      <w:r>
        <w:t xml:space="preserve"> en el resto del sistema.</w:t>
      </w:r>
    </w:p>
    <w:p>
      <w:pPr>
        <w:pStyle w:val="ListBullet"/>
        <w:spacing w:after="60"/>
      </w:pPr>
      <w:r>
        <w:rPr>
          <w:b/>
        </w:rPr>
        <w:t>Lectura:</w:t>
      </w:r>
      <w:r>
        <w:t xml:space="preserve"> por su magnitud no es una tarifa mensual de riego; probablemente corresponde a otro concepto del proceso de fraccionamiento (una cuota total, un pago de lote).</w:t>
      </w:r>
    </w:p>
    <w:p>
      <w:pPr>
        <w:pStyle w:val="ListBullet"/>
        <w:spacing w:after="60"/>
      </w:pPr>
      <w:r>
        <w:rPr>
          <w:b/>
        </w:rPr>
        <w:t>Qué falta:</w:t>
      </w:r>
      <w:r>
        <w:t xml:space="preserve"> confirmar con los usuarios de ALPAKA qué concepto es.</w:t>
      </w:r>
    </w:p>
    <w:p>
      <w:pPr>
        <w:pStyle w:val="ListBullet"/>
        <w:spacing w:after="60"/>
      </w:pPr>
      <w:r>
        <w:rPr>
          <w:b/>
        </w:rPr>
        <w:t>Estado:</w:t>
      </w:r>
      <w:r>
        <w:t xml:space="preserve"> excluidas de las cifras de tarifas.</w:t>
      </w:r>
    </w:p>
    <w:p>
      <w:pPr>
        <w:pStyle w:val="Heading3"/>
        <w:spacing w:before="180" w:after="80"/>
      </w:pPr>
      <w:r>
        <w:rPr>
          <w:b/>
          <w:color w:val="1F4E79"/>
          <w:sz w:val="24"/>
        </w:rPr>
        <w:t>A3 · Caudales que coinciden con su comunidad de origen — 71,5 l/s</w:t>
      </w:r>
    </w:p>
    <w:p>
      <w:pPr>
        <w:jc w:val="both"/>
      </w:pPr>
      <w:r>
        <w:rPr>
          <w:b/>
        </w:rPr>
        <w:t>Avellaneda</w:t>
      </w:r>
      <w:r>
        <w:t xml:space="preserve">, </w:t>
      </w:r>
      <w:r>
        <w:rPr>
          <w:b/>
        </w:rPr>
        <w:t>Hernán Timpe</w:t>
      </w:r>
      <w:r>
        <w:t xml:space="preserve"> y </w:t>
      </w:r>
      <w:r>
        <w:rPr>
          <w:b/>
        </w:rPr>
        <w:t>Hda. San Francisco</w:t>
      </w:r>
      <w:r>
        <w:t xml:space="preserve"> declaran exactamente el mismo caudal que la comunidad de la que provienen, lo que indica que </w:t>
      </w:r>
      <w:r>
        <w:rPr>
          <w:b/>
        </w:rPr>
        <w:t>es la misma llave de agua</w:t>
      </w:r>
      <w:r>
        <w:t>, no uno adicional.</w:t>
      </w:r>
    </w:p>
    <w:p>
      <w:pPr>
        <w:pStyle w:val="ListBullet"/>
        <w:spacing w:after="60"/>
      </w:pPr>
      <w:r>
        <w:rPr>
          <w:b/>
        </w:rPr>
        <w:t>Impacto:</w:t>
      </w:r>
      <w:r>
        <w:t xml:space="preserve"> hoy el sistema totaliza </w:t>
      </w:r>
      <w:r>
        <w:rPr>
          <w:b/>
        </w:rPr>
        <w:t>950,25 l/s</w:t>
      </w:r>
      <w:r>
        <w:t xml:space="preserve">. Si los tres tuvieran llave propia, pasaría a </w:t>
      </w:r>
      <w:r>
        <w:rPr>
          <w:b/>
        </w:rPr>
        <w:t>1.021 l/s</w:t>
      </w:r>
      <w:r>
        <w:t>.</w:t>
      </w:r>
    </w:p>
    <w:p>
      <w:pPr>
        <w:pStyle w:val="ListBullet"/>
        <w:spacing w:after="60"/>
      </w:pPr>
      <w:r>
        <w:rPr>
          <w:b/>
        </w:rPr>
        <w:t>Qué falta:</w:t>
      </w:r>
      <w:r>
        <w:t xml:space="preserve"> confirmar si tienen captación independiente.</w:t>
      </w:r>
    </w:p>
    <w:p>
      <w:pPr>
        <w:pStyle w:val="ListBullet"/>
        <w:spacing w:after="60"/>
      </w:pPr>
      <w:r>
        <w:rPr>
          <w:b/>
        </w:rPr>
        <w:t>Estado:</w:t>
      </w:r>
      <w:r>
        <w:t xml:space="preserve"> marcados como caudal heredado; no se suman por separado.</w:t>
      </w:r>
    </w:p>
    <w:p>
      <w:pPr>
        <w:spacing w:before="40" w:after="160"/>
        <w:pBdr>
          <w:bottom w:val="single" w:sz="6" w:color="BFBFBF"/>
        </w:pBdr>
      </w:pPr>
    </w:p>
    <w:p>
      <w:pPr>
        <w:pStyle w:val="Heading2"/>
        <w:spacing w:before="240" w:after="80"/>
      </w:pPr>
      <w:r>
        <w:rPr>
          <w:b/>
          <w:color w:val="1F4E79"/>
          <w:sz w:val="28"/>
        </w:rPr>
        <w:t>B. Trabajo de campo pendiente</w:t>
      </w:r>
    </w:p>
    <w:p>
      <w:pPr>
        <w:pStyle w:val="Heading3"/>
        <w:spacing w:before="180" w:after="80"/>
      </w:pPr>
      <w:r>
        <w:rPr>
          <w:b/>
          <w:color w:val="1F4E79"/>
          <w:sz w:val="24"/>
        </w:rPr>
        <w:t>B1 · Predios anotados en observaciones (</w:t>
      </w:r>
      <w:r>
        <w:rPr>
          <w:rFonts w:ascii="Consolas" w:hAnsi="Consolas"/>
          <w:b/>
          <w:color w:val="1F4E79"/>
          <w:sz w:val="24"/>
        </w:rPr>
        <w:t>REVISION-observaciones-con-clave.md</w:t>
      </w:r>
      <w:r>
        <w:rPr>
          <w:b/>
          <w:color w:val="1F4E79"/>
          <w:sz w:val="24"/>
        </w:rPr>
        <w:t>)</w:t>
      </w:r>
    </w:p>
    <w:p>
      <w:pPr>
        <w:jc w:val="both"/>
      </w:pPr>
      <w:r>
        <w:t xml:space="preserve">Antes de que el formulario tuviera la pestaña </w:t>
      </w:r>
      <w:r>
        <w:rPr>
          <w:b/>
        </w:rPr>
        <w:t>➕ PREDIO ADICIONAL</w:t>
      </w:r>
      <w:r>
        <w:t xml:space="preserve">, los técnicos anotaban en observaciones la clave catastral de los otros predios del regante. Son </w:t>
      </w:r>
      <w:r>
        <w:rPr>
          <w:b/>
        </w:rPr>
        <w:t>213 claves halladas en 1.494 fichas</w:t>
      </w:r>
      <w:r>
        <w:t>, ya clasificadas: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Grupo</w:t>
            </w:r>
          </w:p>
        </w:tc>
        <w:tc>
          <w:tcPr>
            <w:tcW w:type="dxa" w:w="3173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Casos</w:t>
            </w:r>
          </w:p>
        </w:tc>
        <w:tc>
          <w:tcPr>
            <w:tcW w:type="dxa" w:w="3173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Acción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1. Crear la ficha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31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Ir a campo, levantar el predio y vincularlo al regante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2. Solo marcar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17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Oficina: la ficha ya existe y es del mismo regante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3. Revisar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78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El texto no deja claro qué es; hay que verlo en campo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4. No tocar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59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El predio es de otra persona o de la comuna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5. Confirmar clave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28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La clave está mal escrita</w:t>
            </w:r>
          </w:p>
        </w:tc>
      </w:tr>
    </w:tbl>
    <w:p>
      <w:pPr>
        <w:spacing w:after="40"/>
      </w:pPr>
    </w:p>
    <w:p>
      <w:pPr>
        <w:spacing w:before="80"/>
        <w:ind w:left="340"/>
      </w:pPr>
      <w:r>
        <w:rPr>
          <w:b/>
          <w:color w:val="595959"/>
        </w:rPr>
        <w:t>Ojo con el grupo 4:</w:t>
      </w:r>
      <w:r>
        <w:rPr>
          <w:i/>
          <w:color w:val="595959"/>
        </w:rPr>
        <w:t xml:space="preserve"> cuando el regante señala un predio que ya está a nombre de otro o de la comuna, casi siempre indica </w:t>
      </w:r>
      <w:r>
        <w:rPr>
          <w:i/>
          <w:color w:val="595959"/>
        </w:rPr>
        <w:t>dónde está su lote dentro de ese predio</w:t>
      </w:r>
      <w:r>
        <w:rPr>
          <w:i/>
          <w:color w:val="595959"/>
        </w:rPr>
        <w:t>. Marcarlo como adicional le atribuiría el predio entero.</w:t>
      </w:r>
    </w:p>
    <w:p>
      <w:pPr>
        <w:pStyle w:val="Heading3"/>
        <w:spacing w:before="180" w:after="80"/>
      </w:pPr>
      <w:r>
        <w:rPr>
          <w:b/>
          <w:color w:val="1F4E79"/>
          <w:sz w:val="24"/>
        </w:rPr>
        <w:t>B2 · Áreas que no cuadran con el catastro (</w:t>
      </w:r>
      <w:r>
        <w:rPr>
          <w:rFonts w:ascii="Consolas" w:hAnsi="Consolas"/>
          <w:b/>
          <w:color w:val="1F4E79"/>
          <w:sz w:val="24"/>
        </w:rPr>
        <w:t>REVISION-AREAS-fichas-a-verificar.md</w:t>
      </w:r>
      <w:r>
        <w:rPr>
          <w:b/>
          <w:color w:val="1F4E79"/>
          <w:sz w:val="24"/>
        </w:rPr>
        <w:t>)</w:t>
      </w:r>
    </w:p>
    <w:p>
      <w:pPr>
        <w:jc w:val="both"/>
      </w:pPr>
      <w:r>
        <w:t>Se comparó lo declarado contra el polígono catastral de cada ficha: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Problema</w:t>
            </w:r>
          </w:p>
        </w:tc>
        <w:tc>
          <w:tcPr>
            <w:tcW w:type="dxa" w:w="4759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Fichas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Área del terreno </w:t>
            </w:r>
            <w:r>
              <w:rPr>
                <w:b/>
                <w:sz w:val="19"/>
              </w:rPr>
              <w:t>mayor que el polígono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148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Superficie sembrada (suma de cultivos) mayor que el polígono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180</w:t>
            </w:r>
          </w:p>
        </w:tc>
      </w:tr>
    </w:tbl>
    <w:p>
      <w:pPr>
        <w:spacing w:after="40"/>
      </w:pPr>
    </w:p>
    <w:p>
      <w:pPr>
        <w:jc w:val="both"/>
      </w:pPr>
      <w:r>
        <w:t>Son problemas distintos: una ficha puede tener bien el área del terreno y aun así declarar más cultivos de los que caben.</w:t>
      </w:r>
    </w:p>
    <w:p>
      <w:pPr>
        <w:jc w:val="both"/>
      </w:pPr>
      <w:r>
        <w:rPr>
          <w:b/>
        </w:rPr>
        <w:t>Causas más probables:</w:t>
      </w:r>
      <w:r>
        <w:t xml:space="preserve"> el formulario arrastró el área de la ficha anterior (hay áreas idénticas repetidas en predios distintos); la clave catastral asignada no corresponde al predio; o el regante declaró la extensión del terreno comunal en vez de su parcela.</w:t>
      </w:r>
    </w:p>
    <w:p>
      <w:pPr>
        <w:jc w:val="both"/>
      </w:pPr>
      <w:r>
        <w:t>Concentración por técnico en el problema 1: Adriana Cuascota 119, Huguito Ipial 12, Pablo Barrionuevo 7, Dylan Chavez 7.</w:t>
      </w:r>
    </w:p>
    <w:p>
      <w:pPr>
        <w:pStyle w:val="Heading3"/>
        <w:spacing w:before="180" w:after="80"/>
      </w:pPr>
      <w:r>
        <w:rPr>
          <w:b/>
          <w:color w:val="1F4E79"/>
          <w:sz w:val="24"/>
        </w:rPr>
        <w:t>B3 · Fichas sin comunidad</w:t>
      </w:r>
    </w:p>
    <w:p>
      <w:pPr>
        <w:jc w:val="both"/>
      </w:pPr>
      <w:r>
        <w:rPr>
          <w:b/>
        </w:rPr>
        <w:t>111 fichas</w:t>
      </w:r>
      <w:r>
        <w:t xml:space="preserve"> sin comunidad asignada; de ellas </w:t>
      </w:r>
      <w:r>
        <w:rPr>
          <w:b/>
        </w:rPr>
        <w:t>66 son principales</w:t>
      </w:r>
      <w:r>
        <w:t xml:space="preserve"> y necesitan verificación en campo. Sin comunidad, la ficha no entra en los agregados por comunidad ni en el reparto de caudal.</w:t>
      </w:r>
    </w:p>
    <w:p>
      <w:pPr>
        <w:spacing w:before="40" w:after="160"/>
        <w:pBdr>
          <w:bottom w:val="single" w:sz="6" w:color="BFBFBF"/>
        </w:pBdr>
      </w:pPr>
    </w:p>
    <w:p>
      <w:pPr>
        <w:pStyle w:val="Heading2"/>
        <w:spacing w:before="240" w:after="80"/>
      </w:pPr>
      <w:r>
        <w:rPr>
          <w:b/>
          <w:color w:val="1F4E79"/>
          <w:sz w:val="28"/>
        </w:rPr>
        <w:t>C. Apartados de la ficha que están incompletos</w:t>
      </w:r>
    </w:p>
    <w:p>
      <w:pPr>
        <w:pStyle w:val="Heading3"/>
        <w:spacing w:before="180" w:after="80"/>
      </w:pPr>
      <w:r>
        <w:rPr>
          <w:b/>
          <w:color w:val="1F4E79"/>
          <w:sz w:val="24"/>
        </w:rPr>
        <w:t>C1 · Servicios básicos — 67,6 % levantado</w:t>
      </w:r>
    </w:p>
    <w:p>
      <w:pPr>
        <w:jc w:val="both"/>
      </w:pPr>
      <w:r>
        <w:t xml:space="preserve">Registrado en </w:t>
      </w:r>
      <w:r>
        <w:rPr>
          <w:b/>
        </w:rPr>
        <w:t>2.909 de 4.305 predios</w:t>
      </w:r>
      <w:r>
        <w:t xml:space="preserve">. Faltan </w:t>
      </w:r>
      <w:r>
        <w:rPr>
          <w:b/>
        </w:rPr>
        <w:t>1.396</w:t>
      </w:r>
      <w:r>
        <w:t>.</w:t>
      </w:r>
    </w:p>
    <w:p>
      <w:pPr>
        <w:jc w:val="both"/>
      </w:pPr>
      <w:r>
        <w:t xml:space="preserve">A diferencia del resto de la ficha, este bloque </w:t>
      </w:r>
      <w:r>
        <w:rPr>
          <w:b/>
        </w:rPr>
        <w:t>sigue en levantamiento</w:t>
      </w:r>
      <w:r>
        <w:t xml:space="preserve">. El capítulo 6 del informe se publica como </w:t>
      </w:r>
      <w:r>
        <w:rPr>
          <w:b/>
        </w:rPr>
        <w:t>preliminar</w:t>
      </w:r>
      <w:r>
        <w:t xml:space="preserve"> y sus porcentajes se calculan sobre la base efectivamente registrada, </w:t>
      </w:r>
      <w:r>
        <w:rPr>
          <w:b/>
        </w:rPr>
        <w:t>no</w:t>
      </w:r>
      <w:r>
        <w:t xml:space="preserve"> sobre el total del padrón.</w:t>
      </w:r>
    </w:p>
    <w:p>
      <w:pPr>
        <w:spacing w:before="80"/>
        <w:ind w:left="340"/>
      </w:pPr>
      <w:r>
        <w:rPr>
          <w:b/>
          <w:color w:val="595959"/>
        </w:rPr>
        <w:t>No presentar estas cifras como cobertura de servicios del sistema</w:t>
      </w:r>
      <w:r>
        <w:rPr>
          <w:i/>
          <w:color w:val="595959"/>
        </w:rPr>
        <w:t xml:space="preserve"> hasta cerrar el levantamiento: hoy describen a quienes ya fueron encuestados, no al universo.</w:t>
      </w:r>
    </w:p>
    <w:p>
      <w:pPr>
        <w:pStyle w:val="Heading3"/>
        <w:spacing w:before="180" w:after="80"/>
      </w:pPr>
      <w:r>
        <w:rPr>
          <w:b/>
          <w:color w:val="1F4E79"/>
          <w:sz w:val="24"/>
        </w:rPr>
        <w:t>C2 · Fichas adicionales sin Sección 4</w:t>
      </w:r>
    </w:p>
    <w:p>
      <w:pPr>
        <w:jc w:val="both"/>
      </w:pPr>
      <w:r>
        <w:rPr>
          <w:b/>
        </w:rPr>
        <w:t>115 predios adicionales</w:t>
      </w:r>
      <w:r>
        <w:t xml:space="preserve"> siguen </w:t>
      </w:r>
      <w:r>
        <w:rPr>
          <w:b/>
        </w:rPr>
        <w:t>sin producción registrada</w:t>
      </w:r>
      <w:r>
        <w:t xml:space="preserve"> (son los puntos blancos del mapa). Bajaron mucho: el 31 de julio eran 577.</w:t>
      </w:r>
    </w:p>
    <w:p>
      <w:pPr>
        <w:spacing w:before="40" w:after="160"/>
        <w:pBdr>
          <w:bottom w:val="single" w:sz="6" w:color="BFBFBF"/>
        </w:pBdr>
      </w:pPr>
    </w:p>
    <w:p>
      <w:pPr>
        <w:pStyle w:val="Heading2"/>
        <w:spacing w:before="240" w:after="80"/>
      </w:pPr>
      <w:r>
        <w:rPr>
          <w:b/>
          <w:color w:val="1F4E79"/>
          <w:sz w:val="28"/>
        </w:rPr>
        <w:t>D. Correcciones al formulario sin cerrar</w:t>
      </w:r>
    </w:p>
    <w:p>
      <w:pPr>
        <w:jc w:val="both"/>
      </w:pPr>
      <w:r>
        <w:t>Del checklist de 14 ítems (</w:t>
      </w:r>
      <w:r>
        <w:rPr>
          <w:rFonts w:ascii="Consolas" w:hAnsi="Consolas"/>
          <w:color w:val="8B2500"/>
          <w:sz w:val="19"/>
        </w:rPr>
        <w:t>6.8_checklist_formulario_empadronamiento.md</w:t>
      </w:r>
      <w:r>
        <w:t xml:space="preserve">), </w:t>
      </w:r>
      <w:r>
        <w:rPr>
          <w:b/>
        </w:rPr>
        <w:t>4 están cerrados</w:t>
      </w:r>
      <w:r>
        <w:t xml:space="preserve"> y </w:t>
      </w:r>
      <w:r>
        <w:rPr>
          <w:b/>
        </w:rPr>
        <w:t>10 siguen abiertos</w:t>
      </w:r>
      <w:r>
        <w:t>. Los que tienen consecuencia real sobre los datos: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Ítem</w:t>
            </w:r>
          </w:p>
        </w:tc>
        <w:tc>
          <w:tcPr>
            <w:tcW w:type="dxa" w:w="4759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Situación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Registro detallado por cultivo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Faltan meses de siembra/cosecha, producción, rendimiento, pérdidas y destino (venta, autoconsumo, semilla, alimentación animal, transformación). </w:t>
            </w:r>
            <w:r>
              <w:rPr>
                <w:b/>
                <w:sz w:val="19"/>
              </w:rPr>
              <w:t>Requiere definir el alcance del censo productivo y económico.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Registro detallado del sistema pecuario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Igual: categoría, raza, existencias, producción, destino, alimentación, superficie de pastos, consumo y fuente de agua. Mismo pendiente de alcance.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Destino de la producción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El dato existe en la ficha pero hay que mostrarlo como porcentaje y exigir que sume consistente.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Código único de identificación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Propuesto </w:t>
            </w:r>
            <w:r>
              <w:rPr>
                <w:rFonts w:ascii="Consolas" w:hAnsi="Consolas"/>
                <w:color w:val="8B2500"/>
                <w:sz w:val="19"/>
              </w:rPr>
              <w:t>S01-C01-P001</w:t>
            </w:r>
            <w:r>
              <w:rPr>
                <w:sz w:val="19"/>
              </w:rPr>
              <w:t xml:space="preserve"> (Sector-Comunidad-Predio); quedó pendiente de la reunión con el director.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Consentimiento informado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Añadir la casilla y marcarla para todos; dividir responsables en 4: informante, investigador, supervisor y fecha (supervisor: Tecnólogo Steven Proaño / AP Catastros).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Errores de nomenclatura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Corregir en el catastro: </w:t>
            </w:r>
            <w:r>
              <w:rPr>
                <w:i/>
                <w:sz w:val="19"/>
              </w:rPr>
              <w:t>"Guang-Portog"</w:t>
            </w:r>
            <w:r>
              <w:rPr>
                <w:sz w:val="19"/>
              </w:rPr>
              <w:t xml:space="preserve"> → </w:t>
            </w:r>
            <w:r>
              <w:rPr>
                <w:b/>
                <w:sz w:val="19"/>
              </w:rPr>
              <w:t>Guanguilquí–Porotog</w:t>
            </w:r>
            <w:r>
              <w:rPr>
                <w:sz w:val="19"/>
              </w:rPr>
              <w:t xml:space="preserve">, además de </w:t>
            </w:r>
            <w:r>
              <w:rPr>
                <w:i/>
                <w:sz w:val="19"/>
              </w:rPr>
              <w:t>"Hortizas"</w:t>
            </w:r>
            <w:r>
              <w:rPr>
                <w:sz w:val="19"/>
              </w:rPr>
              <w:t xml:space="preserve"> y </w:t>
            </w:r>
            <w:r>
              <w:rPr>
                <w:i/>
                <w:sz w:val="19"/>
              </w:rPr>
              <w:t>"Vaconas"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Definición de expresiones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Sin definir: </w:t>
            </w:r>
            <w:r>
              <w:rPr>
                <w:i/>
                <w:sz w:val="19"/>
              </w:rPr>
              <w:t>soberanía alimentaria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actividades productivas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particular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empresarial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NSC</w:t>
            </w:r>
            <w:r>
              <w:rPr>
                <w:sz w:val="19"/>
              </w:rPr>
              <w:t>. Se usan en la ficha sin categoría medible.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Subtítulo / alcance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Cambiar a </w:t>
            </w:r>
            <w:r>
              <w:rPr>
                <w:i/>
                <w:sz w:val="19"/>
              </w:rPr>
              <w:t>"Ficha de empadronamiento predial y productivo – línea base censal"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Preguntas comunitarias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Las está separando el sociólogo en la ficha productiva.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Legibilidad en campo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La ficha web actual cumple; pendiente de decisión en reunión.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</w:rPr>
        <w:t>Los dos primeros son los importantes</w:t>
      </w:r>
      <w:r>
        <w:t>: sin definir el alcance del censo productivo y económico, no se puede cerrar qué se levanta de cultivos y pecuario.</w:t>
      </w:r>
    </w:p>
    <w:p>
      <w:pPr>
        <w:spacing w:before="40" w:after="160"/>
        <w:pBdr>
          <w:bottom w:val="single" w:sz="6" w:color="BFBFBF"/>
        </w:pBdr>
      </w:pPr>
    </w:p>
    <w:p>
      <w:pPr>
        <w:pStyle w:val="Heading2"/>
        <w:spacing w:before="240" w:after="80"/>
      </w:pPr>
      <w:r>
        <w:rPr>
          <w:b/>
          <w:color w:val="1F4E79"/>
          <w:sz w:val="28"/>
        </w:rPr>
        <w:t>E. Datos con error de origen</w:t>
      </w:r>
    </w:p>
    <w:p>
      <w:pPr>
        <w:pStyle w:val="Heading3"/>
        <w:spacing w:before="180" w:after="80"/>
      </w:pPr>
      <w:r>
        <w:rPr>
          <w:b/>
          <w:color w:val="1F4E79"/>
          <w:sz w:val="24"/>
        </w:rPr>
        <w:t>E1 · Dos personas comparten el mismo ID de ficha</w:t>
      </w:r>
    </w:p>
    <w:p>
      <w:pPr>
        <w:jc w:val="both"/>
      </w:pPr>
      <w:r>
        <w:t xml:space="preserve">En el </w:t>
      </w:r>
      <w:r>
        <w:rPr>
          <w:rFonts w:ascii="Consolas" w:hAnsi="Consolas"/>
          <w:color w:val="8B2500"/>
          <w:sz w:val="19"/>
        </w:rPr>
        <w:t>data.gpkg</w:t>
      </w:r>
      <w:r>
        <w:t xml:space="preserve">, el id </w:t>
      </w:r>
      <w:r>
        <w:rPr>
          <w:rFonts w:ascii="Consolas" w:hAnsi="Consolas"/>
          <w:color w:val="8B2500"/>
          <w:sz w:val="19"/>
        </w:rPr>
        <w:t>{f06e1d27-3c64-4cdf-9f5f-79c10efd1a4a}</w:t>
      </w:r>
      <w:r>
        <w:t xml:space="preserve"> está en </w:t>
      </w:r>
      <w:r>
        <w:rPr>
          <w:b/>
        </w:rPr>
        <w:t>dos fichas de personas distintas</w:t>
      </w:r>
      <w:r>
        <w:t>, sobre el mismo predio (clave 1702520200008, Santa Marianita de Pingulmí):</w:t>
      </w:r>
    </w:p>
    <w:p>
      <w:pPr>
        <w:pStyle w:val="ListBullet"/>
        <w:spacing w:after="60"/>
      </w:pPr>
      <w:r>
        <w:rPr>
          <w:b/>
        </w:rPr>
        <w:t>José Rafael Coyago Chicaiza</w:t>
      </w:r>
      <w:r>
        <w:t xml:space="preserve"> — cédula 1709566549</w:t>
      </w:r>
    </w:p>
    <w:p>
      <w:pPr>
        <w:pStyle w:val="ListBullet"/>
        <w:spacing w:after="60"/>
      </w:pPr>
      <w:r>
        <w:rPr>
          <w:b/>
        </w:rPr>
        <w:t>Marco Rafael Coyago Alquinga</w:t>
      </w:r>
      <w:r>
        <w:t xml:space="preserve"> — cédula 1726802000</w:t>
      </w:r>
    </w:p>
    <w:p>
      <w:pPr>
        <w:jc w:val="both"/>
      </w:pPr>
      <w:r>
        <w:t>Probablemente dos copropietarios que llenaron cada uno su ficha y QField les asignó el mismo identificador al sincronizar.</w:t>
      </w:r>
    </w:p>
    <w:p>
      <w:pPr>
        <w:pStyle w:val="ListBullet"/>
        <w:spacing w:after="60"/>
      </w:pPr>
      <w:r>
        <w:rPr>
          <w:b/>
        </w:rPr>
        <w:t>Estado:</w:t>
      </w:r>
      <w:r>
        <w:t xml:space="preserve"> hay un parche defensivo (commit </w:t>
      </w:r>
      <w:r>
        <w:rPr>
          <w:rFonts w:ascii="Consolas" w:hAnsi="Consolas"/>
          <w:color w:val="8B2500"/>
          <w:sz w:val="19"/>
        </w:rPr>
        <w:t>2ab44bc</w:t>
      </w:r>
      <w:r>
        <w:t xml:space="preserve">) que evita que el generador de Excel se caiga y avisa por consola. </w:t>
      </w:r>
      <w:r>
        <w:rPr>
          <w:b/>
        </w:rPr>
        <w:t>No corrige el dato.</w:t>
      </w:r>
    </w:p>
    <w:p>
      <w:pPr>
        <w:pStyle w:val="ListBullet"/>
        <w:spacing w:after="60"/>
      </w:pPr>
      <w:r>
        <w:rPr>
          <w:b/>
        </w:rPr>
        <w:t>Qué falta:</w:t>
      </w:r>
      <w:r>
        <w:t xml:space="preserve"> (1) confirmar con los técnicos si son dos personas o un error de digitación y cuál ficha debe quedar; (2) revisar si afecta la lista de fichas de la web, que usa ese id como clave; (3) asignar un id nuevo a una de las dos en el </w:t>
      </w:r>
      <w:r>
        <w:rPr>
          <w:rFonts w:ascii="Consolas" w:hAnsi="Consolas"/>
          <w:color w:val="8B2500"/>
          <w:sz w:val="19"/>
        </w:rPr>
        <w:t>data.gpkg</w:t>
      </w:r>
      <w:r>
        <w:t xml:space="preserve"> — escritura que exige respaldo y </w:t>
      </w:r>
      <w:r>
        <w:rPr>
          <w:rFonts w:ascii="Consolas" w:hAnsi="Consolas"/>
          <w:color w:val="8B2500"/>
          <w:sz w:val="19"/>
        </w:rPr>
        <w:t>--aplicar</w:t>
      </w:r>
      <w:r>
        <w:t>.</w:t>
      </w:r>
    </w:p>
    <w:p>
      <w:pPr>
        <w:spacing w:before="40" w:after="160"/>
        <w:pBdr>
          <w:bottom w:val="single" w:sz="6" w:color="BFBFBF"/>
        </w:pBdr>
      </w:pPr>
    </w:p>
    <w:p>
      <w:pPr>
        <w:pStyle w:val="Heading2"/>
        <w:spacing w:before="240" w:after="80"/>
      </w:pPr>
      <w:r>
        <w:rPr>
          <w:b/>
          <w:color w:val="1F4E79"/>
          <w:sz w:val="28"/>
        </w:rPr>
        <w:t>F. Sin resolver desde hace tiempo</w:t>
      </w:r>
    </w:p>
    <w:p>
      <w:pPr>
        <w:jc w:val="both"/>
      </w:pPr>
      <w:r>
        <w:rPr>
          <w:b/>
        </w:rPr>
        <w:t>Punto 4 de la nota de Armando:</w:t>
      </w:r>
      <w:r>
        <w:t xml:space="preserve"> «visualizar en QGIS y QField con los atributos de la ficha». Nunca se aclaró qué se espera exactamente. El proyecto QGIS que se entrega ya abre cada predio con sus fichas, cultivos y animales en pestañas, así que </w:t>
      </w:r>
      <w:r>
        <w:rPr>
          <w:b/>
        </w:rPr>
        <w:t>conviene preguntarle si eso ya lo cubre</w:t>
      </w:r>
      <w:r>
        <w:t xml:space="preserve"> o si esperaba otra cosa.</w:t>
      </w:r>
    </w:p>
    <w:p>
      <w:pPr>
        <w:spacing w:before="40" w:after="160"/>
        <w:pBdr>
          <w:bottom w:val="single" w:sz="6" w:color="BFBFBF"/>
        </w:pBdr>
      </w:pPr>
    </w:p>
    <w:p>
      <w:pPr>
        <w:pStyle w:val="Heading2"/>
        <w:spacing w:before="240" w:after="80"/>
      </w:pPr>
      <w:r>
        <w:rPr>
          <w:b/>
          <w:color w:val="1F4E79"/>
          <w:sz w:val="28"/>
        </w:rPr>
        <w:t>Lo que NO está pendiente (para evitar dudas)</w:t>
      </w:r>
    </w:p>
    <w:p>
      <w:pPr>
        <w:pStyle w:val="ListBullet"/>
        <w:spacing w:after="60"/>
      </w:pPr>
      <w:r>
        <w:rPr>
          <w:b/>
        </w:rPr>
        <w:t>Sincronización del 4 de agosto:</w:t>
      </w:r>
      <w:r>
        <w:t xml:space="preserve"> publicada y verificada contra producción.</w:t>
      </w:r>
    </w:p>
    <w:p>
      <w:pPr>
        <w:pStyle w:val="ListBullet"/>
        <w:spacing w:after="60"/>
      </w:pPr>
      <w:r>
        <w:rPr>
          <w:b/>
        </w:rPr>
        <w:t>Capas de comunas oficiales:</w:t>
      </w:r>
      <w:r>
        <w:t xml:space="preserve"> en la web y en el proyecto QGIS descargable.</w:t>
      </w:r>
    </w:p>
    <w:p>
      <w:pPr>
        <w:pStyle w:val="ListBullet"/>
        <w:spacing w:after="60"/>
      </w:pPr>
      <w:r>
        <w:rPr>
          <w:b/>
        </w:rPr>
        <w:t>Caudal por comunidad:</w:t>
      </w:r>
      <w:r>
        <w:t xml:space="preserve"> metodología cerrada, 950,25 l/s (</w:t>
      </w:r>
      <w:r>
        <w:rPr>
          <w:rFonts w:ascii="Consolas" w:hAnsi="Consolas"/>
          <w:color w:val="8B2500"/>
          <w:sz w:val="19"/>
        </w:rPr>
        <w:t>docs/METODOLOGIA-CAUDAL.md</w:t>
      </w:r>
      <w:r>
        <w:t>).</w:t>
      </w:r>
    </w:p>
    <w:p>
      <w:pPr>
        <w:pStyle w:val="ListBullet"/>
        <w:spacing w:after="60"/>
      </w:pPr>
      <w:r>
        <w:rPr>
          <w:b/>
        </w:rPr>
        <w:t>Registros huérfanos:</w:t>
      </w:r>
      <w:r>
        <w:t xml:space="preserve"> depurados el 29 de julio (589 del GeoPackage).</w:t>
      </w:r>
    </w:p>
    <w:p>
      <w:pPr>
        <w:pStyle w:val="ListBullet"/>
        <w:spacing w:after="60"/>
      </w:pPr>
      <w:r>
        <w:rPr>
          <w:b/>
        </w:rPr>
        <w:t>Módulo de fichas hijas:</w:t>
      </w:r>
      <w:r>
        <w:t xml:space="preserve"> en producción desde el 19 de julio.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