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31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31 de agosto de 2026.</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general.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Las 50 comunidades del sistema, coloreadas por sector de investigación, sobre imagen satelital (Esri World Imagery). Límites por agregación de los predios investigados (comunidades.geojson); mapa generado junto con el documento.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2" name="Picture 2"/>
            <wp:cNvGraphicFramePr>
              <a:graphicFrameLocks noChangeAspect="1"/>
            </wp:cNvGraphicFramePr>
            <a:graphic>
              <a:graphicData uri="http://schemas.openxmlformats.org/drawingml/2006/picture">
                <pic:pic>
                  <pic:nvPicPr>
                    <pic:cNvPr id="0" name="sector-1.jpg"/>
                    <pic:cNvPicPr/>
                  </pic:nvPicPr>
                  <pic:blipFill>
                    <a:blip r:embed="rId10"/>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1. La numeración es la del listado oficial del consorcio, la misma de los cuadros; el resto del sistema queda en gris.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82</w:t>
            </w:r>
          </w:p>
        </w:tc>
        <w:tc>
          <w:tcPr>
            <w:tcW w:type="dxa" w:w="952"/>
          </w:tcPr>
          <w:p>
            <w:r>
              <w:rPr>
                <w:sz w:val="19"/>
              </w:rPr>
            </w:r>
            <w:r>
              <w:rPr>
                <w:sz w:val="19"/>
              </w:rPr>
              <w:t>96.5 %</w:t>
            </w:r>
          </w:p>
        </w:tc>
        <w:tc>
          <w:tcPr>
            <w:tcW w:type="dxa" w:w="952"/>
          </w:tcPr>
          <w:p>
            <w:r>
              <w:rPr>
                <w:sz w:val="19"/>
              </w:rPr>
            </w:r>
            <w:r>
              <w:rPr>
                <w:sz w:val="19"/>
              </w:rPr>
              <w:t>73</w:t>
            </w:r>
          </w:p>
        </w:tc>
        <w:tc>
          <w:tcPr>
            <w:tcW w:type="dxa" w:w="952"/>
          </w:tcPr>
          <w:p>
            <w:r>
              <w:rPr>
                <w:sz w:val="19"/>
              </w:rPr>
            </w:r>
            <w:r>
              <w:rPr>
                <w:sz w:val="19"/>
              </w:rPr>
              <w:t>85.9 %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77</w:t>
            </w:r>
          </w:p>
        </w:tc>
        <w:tc>
          <w:tcPr>
            <w:tcW w:type="dxa" w:w="952"/>
          </w:tcPr>
          <w:p>
            <w:r>
              <w:rPr>
                <w:sz w:val="19"/>
              </w:rPr>
            </w:r>
            <w:r>
              <w:rPr>
                <w:sz w:val="19"/>
              </w:rPr>
              <w:t>95.1 %</w:t>
            </w:r>
          </w:p>
        </w:tc>
        <w:tc>
          <w:tcPr>
            <w:tcW w:type="dxa" w:w="952"/>
          </w:tcPr>
          <w:p>
            <w:r>
              <w:rPr>
                <w:sz w:val="19"/>
              </w:rPr>
            </w:r>
            <w:r>
              <w:rPr>
                <w:sz w:val="19"/>
              </w:rPr>
              <w:t>67</w:t>
            </w:r>
          </w:p>
        </w:tc>
        <w:tc>
          <w:tcPr>
            <w:tcW w:type="dxa" w:w="952"/>
          </w:tcPr>
          <w:p>
            <w:r>
              <w:rPr>
                <w:sz w:val="19"/>
              </w:rPr>
            </w:r>
            <w:r>
              <w:rPr>
                <w:sz w:val="19"/>
              </w:rPr>
              <w:t>82.7 %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74</w:t>
            </w:r>
          </w:p>
        </w:tc>
        <w:tc>
          <w:tcPr>
            <w:tcW w:type="dxa" w:w="952"/>
          </w:tcPr>
          <w:p>
            <w:r>
              <w:rPr>
                <w:sz w:val="19"/>
              </w:rPr>
            </w:r>
            <w:r>
              <w:rPr>
                <w:sz w:val="19"/>
              </w:rPr>
              <w:t>98.7 %</w:t>
            </w:r>
          </w:p>
        </w:tc>
        <w:tc>
          <w:tcPr>
            <w:tcW w:type="dxa" w:w="952"/>
          </w:tcPr>
          <w:p>
            <w:r>
              <w:rPr>
                <w:sz w:val="19"/>
              </w:rPr>
            </w:r>
            <w:r>
              <w:rPr>
                <w:sz w:val="19"/>
              </w:rPr>
              <w:t>72</w:t>
            </w:r>
          </w:p>
        </w:tc>
        <w:tc>
          <w:tcPr>
            <w:tcW w:type="dxa" w:w="952"/>
          </w:tcPr>
          <w:p>
            <w:r>
              <w:rPr>
                <w:sz w:val="19"/>
              </w:rPr>
            </w:r>
            <w:r>
              <w:rPr>
                <w:sz w:val="19"/>
              </w:rPr>
              <w:t>96.0 %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67</w:t>
            </w:r>
          </w:p>
        </w:tc>
        <w:tc>
          <w:tcPr>
            <w:tcW w:type="dxa" w:w="952"/>
          </w:tcPr>
          <w:p>
            <w:r>
              <w:rPr>
                <w:sz w:val="19"/>
              </w:rPr>
            </w:r>
            <w:r>
              <w:rPr>
                <w:sz w:val="19"/>
              </w:rPr>
              <w:t>83.8 %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41</w:t>
            </w:r>
          </w:p>
        </w:tc>
        <w:tc>
          <w:tcPr>
            <w:tcW w:type="dxa" w:w="952"/>
          </w:tcPr>
          <w:p>
            <w:r>
              <w:rPr>
                <w:sz w:val="19"/>
              </w:rPr>
            </w:r>
            <w:r>
              <w:rPr>
                <w:sz w:val="19"/>
              </w:rPr>
              <w:t>100.0 %</w:t>
            </w:r>
          </w:p>
        </w:tc>
        <w:tc>
          <w:tcPr>
            <w:tcW w:type="dxa" w:w="952"/>
          </w:tcPr>
          <w:p>
            <w:r>
              <w:rPr>
                <w:sz w:val="19"/>
              </w:rPr>
            </w:r>
            <w:r>
              <w:rPr>
                <w:sz w:val="19"/>
              </w:rPr>
              <w:t>36</w:t>
            </w:r>
          </w:p>
        </w:tc>
        <w:tc>
          <w:tcPr>
            <w:tcW w:type="dxa" w:w="952"/>
          </w:tcPr>
          <w:p>
            <w:r>
              <w:rPr>
                <w:sz w:val="19"/>
              </w:rPr>
            </w:r>
            <w:r>
              <w:rPr>
                <w:sz w:val="19"/>
              </w:rPr>
              <w:t>87.8 %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83</w:t>
            </w:r>
          </w:p>
        </w:tc>
        <w:tc>
          <w:tcPr>
            <w:tcW w:type="dxa" w:w="952"/>
          </w:tcPr>
          <w:p>
            <w:r>
              <w:rPr>
                <w:sz w:val="19"/>
              </w:rPr>
            </w:r>
            <w:r>
              <w:rPr>
                <w:sz w:val="19"/>
              </w:rPr>
              <w:t>90.2 %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125</w:t>
            </w:r>
          </w:p>
        </w:tc>
        <w:tc>
          <w:tcPr>
            <w:tcW w:type="dxa" w:w="952"/>
          </w:tcPr>
          <w:p>
            <w:r>
              <w:rPr>
                <w:sz w:val="19"/>
              </w:rPr>
            </w:r>
            <w:r>
              <w:rPr>
                <w:sz w:val="19"/>
              </w:rPr>
              <w:t>99.2 %</w:t>
            </w:r>
          </w:p>
        </w:tc>
        <w:tc>
          <w:tcPr>
            <w:tcW w:type="dxa" w:w="952"/>
          </w:tcPr>
          <w:p>
            <w:r>
              <w:rPr>
                <w:sz w:val="19"/>
              </w:rPr>
            </w:r>
            <w:r>
              <w:rPr>
                <w:sz w:val="19"/>
              </w:rPr>
              <w:t>119</w:t>
            </w:r>
          </w:p>
        </w:tc>
        <w:tc>
          <w:tcPr>
            <w:tcW w:type="dxa" w:w="952"/>
          </w:tcPr>
          <w:p>
            <w:r>
              <w:rPr>
                <w:sz w:val="19"/>
              </w:rPr>
            </w:r>
            <w:r>
              <w:rPr>
                <w:sz w:val="19"/>
              </w:rPr>
              <w:t>94.4 %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226</w:t>
            </w:r>
          </w:p>
        </w:tc>
        <w:tc>
          <w:tcPr>
            <w:tcW w:type="dxa" w:w="952"/>
          </w:tcPr>
          <w:p>
            <w:r>
              <w:rPr>
                <w:sz w:val="19"/>
              </w:rPr>
            </w:r>
            <w:r>
              <w:rPr>
                <w:sz w:val="19"/>
              </w:rPr>
              <w:t>96.6 %</w:t>
            </w:r>
          </w:p>
        </w:tc>
        <w:tc>
          <w:tcPr>
            <w:tcW w:type="dxa" w:w="952"/>
          </w:tcPr>
          <w:p>
            <w:r>
              <w:rPr>
                <w:sz w:val="19"/>
              </w:rPr>
            </w:r>
            <w:r>
              <w:rPr>
                <w:sz w:val="19"/>
              </w:rPr>
              <w:t>220</w:t>
            </w:r>
          </w:p>
        </w:tc>
        <w:tc>
          <w:tcPr>
            <w:tcW w:type="dxa" w:w="952"/>
          </w:tcPr>
          <w:p>
            <w:r>
              <w:rPr>
                <w:sz w:val="19"/>
              </w:rPr>
            </w:r>
            <w:r>
              <w:rPr>
                <w:sz w:val="19"/>
              </w:rPr>
              <w:t>94.0 %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152</w:t>
            </w:r>
          </w:p>
        </w:tc>
        <w:tc>
          <w:tcPr>
            <w:tcW w:type="dxa" w:w="952"/>
          </w:tcPr>
          <w:p>
            <w:r>
              <w:rPr>
                <w:sz w:val="19"/>
              </w:rPr>
            </w:r>
            <w:r>
              <w:rPr>
                <w:sz w:val="19"/>
              </w:rPr>
              <w:t>96.8 %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97.1 %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62</w:t>
            </w:r>
          </w:p>
        </w:tc>
        <w:tc>
          <w:tcPr>
            <w:tcW w:type="dxa" w:w="952"/>
          </w:tcPr>
          <w:p>
            <w:r>
              <w:rPr>
                <w:sz w:val="19"/>
              </w:rPr>
            </w:r>
            <w:r>
              <w:rPr>
                <w:sz w:val="19"/>
              </w:rPr>
              <w:t>98.4 %</w:t>
            </w:r>
          </w:p>
        </w:tc>
        <w:tc>
          <w:tcPr>
            <w:tcW w:type="dxa" w:w="952"/>
          </w:tcPr>
          <w:p>
            <w:r>
              <w:rPr>
                <w:sz w:val="19"/>
              </w:rPr>
            </w:r>
            <w:r>
              <w:rPr>
                <w:sz w:val="19"/>
              </w:rPr>
              <w:t>59</w:t>
            </w:r>
          </w:p>
        </w:tc>
        <w:tc>
          <w:tcPr>
            <w:tcW w:type="dxa" w:w="952"/>
          </w:tcPr>
          <w:p>
            <w:r>
              <w:rPr>
                <w:sz w:val="19"/>
              </w:rPr>
            </w:r>
            <w:r>
              <w:rPr>
                <w:sz w:val="19"/>
              </w:rPr>
              <w:t>93.7 %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42</w:t>
            </w:r>
          </w:p>
        </w:tc>
        <w:tc>
          <w:tcPr>
            <w:tcW w:type="dxa" w:w="952"/>
          </w:tcPr>
          <w:p>
            <w:r>
              <w:rPr>
                <w:sz w:val="19"/>
              </w:rPr>
            </w:r>
            <w:r>
              <w:rPr>
                <w:sz w:val="19"/>
              </w:rPr>
              <w:t>100.0 %</w:t>
            </w:r>
          </w:p>
        </w:tc>
        <w:tc>
          <w:tcPr>
            <w:tcW w:type="dxa" w:w="952"/>
          </w:tcPr>
          <w:p>
            <w:r>
              <w:rPr>
                <w:sz w:val="19"/>
              </w:rPr>
            </w:r>
            <w:r>
              <w:rPr>
                <w:sz w:val="19"/>
              </w:rPr>
              <w:t>39</w:t>
            </w:r>
          </w:p>
        </w:tc>
        <w:tc>
          <w:tcPr>
            <w:tcW w:type="dxa" w:w="952"/>
          </w:tcPr>
          <w:p>
            <w:r>
              <w:rPr>
                <w:sz w:val="19"/>
              </w:rPr>
            </w:r>
            <w:r>
              <w:rPr>
                <w:sz w:val="19"/>
              </w:rPr>
              <w:t>92.9 %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26</w:t>
            </w:r>
          </w:p>
        </w:tc>
        <w:tc>
          <w:tcPr>
            <w:tcW w:type="dxa" w:w="952"/>
          </w:tcPr>
          <w:p>
            <w:r>
              <w:rPr>
                <w:sz w:val="19"/>
              </w:rPr>
            </w:r>
            <w:r>
              <w:rPr>
                <w:sz w:val="19"/>
              </w:rPr>
              <w:t>89.7 %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12</w:t>
            </w:r>
          </w:p>
        </w:tc>
        <w:tc>
          <w:tcPr>
            <w:tcW w:type="dxa" w:w="952"/>
          </w:tcPr>
          <w:p>
            <w:r>
              <w:rPr>
                <w:sz w:val="19"/>
              </w:rPr>
            </w:r>
            <w:r>
              <w:rPr>
                <w:sz w:val="19"/>
              </w:rPr>
              <w:t>34.3 %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1,251</w:t>
            </w:r>
          </w:p>
        </w:tc>
        <w:tc>
          <w:tcPr>
            <w:tcW w:type="dxa" w:w="952"/>
          </w:tcPr>
          <w:p>
            <w:r>
              <w:rPr>
                <w:sz w:val="19"/>
              </w:rPr>
            </w:r>
            <w:r>
              <w:rPr>
                <w:b/>
                <w:sz w:val="19"/>
              </w:rPr>
              <w:t>96.8 %</w:t>
            </w:r>
          </w:p>
        </w:tc>
        <w:tc>
          <w:tcPr>
            <w:tcW w:type="dxa" w:w="952"/>
          </w:tcPr>
          <w:p>
            <w:r>
              <w:rPr>
                <w:sz w:val="19"/>
              </w:rPr>
            </w:r>
            <w:r>
              <w:rPr>
                <w:b/>
                <w:sz w:val="19"/>
              </w:rPr>
              <w:t>1,169</w:t>
            </w:r>
          </w:p>
        </w:tc>
        <w:tc>
          <w:tcPr>
            <w:tcW w:type="dxa" w:w="952"/>
          </w:tcPr>
          <w:p>
            <w:r>
              <w:rPr>
                <w:sz w:val="19"/>
              </w:rPr>
            </w:r>
            <w:r>
              <w:rPr>
                <w:b/>
                <w:sz w:val="19"/>
              </w:rPr>
              <w:t>90.4 %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3" name="Picture 3"/>
            <wp:cNvGraphicFramePr>
              <a:graphicFrameLocks noChangeAspect="1"/>
            </wp:cNvGraphicFramePr>
            <a:graphic>
              <a:graphicData uri="http://schemas.openxmlformats.org/drawingml/2006/picture">
                <pic:pic>
                  <pic:nvPicPr>
                    <pic:cNvPr id="0" name="sector-2.jpg"/>
                    <pic:cNvPicPr/>
                  </pic:nvPicPr>
                  <pic:blipFill>
                    <a:blip r:embed="rId11"/>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2. La numeración es la del listado oficial del consorcio, la misma de los cuadros; el resto del sistema queda en gris.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57</w:t>
            </w:r>
          </w:p>
        </w:tc>
        <w:tc>
          <w:tcPr>
            <w:tcW w:type="dxa" w:w="952"/>
          </w:tcPr>
          <w:p>
            <w:r>
              <w:rPr>
                <w:sz w:val="19"/>
              </w:rPr>
            </w:r>
            <w:r>
              <w:rPr>
                <w:sz w:val="19"/>
              </w:rPr>
              <w:t>78.1 %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128</w:t>
            </w:r>
          </w:p>
        </w:tc>
        <w:tc>
          <w:tcPr>
            <w:tcW w:type="dxa" w:w="952"/>
          </w:tcPr>
          <w:p>
            <w:r>
              <w:rPr>
                <w:sz w:val="19"/>
              </w:rPr>
            </w:r>
            <w:r>
              <w:rPr>
                <w:sz w:val="19"/>
              </w:rPr>
              <w:t>94.1 %</w:t>
            </w:r>
          </w:p>
        </w:tc>
        <w:tc>
          <w:tcPr>
            <w:tcW w:type="dxa" w:w="952"/>
          </w:tcPr>
          <w:p>
            <w:r>
              <w:rPr>
                <w:sz w:val="19"/>
              </w:rPr>
            </w:r>
            <w:r>
              <w:rPr>
                <w:sz w:val="19"/>
              </w:rPr>
              <w:t>124</w:t>
            </w:r>
          </w:p>
        </w:tc>
        <w:tc>
          <w:tcPr>
            <w:tcW w:type="dxa" w:w="952"/>
          </w:tcPr>
          <w:p>
            <w:r>
              <w:rPr>
                <w:sz w:val="19"/>
              </w:rPr>
            </w:r>
            <w:r>
              <w:rPr>
                <w:sz w:val="19"/>
              </w:rPr>
              <w:t>91.2 %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85</w:t>
            </w:r>
          </w:p>
        </w:tc>
        <w:tc>
          <w:tcPr>
            <w:tcW w:type="dxa" w:w="952"/>
          </w:tcPr>
          <w:p>
            <w:r>
              <w:rPr>
                <w:sz w:val="19"/>
              </w:rPr>
            </w:r>
            <w:r>
              <w:rPr>
                <w:sz w:val="19"/>
              </w:rPr>
              <w:t>91.4 %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107</w:t>
            </w:r>
          </w:p>
        </w:tc>
        <w:tc>
          <w:tcPr>
            <w:tcW w:type="dxa" w:w="952"/>
          </w:tcPr>
          <w:p>
            <w:r>
              <w:rPr>
                <w:sz w:val="19"/>
              </w:rPr>
            </w:r>
            <w:r>
              <w:rPr>
                <w:sz w:val="19"/>
              </w:rPr>
              <w:t>95.5 %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151</w:t>
            </w:r>
          </w:p>
        </w:tc>
        <w:tc>
          <w:tcPr>
            <w:tcW w:type="dxa" w:w="952"/>
          </w:tcPr>
          <w:p>
            <w:r>
              <w:rPr>
                <w:sz w:val="19"/>
              </w:rPr>
            </w:r>
            <w:r>
              <w:rPr>
                <w:sz w:val="19"/>
              </w:rPr>
              <w:t>96.2 %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51</w:t>
            </w:r>
          </w:p>
        </w:tc>
        <w:tc>
          <w:tcPr>
            <w:tcW w:type="dxa" w:w="952"/>
          </w:tcPr>
          <w:p>
            <w:r>
              <w:rPr>
                <w:sz w:val="19"/>
              </w:rPr>
            </w:r>
            <w:r>
              <w:rPr>
                <w:sz w:val="19"/>
              </w:rPr>
              <w:t>92.7 %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854</w:t>
            </w:r>
          </w:p>
        </w:tc>
        <w:tc>
          <w:tcPr>
            <w:tcW w:type="dxa" w:w="952"/>
          </w:tcPr>
          <w:p>
            <w:r>
              <w:rPr>
                <w:sz w:val="19"/>
              </w:rPr>
            </w:r>
            <w:r>
              <w:rPr>
                <w:b/>
                <w:sz w:val="19"/>
              </w:rPr>
              <w:t>95.2 %</w:t>
            </w:r>
          </w:p>
        </w:tc>
        <w:tc>
          <w:tcPr>
            <w:tcW w:type="dxa" w:w="952"/>
          </w:tcPr>
          <w:p>
            <w:r>
              <w:rPr>
                <w:sz w:val="19"/>
              </w:rPr>
            </w:r>
            <w:r>
              <w:rPr>
                <w:b/>
                <w:sz w:val="19"/>
              </w:rPr>
              <w:t>820</w:t>
            </w:r>
          </w:p>
        </w:tc>
        <w:tc>
          <w:tcPr>
            <w:tcW w:type="dxa" w:w="952"/>
          </w:tcPr>
          <w:p>
            <w:r>
              <w:rPr>
                <w:sz w:val="19"/>
              </w:rPr>
            </w:r>
            <w:r>
              <w:rPr>
                <w:b/>
                <w:sz w:val="19"/>
              </w:rPr>
              <w:t>91.4 %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4" name="Picture 4"/>
            <wp:cNvGraphicFramePr>
              <a:graphicFrameLocks noChangeAspect="1"/>
            </wp:cNvGraphicFramePr>
            <a:graphic>
              <a:graphicData uri="http://schemas.openxmlformats.org/drawingml/2006/picture">
                <pic:pic>
                  <pic:nvPicPr>
                    <pic:cNvPr id="0" name="sector-3.jpg"/>
                    <pic:cNvPicPr/>
                  </pic:nvPicPr>
                  <pic:blipFill>
                    <a:blip r:embed="rId12"/>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3. La numeración es la del listado oficial del consorcio, la misma de los cuadros; el resto del sistema queda en gris.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10</w:t>
            </w:r>
          </w:p>
        </w:tc>
        <w:tc>
          <w:tcPr>
            <w:tcW w:type="dxa" w:w="952"/>
          </w:tcPr>
          <w:p>
            <w:r>
              <w:rPr>
                <w:sz w:val="19"/>
              </w:rPr>
            </w:r>
            <w:r>
              <w:rPr>
                <w:sz w:val="19"/>
              </w:rPr>
              <w:t>83.3 %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79</w:t>
            </w:r>
          </w:p>
        </w:tc>
        <w:tc>
          <w:tcPr>
            <w:tcW w:type="dxa" w:w="952"/>
          </w:tcPr>
          <w:p>
            <w:r>
              <w:rPr>
                <w:sz w:val="19"/>
              </w:rPr>
            </w:r>
            <w:r>
              <w:rPr>
                <w:sz w:val="19"/>
              </w:rPr>
              <w:t>98.8 %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105</w:t>
            </w:r>
          </w:p>
        </w:tc>
        <w:tc>
          <w:tcPr>
            <w:tcW w:type="dxa" w:w="952"/>
          </w:tcPr>
          <w:p>
            <w:r>
              <w:rPr>
                <w:sz w:val="19"/>
              </w:rPr>
            </w:r>
            <w:r>
              <w:rPr>
                <w:sz w:val="19"/>
              </w:rPr>
              <w:t>100.0 %</w:t>
            </w:r>
          </w:p>
        </w:tc>
        <w:tc>
          <w:tcPr>
            <w:tcW w:type="dxa" w:w="952"/>
          </w:tcPr>
          <w:p>
            <w:r>
              <w:rPr>
                <w:sz w:val="19"/>
              </w:rPr>
            </w:r>
            <w:r>
              <w:rPr>
                <w:sz w:val="19"/>
              </w:rPr>
              <w:t>104</w:t>
            </w:r>
          </w:p>
        </w:tc>
        <w:tc>
          <w:tcPr>
            <w:tcW w:type="dxa" w:w="952"/>
          </w:tcPr>
          <w:p>
            <w:r>
              <w:rPr>
                <w:sz w:val="19"/>
              </w:rPr>
            </w:r>
            <w:r>
              <w:rPr>
                <w:sz w:val="19"/>
              </w:rPr>
              <w:t>99.0 %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14</w:t>
            </w:r>
          </w:p>
        </w:tc>
        <w:tc>
          <w:tcPr>
            <w:tcW w:type="dxa" w:w="952"/>
          </w:tcPr>
          <w:p>
            <w:r>
              <w:rPr>
                <w:sz w:val="19"/>
              </w:rPr>
            </w:r>
            <w:r>
              <w:rPr>
                <w:sz w:val="19"/>
              </w:rPr>
              <w:t>63.6 %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539</w:t>
            </w:r>
          </w:p>
        </w:tc>
        <w:tc>
          <w:tcPr>
            <w:tcW w:type="dxa" w:w="952"/>
          </w:tcPr>
          <w:p>
            <w:r>
              <w:rPr>
                <w:sz w:val="19"/>
              </w:rPr>
            </w:r>
            <w:r>
              <w:rPr>
                <w:b/>
                <w:sz w:val="19"/>
              </w:rPr>
              <w:t>96.8 %</w:t>
            </w:r>
          </w:p>
        </w:tc>
        <w:tc>
          <w:tcPr>
            <w:tcW w:type="dxa" w:w="952"/>
          </w:tcPr>
          <w:p>
            <w:r>
              <w:rPr>
                <w:sz w:val="19"/>
              </w:rPr>
            </w:r>
            <w:r>
              <w:rPr>
                <w:b/>
                <w:sz w:val="19"/>
              </w:rPr>
              <w:t>542</w:t>
            </w:r>
          </w:p>
        </w:tc>
        <w:tc>
          <w:tcPr>
            <w:tcW w:type="dxa" w:w="952"/>
          </w:tcPr>
          <w:p>
            <w:r>
              <w:rPr>
                <w:sz w:val="19"/>
              </w:rPr>
            </w:r>
            <w:r>
              <w:rPr>
                <w:b/>
                <w:sz w:val="19"/>
              </w:rPr>
              <w:t>97.3 %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31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