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F4E79"/>
          <w:sz w:val="38"/>
        </w:rPr>
        <w:t>Base declarada al Consejo Provincial y excedente registrado</w:t>
      </w:r>
    </w:p>
    <w:p>
      <w:pPr>
        <w:jc w:val="both"/>
      </w:pPr>
      <w:r>
        <w:rPr>
          <w:b/>
        </w:rPr>
        <w:t>Para:</w:t>
      </w:r>
      <w:r>
        <w:t xml:space="preserve"> Armando — coordinación del proyecto </w:t>
      </w:r>
      <w:r>
        <w:rPr>
          <w:b/>
        </w:rPr>
        <w:t>Asunto:</w:t>
      </w:r>
      <w:r>
        <w:t xml:space="preserve"> las 6 fichas del 5 de agosto que quedan por encima de la base de 6.825 </w:t>
      </w:r>
      <w:r>
        <w:rPr>
          <w:b/>
        </w:rPr>
        <w:t>Fecha:</w:t>
      </w:r>
      <w:r>
        <w:t xml:space="preserve"> 12 de agosto de 2026 </w:t>
      </w:r>
      <w:r>
        <w:rPr>
          <w:b/>
        </w:rPr>
        <w:t>Fuente:</w:t>
      </w:r>
      <w:r>
        <w:t xml:space="preserve"> </w:t>
      </w:r>
      <w:r>
        <w:rPr>
          <w:rFonts w:ascii="Consolas" w:hAnsi="Consolas"/>
          <w:color w:val="8B2500"/>
          <w:sz w:val="19"/>
        </w:rPr>
        <w:t>data.gpkg</w:t>
      </w:r>
      <w:r>
        <w:t xml:space="preserve"> de QField sincronizado el 12/08/2026 a las 09:45, más el historial del repositorio del padrón</w:t>
      </w:r>
    </w:p>
    <w:p>
      <w:pPr>
        <w:spacing w:before="40" w:after="160"/>
        <w:pBdr>
          <w:bottom w:val="single" w:sz="6" w:color="BFBFBF"/>
        </w:pBdr>
      </w:pPr>
    </w:p>
    <w:p>
      <w:pPr>
        <w:pStyle w:val="Heading2"/>
        <w:spacing w:before="240" w:after="80"/>
      </w:pPr>
      <w:r>
        <w:rPr>
          <w:b/>
          <w:color w:val="1F4E79"/>
          <w:sz w:val="28"/>
        </w:rPr>
        <w:t>1. La base declarada es la correcta</w:t>
      </w:r>
    </w:p>
    <w:p>
      <w:pPr>
        <w:jc w:val="both"/>
      </w:pPr>
      <w:r>
        <w:t>El número que se comunicó al Consejo Provincial —</w:t>
      </w:r>
      <w:r>
        <w:rPr>
          <w:b/>
        </w:rPr>
        <w:t>4.305 predios principales y 2.520 adicionales, 6.825 en total</w:t>
      </w:r>
      <w:r>
        <w:t xml:space="preserve">— coincide </w:t>
      </w:r>
      <w:r>
        <w:rPr>
          <w:b/>
        </w:rPr>
        <w:t>exactamente</w:t>
      </w:r>
      <w:r>
        <w:t xml:space="preserve"> con el estado del padrón al 4 de agosto. Se verificó reconstruyendo ese corte desde el archivo de hoy: da 4.305 y 2.520, sin diferencia.</w:t>
      </w:r>
    </w:p>
    <w:p>
      <w:pPr>
        <w:jc w:val="both"/>
      </w:pPr>
      <w:r>
        <w:t xml:space="preserve">Conviene saber que el informe entregado ese mismo día decía </w:t>
      </w:r>
      <w:r>
        <w:rPr>
          <w:b/>
        </w:rPr>
        <w:t>6.826</w:t>
      </w:r>
      <w:r>
        <w:t xml:space="preserve">, un predio adicional más. Esa ficha desapareció del padrón entre el 4 y el 12 de agosto —se eliminó desde una tablet y la baja llegó en la sincronización— así que </w:t>
      </w:r>
      <w:r>
        <w:rPr>
          <w:b/>
        </w:rPr>
        <w:t>la cifra declarada es la buena y el informe del 4 de agosto es el que tenía uno de más</w:t>
      </w:r>
      <w:r>
        <w:t>, no al revés.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2379"/>
            <w:shd w:val="clear" w:color="auto" w:fill="1F4E79"/>
          </w:tcPr>
          <w:p>
            <w:r>
              <w:rPr>
                <w:color w:val="FFFFFF"/>
                <w:sz w:val="19"/>
              </w:rPr>
            </w:r>
          </w:p>
        </w:tc>
        <w:tc>
          <w:tcPr>
            <w:tcW w:type="dxa" w:w="2379"/>
            <w:shd w:val="clear" w:color="auto" w:fill="1F4E79"/>
          </w:tcPr>
          <w:p>
            <w:r>
              <w:rPr>
                <w:color w:val="FFFFFF"/>
                <w:sz w:val="19"/>
              </w:rPr>
            </w:r>
            <w:r>
              <w:rPr>
                <w:b/>
                <w:color w:val="FFFFFF"/>
                <w:sz w:val="19"/>
              </w:rPr>
              <w:t>Declarado al Consejo</w:t>
            </w:r>
          </w:p>
        </w:tc>
        <w:tc>
          <w:tcPr>
            <w:tcW w:type="dxa" w:w="2379"/>
            <w:shd w:val="clear" w:color="auto" w:fill="1F4E79"/>
          </w:tcPr>
          <w:p>
            <w:r>
              <w:rPr>
                <w:color w:val="FFFFFF"/>
                <w:sz w:val="19"/>
              </w:rPr>
            </w:r>
            <w:r>
              <w:rPr>
                <w:b/>
                <w:color w:val="FFFFFF"/>
                <w:sz w:val="19"/>
              </w:rPr>
              <w:t>Informe del 4-ago</w:t>
            </w:r>
          </w:p>
        </w:tc>
        <w:tc>
          <w:tcPr>
            <w:tcW w:type="dxa" w:w="2379"/>
            <w:shd w:val="clear" w:color="auto" w:fill="1F4E79"/>
          </w:tcPr>
          <w:p>
            <w:r>
              <w:rPr>
                <w:color w:val="FFFFFF"/>
                <w:sz w:val="19"/>
              </w:rPr>
            </w:r>
            <w:r>
              <w:rPr>
                <w:b/>
                <w:color w:val="FFFFFF"/>
                <w:sz w:val="19"/>
              </w:rPr>
              <w:t>Padrón hoy</w:t>
            </w:r>
          </w:p>
        </w:tc>
      </w:tr>
      <w:tr>
        <w:tc>
          <w:tcPr>
            <w:tcW w:type="dxa" w:w="2379"/>
          </w:tcPr>
          <w:p>
            <w:r>
              <w:rPr>
                <w:sz w:val="19"/>
              </w:rPr>
            </w:r>
            <w:r>
              <w:rPr>
                <w:sz w:val="19"/>
              </w:rPr>
              <w:t>Principales</w:t>
            </w:r>
          </w:p>
        </w:tc>
        <w:tc>
          <w:tcPr>
            <w:tcW w:type="dxa" w:w="2379"/>
          </w:tcPr>
          <w:p>
            <w:r>
              <w:rPr>
                <w:sz w:val="19"/>
              </w:rPr>
            </w:r>
            <w:r>
              <w:rPr>
                <w:sz w:val="19"/>
              </w:rPr>
              <w:t>4.305</w:t>
            </w:r>
          </w:p>
        </w:tc>
        <w:tc>
          <w:tcPr>
            <w:tcW w:type="dxa" w:w="2379"/>
          </w:tcPr>
          <w:p>
            <w:r>
              <w:rPr>
                <w:sz w:val="19"/>
              </w:rPr>
            </w:r>
            <w:r>
              <w:rPr>
                <w:sz w:val="19"/>
              </w:rPr>
              <w:t>4.305</w:t>
            </w:r>
          </w:p>
        </w:tc>
        <w:tc>
          <w:tcPr>
            <w:tcW w:type="dxa" w:w="2379"/>
          </w:tcPr>
          <w:p>
            <w:r>
              <w:rPr>
                <w:sz w:val="19"/>
              </w:rPr>
            </w:r>
            <w:r>
              <w:rPr>
                <w:sz w:val="19"/>
              </w:rPr>
              <w:t>4.307</w:t>
            </w:r>
          </w:p>
        </w:tc>
      </w:tr>
      <w:tr>
        <w:tc>
          <w:tcPr>
            <w:tcW w:type="dxa" w:w="2379"/>
          </w:tcPr>
          <w:p>
            <w:r>
              <w:rPr>
                <w:sz w:val="19"/>
              </w:rPr>
            </w:r>
            <w:r>
              <w:rPr>
                <w:sz w:val="19"/>
              </w:rPr>
              <w:t>Adicionales</w:t>
            </w:r>
          </w:p>
        </w:tc>
        <w:tc>
          <w:tcPr>
            <w:tcW w:type="dxa" w:w="2379"/>
          </w:tcPr>
          <w:p>
            <w:r>
              <w:rPr>
                <w:sz w:val="19"/>
              </w:rPr>
            </w:r>
            <w:r>
              <w:rPr>
                <w:sz w:val="19"/>
              </w:rPr>
              <w:t>2.520</w:t>
            </w:r>
          </w:p>
        </w:tc>
        <w:tc>
          <w:tcPr>
            <w:tcW w:type="dxa" w:w="2379"/>
          </w:tcPr>
          <w:p>
            <w:r>
              <w:rPr>
                <w:sz w:val="19"/>
              </w:rPr>
            </w:r>
            <w:r>
              <w:rPr>
                <w:sz w:val="19"/>
              </w:rPr>
              <w:t>2.521</w:t>
            </w:r>
          </w:p>
        </w:tc>
        <w:tc>
          <w:tcPr>
            <w:tcW w:type="dxa" w:w="2379"/>
          </w:tcPr>
          <w:p>
            <w:r>
              <w:rPr>
                <w:sz w:val="19"/>
              </w:rPr>
            </w:r>
            <w:r>
              <w:rPr>
                <w:sz w:val="19"/>
              </w:rPr>
              <w:t>2.524</w:t>
            </w:r>
          </w:p>
        </w:tc>
      </w:tr>
      <w:tr>
        <w:tc>
          <w:tcPr>
            <w:tcW w:type="dxa" w:w="2379"/>
          </w:tcPr>
          <w:p>
            <w:r>
              <w:rPr>
                <w:sz w:val="19"/>
              </w:rPr>
            </w:r>
            <w:r>
              <w:rPr>
                <w:b/>
                <w:sz w:val="19"/>
              </w:rPr>
              <w:t>Total</w:t>
            </w:r>
          </w:p>
        </w:tc>
        <w:tc>
          <w:tcPr>
            <w:tcW w:type="dxa" w:w="2379"/>
          </w:tcPr>
          <w:p>
            <w:r>
              <w:rPr>
                <w:sz w:val="19"/>
              </w:rPr>
            </w:r>
            <w:r>
              <w:rPr>
                <w:b/>
                <w:sz w:val="19"/>
              </w:rPr>
              <w:t>6.825</w:t>
            </w:r>
          </w:p>
        </w:tc>
        <w:tc>
          <w:tcPr>
            <w:tcW w:type="dxa" w:w="2379"/>
          </w:tcPr>
          <w:p>
            <w:r>
              <w:rPr>
                <w:sz w:val="19"/>
              </w:rPr>
            </w:r>
            <w:r>
              <w:rPr>
                <w:sz w:val="19"/>
              </w:rPr>
              <w:t>6.826</w:t>
            </w:r>
          </w:p>
        </w:tc>
        <w:tc>
          <w:tcPr>
            <w:tcW w:type="dxa" w:w="2379"/>
          </w:tcPr>
          <w:p>
            <w:r>
              <w:rPr>
                <w:sz w:val="19"/>
              </w:rPr>
            </w:r>
            <w:r>
              <w:rPr>
                <w:b/>
                <w:sz w:val="19"/>
              </w:rPr>
              <w:t>6.831</w:t>
            </w:r>
          </w:p>
        </w:tc>
      </w:tr>
    </w:tbl>
    <w:p>
      <w:pPr>
        <w:spacing w:after="40"/>
      </w:pPr>
    </w:p>
    <w:p>
      <w:pPr>
        <w:spacing w:before="40" w:after="160"/>
        <w:pBdr>
          <w:bottom w:val="single" w:sz="6" w:color="BFBFBF"/>
        </w:pBdr>
      </w:pPr>
    </w:p>
    <w:p>
      <w:pPr>
        <w:pStyle w:val="Heading2"/>
        <w:spacing w:before="240" w:after="80"/>
      </w:pPr>
      <w:r>
        <w:rPr>
          <w:b/>
          <w:color w:val="1F4E79"/>
          <w:sz w:val="28"/>
        </w:rPr>
        <w:t>2. Qué es exactamente el excedente</w:t>
      </w:r>
    </w:p>
    <w:p>
      <w:pPr>
        <w:jc w:val="both"/>
      </w:pPr>
      <w:r>
        <w:t xml:space="preserve">Son </w:t>
      </w:r>
      <w:r>
        <w:rPr>
          <w:b/>
        </w:rPr>
        <w:t>6 fichas levantadas por Pablo Barrionuevo el 5 de agosto</w:t>
      </w:r>
      <w:r>
        <w:t>, entre las 18:20 y las 18:59, en Otoncito y Pambamarquito:</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586"/>
            <w:shd w:val="clear" w:color="auto" w:fill="1F4E79"/>
          </w:tcPr>
          <w:p>
            <w:r>
              <w:rPr>
                <w:color w:val="FFFFFF"/>
                <w:sz w:val="19"/>
              </w:rPr>
            </w:r>
            <w:r>
              <w:rPr>
                <w:b/>
                <w:color w:val="FFFFFF"/>
                <w:sz w:val="19"/>
              </w:rPr>
              <w:t>Clave catastral</w:t>
            </w:r>
          </w:p>
        </w:tc>
        <w:tc>
          <w:tcPr>
            <w:tcW w:type="dxa" w:w="1586"/>
            <w:shd w:val="clear" w:color="auto" w:fill="1F4E79"/>
          </w:tcPr>
          <w:p>
            <w:r>
              <w:rPr>
                <w:color w:val="FFFFFF"/>
                <w:sz w:val="19"/>
              </w:rPr>
            </w:r>
            <w:r>
              <w:rPr>
                <w:b/>
                <w:color w:val="FFFFFF"/>
                <w:sz w:val="19"/>
              </w:rPr>
              <w:t>Regante</w:t>
            </w:r>
          </w:p>
        </w:tc>
        <w:tc>
          <w:tcPr>
            <w:tcW w:type="dxa" w:w="1586"/>
            <w:shd w:val="clear" w:color="auto" w:fill="1F4E79"/>
          </w:tcPr>
          <w:p>
            <w:r>
              <w:rPr>
                <w:color w:val="FFFFFF"/>
                <w:sz w:val="19"/>
              </w:rPr>
            </w:r>
            <w:r>
              <w:rPr>
                <w:b/>
                <w:color w:val="FFFFFF"/>
                <w:sz w:val="19"/>
              </w:rPr>
              <w:t>Comunidad</w:t>
            </w:r>
          </w:p>
        </w:tc>
        <w:tc>
          <w:tcPr>
            <w:tcW w:type="dxa" w:w="1586"/>
            <w:shd w:val="clear" w:color="auto" w:fill="1F4E79"/>
          </w:tcPr>
          <w:p>
            <w:r>
              <w:rPr>
                <w:color w:val="FFFFFF"/>
                <w:sz w:val="19"/>
              </w:rPr>
            </w:r>
            <w:r>
              <w:rPr>
                <w:b/>
                <w:color w:val="FFFFFF"/>
                <w:sz w:val="19"/>
              </w:rPr>
              <w:t>Tipo</w:t>
            </w:r>
          </w:p>
        </w:tc>
        <w:tc>
          <w:tcPr>
            <w:tcW w:type="dxa" w:w="1586"/>
            <w:shd w:val="clear" w:color="auto" w:fill="1F4E79"/>
          </w:tcPr>
          <w:p>
            <w:r>
              <w:rPr>
                <w:color w:val="FFFFFF"/>
                <w:sz w:val="19"/>
              </w:rPr>
            </w:r>
            <w:r>
              <w:rPr>
                <w:b/>
                <w:color w:val="FFFFFF"/>
                <w:sz w:val="19"/>
              </w:rPr>
              <w:t>Hora</w:t>
            </w:r>
          </w:p>
        </w:tc>
        <w:tc>
          <w:tcPr>
            <w:tcW w:type="dxa" w:w="1586"/>
            <w:shd w:val="clear" w:color="auto" w:fill="1F4E79"/>
          </w:tcPr>
          <w:p>
            <w:r>
              <w:rPr>
                <w:color w:val="FFFFFF"/>
                <w:sz w:val="19"/>
              </w:rPr>
            </w:r>
            <w:r>
              <w:rPr>
                <w:b/>
                <w:color w:val="FFFFFF"/>
                <w:sz w:val="19"/>
              </w:rPr>
              <w:t>Superficie</w:t>
            </w:r>
          </w:p>
        </w:tc>
      </w:tr>
      <w:tr>
        <w:tc>
          <w:tcPr>
            <w:tcW w:type="dxa" w:w="1586"/>
          </w:tcPr>
          <w:p>
            <w:r>
              <w:rPr>
                <w:sz w:val="19"/>
              </w:rPr>
            </w:r>
            <w:r>
              <w:rPr>
                <w:sz w:val="19"/>
              </w:rPr>
              <w:t>1702540050092</w:t>
            </w:r>
          </w:p>
        </w:tc>
        <w:tc>
          <w:tcPr>
            <w:tcW w:type="dxa" w:w="1586"/>
          </w:tcPr>
          <w:p>
            <w:r>
              <w:rPr>
                <w:sz w:val="19"/>
              </w:rPr>
            </w:r>
            <w:r>
              <w:rPr>
                <w:sz w:val="19"/>
              </w:rPr>
              <w:t>Sánchez Tandayamo Segundo Víctor</w:t>
            </w:r>
          </w:p>
        </w:tc>
        <w:tc>
          <w:tcPr>
            <w:tcW w:type="dxa" w:w="1586"/>
          </w:tcPr>
          <w:p>
            <w:r>
              <w:rPr>
                <w:sz w:val="19"/>
              </w:rPr>
            </w:r>
            <w:r>
              <w:rPr>
                <w:sz w:val="19"/>
              </w:rPr>
              <w:t>Otoncito</w:t>
            </w:r>
          </w:p>
        </w:tc>
        <w:tc>
          <w:tcPr>
            <w:tcW w:type="dxa" w:w="1586"/>
          </w:tcPr>
          <w:p>
            <w:r>
              <w:rPr>
                <w:sz w:val="19"/>
              </w:rPr>
            </w:r>
            <w:r>
              <w:rPr>
                <w:sz w:val="19"/>
              </w:rPr>
              <w:t>principal</w:t>
            </w:r>
          </w:p>
        </w:tc>
        <w:tc>
          <w:tcPr>
            <w:tcW w:type="dxa" w:w="1586"/>
          </w:tcPr>
          <w:p>
            <w:r>
              <w:rPr>
                <w:sz w:val="19"/>
              </w:rPr>
            </w:r>
            <w:r>
              <w:rPr>
                <w:sz w:val="19"/>
              </w:rPr>
              <w:t>18:20</w:t>
            </w:r>
          </w:p>
        </w:tc>
        <w:tc>
          <w:tcPr>
            <w:tcW w:type="dxa" w:w="1586"/>
          </w:tcPr>
          <w:p>
            <w:r>
              <w:rPr>
                <w:sz w:val="19"/>
              </w:rPr>
            </w:r>
            <w:r>
              <w:rPr>
                <w:sz w:val="19"/>
              </w:rPr>
              <w:t>1.024 m²</w:t>
            </w:r>
          </w:p>
        </w:tc>
      </w:tr>
      <w:tr>
        <w:tc>
          <w:tcPr>
            <w:tcW w:type="dxa" w:w="1586"/>
          </w:tcPr>
          <w:p>
            <w:r>
              <w:rPr>
                <w:sz w:val="19"/>
              </w:rPr>
            </w:r>
            <w:r>
              <w:rPr>
                <w:sz w:val="19"/>
              </w:rPr>
              <w:t>1702540050093</w:t>
            </w:r>
          </w:p>
        </w:tc>
        <w:tc>
          <w:tcPr>
            <w:tcW w:type="dxa" w:w="1586"/>
          </w:tcPr>
          <w:p>
            <w:r>
              <w:rPr>
                <w:sz w:val="19"/>
              </w:rPr>
            </w:r>
            <w:r>
              <w:rPr>
                <w:sz w:val="19"/>
              </w:rPr>
              <w:t>Sánchez Tandayamo Segundo Víctor</w:t>
            </w:r>
          </w:p>
        </w:tc>
        <w:tc>
          <w:tcPr>
            <w:tcW w:type="dxa" w:w="1586"/>
          </w:tcPr>
          <w:p>
            <w:r>
              <w:rPr>
                <w:sz w:val="19"/>
              </w:rPr>
            </w:r>
            <w:r>
              <w:rPr>
                <w:sz w:val="19"/>
              </w:rPr>
              <w:t>Otoncito</w:t>
            </w:r>
          </w:p>
        </w:tc>
        <w:tc>
          <w:tcPr>
            <w:tcW w:type="dxa" w:w="1586"/>
          </w:tcPr>
          <w:p>
            <w:r>
              <w:rPr>
                <w:sz w:val="19"/>
              </w:rPr>
            </w:r>
            <w:r>
              <w:rPr>
                <w:sz w:val="19"/>
              </w:rPr>
              <w:t>adicional</w:t>
            </w:r>
          </w:p>
        </w:tc>
        <w:tc>
          <w:tcPr>
            <w:tcW w:type="dxa" w:w="1586"/>
          </w:tcPr>
          <w:p>
            <w:r>
              <w:rPr>
                <w:sz w:val="19"/>
              </w:rPr>
            </w:r>
            <w:r>
              <w:rPr>
                <w:sz w:val="19"/>
              </w:rPr>
              <w:t>18:24</w:t>
            </w:r>
          </w:p>
        </w:tc>
        <w:tc>
          <w:tcPr>
            <w:tcW w:type="dxa" w:w="1586"/>
          </w:tcPr>
          <w:p>
            <w:r>
              <w:rPr>
                <w:sz w:val="19"/>
              </w:rPr>
            </w:r>
            <w:r>
              <w:rPr>
                <w:sz w:val="19"/>
              </w:rPr>
              <w:t>974 m²</w:t>
            </w:r>
          </w:p>
        </w:tc>
      </w:tr>
      <w:tr>
        <w:tc>
          <w:tcPr>
            <w:tcW w:type="dxa" w:w="1586"/>
          </w:tcPr>
          <w:p>
            <w:r>
              <w:rPr>
                <w:sz w:val="19"/>
              </w:rPr>
            </w:r>
            <w:r>
              <w:rPr>
                <w:sz w:val="19"/>
              </w:rPr>
              <w:t>1702540140044</w:t>
            </w:r>
          </w:p>
        </w:tc>
        <w:tc>
          <w:tcPr>
            <w:tcW w:type="dxa" w:w="1586"/>
          </w:tcPr>
          <w:p>
            <w:r>
              <w:rPr>
                <w:sz w:val="19"/>
              </w:rPr>
            </w:r>
            <w:r>
              <w:rPr>
                <w:sz w:val="19"/>
              </w:rPr>
              <w:t>Guaras Cobacango Luis Guido</w:t>
            </w:r>
          </w:p>
        </w:tc>
        <w:tc>
          <w:tcPr>
            <w:tcW w:type="dxa" w:w="1586"/>
          </w:tcPr>
          <w:p>
            <w:r>
              <w:rPr>
                <w:sz w:val="19"/>
              </w:rPr>
            </w:r>
            <w:r>
              <w:rPr>
                <w:sz w:val="19"/>
              </w:rPr>
              <w:t>Pambamarquito</w:t>
            </w:r>
          </w:p>
        </w:tc>
        <w:tc>
          <w:tcPr>
            <w:tcW w:type="dxa" w:w="1586"/>
          </w:tcPr>
          <w:p>
            <w:r>
              <w:rPr>
                <w:sz w:val="19"/>
              </w:rPr>
            </w:r>
            <w:r>
              <w:rPr>
                <w:sz w:val="19"/>
              </w:rPr>
              <w:t>adicional</w:t>
            </w:r>
          </w:p>
        </w:tc>
        <w:tc>
          <w:tcPr>
            <w:tcW w:type="dxa" w:w="1586"/>
          </w:tcPr>
          <w:p>
            <w:r>
              <w:rPr>
                <w:sz w:val="19"/>
              </w:rPr>
            </w:r>
            <w:r>
              <w:rPr>
                <w:sz w:val="19"/>
              </w:rPr>
              <w:t>18:31</w:t>
            </w:r>
          </w:p>
        </w:tc>
        <w:tc>
          <w:tcPr>
            <w:tcW w:type="dxa" w:w="1586"/>
          </w:tcPr>
          <w:p>
            <w:r>
              <w:rPr>
                <w:sz w:val="19"/>
              </w:rPr>
            </w:r>
            <w:r>
              <w:rPr>
                <w:sz w:val="19"/>
              </w:rPr>
              <w:t>1.813 m²</w:t>
            </w:r>
          </w:p>
        </w:tc>
      </w:tr>
      <w:tr>
        <w:tc>
          <w:tcPr>
            <w:tcW w:type="dxa" w:w="1586"/>
          </w:tcPr>
          <w:p>
            <w:r>
              <w:rPr>
                <w:sz w:val="19"/>
              </w:rPr>
            </w:r>
            <w:r>
              <w:rPr>
                <w:sz w:val="19"/>
              </w:rPr>
              <w:t>1702540050086</w:t>
            </w:r>
          </w:p>
        </w:tc>
        <w:tc>
          <w:tcPr>
            <w:tcW w:type="dxa" w:w="1586"/>
          </w:tcPr>
          <w:p>
            <w:r>
              <w:rPr>
                <w:sz w:val="19"/>
              </w:rPr>
            </w:r>
            <w:r>
              <w:rPr>
                <w:sz w:val="19"/>
              </w:rPr>
              <w:t>Cholango Guaras Pedro</w:t>
            </w:r>
          </w:p>
        </w:tc>
        <w:tc>
          <w:tcPr>
            <w:tcW w:type="dxa" w:w="1586"/>
          </w:tcPr>
          <w:p>
            <w:r>
              <w:rPr>
                <w:sz w:val="19"/>
              </w:rPr>
            </w:r>
            <w:r>
              <w:rPr>
                <w:sz w:val="19"/>
              </w:rPr>
              <w:t>Otoncito</w:t>
            </w:r>
          </w:p>
        </w:tc>
        <w:tc>
          <w:tcPr>
            <w:tcW w:type="dxa" w:w="1586"/>
          </w:tcPr>
          <w:p>
            <w:r>
              <w:rPr>
                <w:sz w:val="19"/>
              </w:rPr>
            </w:r>
            <w:r>
              <w:rPr>
                <w:sz w:val="19"/>
              </w:rPr>
              <w:t>principal</w:t>
            </w:r>
          </w:p>
        </w:tc>
        <w:tc>
          <w:tcPr>
            <w:tcW w:type="dxa" w:w="1586"/>
          </w:tcPr>
          <w:p>
            <w:r>
              <w:rPr>
                <w:sz w:val="19"/>
              </w:rPr>
            </w:r>
            <w:r>
              <w:rPr>
                <w:sz w:val="19"/>
              </w:rPr>
              <w:t>18:46</w:t>
            </w:r>
          </w:p>
        </w:tc>
        <w:tc>
          <w:tcPr>
            <w:tcW w:type="dxa" w:w="1586"/>
          </w:tcPr>
          <w:p>
            <w:r>
              <w:rPr>
                <w:sz w:val="19"/>
              </w:rPr>
            </w:r>
            <w:r>
              <w:rPr>
                <w:sz w:val="19"/>
              </w:rPr>
              <w:t>2.007 m²</w:t>
            </w:r>
          </w:p>
        </w:tc>
      </w:tr>
      <w:tr>
        <w:tc>
          <w:tcPr>
            <w:tcW w:type="dxa" w:w="1586"/>
          </w:tcPr>
          <w:p>
            <w:r>
              <w:rPr>
                <w:sz w:val="19"/>
              </w:rPr>
            </w:r>
            <w:r>
              <w:rPr>
                <w:sz w:val="19"/>
              </w:rPr>
              <w:t>1702540050088</w:t>
            </w:r>
          </w:p>
        </w:tc>
        <w:tc>
          <w:tcPr>
            <w:tcW w:type="dxa" w:w="1586"/>
          </w:tcPr>
          <w:p>
            <w:r>
              <w:rPr>
                <w:sz w:val="19"/>
              </w:rPr>
            </w:r>
            <w:r>
              <w:rPr>
                <w:sz w:val="19"/>
              </w:rPr>
              <w:t>Sánchez Tandayamo Rosa Elena</w:t>
            </w:r>
          </w:p>
        </w:tc>
        <w:tc>
          <w:tcPr>
            <w:tcW w:type="dxa" w:w="1586"/>
          </w:tcPr>
          <w:p>
            <w:r>
              <w:rPr>
                <w:sz w:val="19"/>
              </w:rPr>
            </w:r>
            <w:r>
              <w:rPr>
                <w:sz w:val="19"/>
              </w:rPr>
              <w:t>Otoncito</w:t>
            </w:r>
          </w:p>
        </w:tc>
        <w:tc>
          <w:tcPr>
            <w:tcW w:type="dxa" w:w="1586"/>
          </w:tcPr>
          <w:p>
            <w:r>
              <w:rPr>
                <w:sz w:val="19"/>
              </w:rPr>
            </w:r>
            <w:r>
              <w:rPr>
                <w:sz w:val="19"/>
              </w:rPr>
              <w:t>principal</w:t>
            </w:r>
          </w:p>
        </w:tc>
        <w:tc>
          <w:tcPr>
            <w:tcW w:type="dxa" w:w="1586"/>
          </w:tcPr>
          <w:p>
            <w:r>
              <w:rPr>
                <w:sz w:val="19"/>
              </w:rPr>
            </w:r>
            <w:r>
              <w:rPr>
                <w:sz w:val="19"/>
              </w:rPr>
              <w:t>18:54</w:t>
            </w:r>
          </w:p>
        </w:tc>
        <w:tc>
          <w:tcPr>
            <w:tcW w:type="dxa" w:w="1586"/>
          </w:tcPr>
          <w:p>
            <w:r>
              <w:rPr>
                <w:sz w:val="19"/>
              </w:rPr>
            </w:r>
            <w:r>
              <w:rPr>
                <w:sz w:val="19"/>
              </w:rPr>
              <w:t>461 m²</w:t>
            </w:r>
          </w:p>
        </w:tc>
      </w:tr>
      <w:tr>
        <w:tc>
          <w:tcPr>
            <w:tcW w:type="dxa" w:w="1586"/>
          </w:tcPr>
          <w:p>
            <w:r>
              <w:rPr>
                <w:sz w:val="19"/>
              </w:rPr>
            </w:r>
            <w:r>
              <w:rPr>
                <w:sz w:val="19"/>
              </w:rPr>
              <w:t>1702540050089</w:t>
            </w:r>
          </w:p>
        </w:tc>
        <w:tc>
          <w:tcPr>
            <w:tcW w:type="dxa" w:w="1586"/>
          </w:tcPr>
          <w:p>
            <w:r>
              <w:rPr>
                <w:sz w:val="19"/>
              </w:rPr>
            </w:r>
            <w:r>
              <w:rPr>
                <w:sz w:val="19"/>
              </w:rPr>
              <w:t>Sánchez Tandayamo Rosa Elena</w:t>
            </w:r>
          </w:p>
        </w:tc>
        <w:tc>
          <w:tcPr>
            <w:tcW w:type="dxa" w:w="1586"/>
          </w:tcPr>
          <w:p>
            <w:r>
              <w:rPr>
                <w:sz w:val="19"/>
              </w:rPr>
            </w:r>
            <w:r>
              <w:rPr>
                <w:sz w:val="19"/>
              </w:rPr>
              <w:t>Otoncito</w:t>
            </w:r>
          </w:p>
        </w:tc>
        <w:tc>
          <w:tcPr>
            <w:tcW w:type="dxa" w:w="1586"/>
          </w:tcPr>
          <w:p>
            <w:r>
              <w:rPr>
                <w:sz w:val="19"/>
              </w:rPr>
            </w:r>
            <w:r>
              <w:rPr>
                <w:sz w:val="19"/>
              </w:rPr>
              <w:t>adicional</w:t>
            </w:r>
          </w:p>
        </w:tc>
        <w:tc>
          <w:tcPr>
            <w:tcW w:type="dxa" w:w="1586"/>
          </w:tcPr>
          <w:p>
            <w:r>
              <w:rPr>
                <w:sz w:val="19"/>
              </w:rPr>
            </w:r>
            <w:r>
              <w:rPr>
                <w:sz w:val="19"/>
              </w:rPr>
              <w:t>18:59</w:t>
            </w:r>
          </w:p>
        </w:tc>
        <w:tc>
          <w:tcPr>
            <w:tcW w:type="dxa" w:w="1586"/>
          </w:tcPr>
          <w:p>
            <w:r>
              <w:rPr>
                <w:sz w:val="19"/>
              </w:rPr>
            </w:r>
            <w:r>
              <w:rPr>
                <w:sz w:val="19"/>
              </w:rPr>
              <w:t>399 m²</w:t>
            </w:r>
          </w:p>
        </w:tc>
      </w:tr>
    </w:tbl>
    <w:p>
      <w:pPr>
        <w:spacing w:after="40"/>
      </w:pPr>
    </w:p>
    <w:p>
      <w:pPr>
        <w:jc w:val="both"/>
      </w:pPr>
      <w:r>
        <w:t xml:space="preserve">Son 6 fichas de </w:t>
      </w:r>
      <w:r>
        <w:rPr>
          <w:b/>
        </w:rPr>
        <w:t>4 titulares</w:t>
      </w:r>
      <w:r>
        <w:t xml:space="preserve"> —dos de ellos con un predio adicional además del principal— y suman </w:t>
      </w:r>
      <w:r>
        <w:rPr>
          <w:b/>
        </w:rPr>
        <w:t>0,67 hectáreas</w:t>
      </w:r>
      <w:r>
        <w:t xml:space="preserve">. Sobre las 10.294,99 ha del padrón, el excedente representa el </w:t>
      </w:r>
      <w:r>
        <w:rPr>
          <w:b/>
        </w:rPr>
        <w:t>0,006 %</w:t>
      </w:r>
      <w:r>
        <w:t>: no mueve ninguna cifra de superficie.</w:t>
      </w:r>
    </w:p>
    <w:p>
      <w:pPr>
        <w:pStyle w:val="Heading3"/>
        <w:spacing w:before="180" w:after="80"/>
      </w:pPr>
      <w:r>
        <w:rPr>
          <w:b/>
          <w:color w:val="1F4E79"/>
          <w:sz w:val="24"/>
        </w:rPr>
        <w:t>Por qué el reparto cambia en +2 y +4, y no en +3 y +3</w:t>
      </w:r>
    </w:p>
    <w:p>
      <w:pPr>
        <w:jc w:val="both"/>
      </w:pPr>
      <w:r>
        <w:t xml:space="preserve">Además de las 6 fichas hubo </w:t>
      </w:r>
      <w:r>
        <w:rPr>
          <w:b/>
        </w:rPr>
        <w:t>un cambio de clasificación</w:t>
      </w:r>
      <w:r>
        <w:t xml:space="preserve">. La ficha </w:t>
      </w:r>
      <w:r>
        <w:rPr>
          <w:b/>
        </w:rPr>
        <w:t>1702550140041</w:t>
      </w:r>
      <w:r>
        <w:t xml:space="preserve"> (Guaras Cobacango Luis Guido, Cangahua Pungo), levantada por Adriana Cuascota el 17 de junio como predio principal, fue reclasificada por Pablo Barrionuevo el 5 de agosto como </w:t>
      </w:r>
      <w:r>
        <w:rPr>
          <w:b/>
        </w:rPr>
        <w:t>predio adicional</w:t>
      </w:r>
      <w:r>
        <w:t>.</w:t>
      </w:r>
    </w:p>
    <w:p>
      <w:pPr>
        <w:jc w:val="both"/>
      </w:pPr>
      <w:r>
        <w:t xml:space="preserve">El cambio tiene sentido: ese titular ya tenía su ficha principal levantada el 30 de julio (clave 1702540140027), así que Cangahua Pungo era un segundo predio suyo, no una segunda persona. Por eso el padrón sube </w:t>
      </w:r>
      <w:r>
        <w:rPr>
          <w:b/>
        </w:rPr>
        <w:t>+3 principales nuevos −1 reclasificado = +2 principales</w:t>
      </w:r>
      <w:r>
        <w:t xml:space="preserve">, y </w:t>
      </w:r>
      <w:r>
        <w:rPr>
          <w:b/>
        </w:rPr>
        <w:t>+3 adicionales nuevos +1 reclasificado = +4 adicionales</w:t>
      </w:r>
      <w:r>
        <w:t>.</w:t>
      </w:r>
    </w:p>
    <w:p>
      <w:pPr>
        <w:spacing w:before="40" w:after="160"/>
        <w:pBdr>
          <w:bottom w:val="single" w:sz="6" w:color="BFBFBF"/>
        </w:pBdr>
      </w:pPr>
    </w:p>
    <w:p>
      <w:pPr>
        <w:pStyle w:val="Heading2"/>
        <w:spacing w:before="240" w:after="80"/>
      </w:pPr>
      <w:r>
        <w:rPr>
          <w:b/>
          <w:color w:val="1F4E79"/>
          <w:sz w:val="28"/>
        </w:rPr>
        <w:t>3. Lo que hace falta decidir</w:t>
      </w:r>
    </w:p>
    <w:p>
      <w:pPr>
        <w:jc w:val="both"/>
      </w:pPr>
      <w:r>
        <w:rPr>
          <w:b/>
        </w:rPr>
        <w:t>a) Confirmar el excedente.</w:t>
      </w:r>
      <w:r>
        <w:t xml:space="preserve"> Si se incorpora, la base para los estudios pasa a 4.307 + 2.524 = </w:t>
      </w:r>
      <w:r>
        <w:rPr>
          <w:b/>
        </w:rPr>
        <w:t>6.831</w:t>
      </w:r>
      <w:r>
        <w:t xml:space="preserve">, y así habría que comunicarlo al Consorcio. Los informes que están hoy en la carpeta de entrega </w:t>
      </w:r>
      <w:r>
        <w:rPr>
          <w:b/>
        </w:rPr>
        <w:t>ya se generaron con 6.831</w:t>
      </w:r>
      <w:r>
        <w:t xml:space="preserve"> (se regeneraron el 12 de agosto a las 09:52, como último paso de la sincronización), de modo que reflejan el padrón con el excedente incluido.</w:t>
      </w:r>
    </w:p>
    <w:p>
      <w:pPr>
        <w:jc w:val="both"/>
      </w:pPr>
      <w:r>
        <w:rPr>
          <w:b/>
        </w:rPr>
        <w:t>b) Las 54 fichas con las áreas mal capturadas.</w:t>
      </w:r>
      <w:r>
        <w:t xml:space="preserve"> Todas de Pablo Barrionuevo, del 24 al 30 de julio, en Pambamarca (32), Chaupiestancia (19), Pucará (2) y Chinchinloma (1). En las 54 se repite el mismo número tres veces: área total, área con riego y área sin riego son idénticas. El polígono del catastro confirma el área total en 52 de las 54, así que lo que sobra es el campo de área sin riego. Corregirlo —ponerlo en cero— quita </w:t>
      </w:r>
      <w:r>
        <w:rPr>
          <w:b/>
        </w:rPr>
        <w:t>56,38 ha</w:t>
      </w:r>
      <w:r>
        <w:t xml:space="preserve"> duplicadas. </w:t>
      </w:r>
      <w:r>
        <w:rPr>
          <w:b/>
        </w:rPr>
        <w:t>Falta que Pablo Barrionuevo lo confirme</w:t>
      </w:r>
      <w:r>
        <w:t xml:space="preserve"> antes de tocar el dato.</w:t>
      </w:r>
    </w:p>
    <w:p>
      <w:pPr>
        <w:jc w:val="both"/>
      </w:pPr>
      <w:r>
        <w:rPr>
          <w:b/>
        </w:rPr>
        <w:t>c) Tres predios adicionales quedaron sin ficha madre</w:t>
      </w:r>
      <w:r>
        <w:t xml:space="preserve">, dos de ellos entre las 6 del 5 de agosto (1702540140044 y 1702540050089). No es descuido del técnico: es un defecto del formulario de QField que ya está corregido en el proyecto pero </w:t>
      </w:r>
      <w:r>
        <w:rPr>
          <w:b/>
        </w:rPr>
        <w:t>todavía no se ha subido a las tablets</w:t>
      </w:r>
      <w:r>
        <w:t>. Mientras no se suba, cada salida de campo seguirá produciendo predios adicionales huérfanos: esa tarde, de 3 adicionales creados, 2 salieron sin madre.</w:t>
      </w:r>
    </w:p>
    <w:p>
      <w:pPr>
        <w:jc w:val="both"/>
      </w:pPr>
      <w:r>
        <w:t xml:space="preserve">El caso de Luis Guido Guaras Cobacango los reúne todos: tiene su ficha principal del 30 de julio (que además está sin comunidad asignada y se resolverá en oficina) y </w:t>
      </w:r>
      <w:r>
        <w:rPr>
          <w:b/>
        </w:rPr>
        <w:t>dos predios adicionales que deberían colgar de ella, ambos sin vincular</w:t>
      </w:r>
      <w:r>
        <w:t xml:space="preserve"> por este defecto.</w:t>
      </w:r>
    </w:p>
    <w:p>
      <w:pPr>
        <w:spacing w:before="40" w:after="160"/>
        <w:pBdr>
          <w:bottom w:val="single" w:sz="6" w:color="BFBFBF"/>
        </w:pBdr>
      </w:pPr>
    </w:p>
    <w:p>
      <w:pPr>
        <w:pStyle w:val="Heading2"/>
        <w:spacing w:before="240" w:after="80"/>
      </w:pPr>
      <w:r>
        <w:rPr>
          <w:b/>
          <w:color w:val="1F4E79"/>
          <w:sz w:val="28"/>
        </w:rPr>
        <w:t>4. Dos cosas más que conviene tener presentes</w:t>
      </w:r>
    </w:p>
    <w:p>
      <w:pPr>
        <w:jc w:val="both"/>
      </w:pPr>
      <w:r>
        <w:rPr>
          <w:b/>
        </w:rPr>
        <w:t>La superficie bajo riego que se publica no es la suma directa de las fichas.</w:t>
      </w:r>
      <w:r>
        <w:t xml:space="preserve"> El proceso que alimenta la web y los informes aplica una regla: cuando una ficha no declara área con riego, le asigna toda el área del predio. El efecto es grande —</w:t>
      </w:r>
      <w:r>
        <w:rPr>
          <w:b/>
        </w:rPr>
        <w:t>1.209 ha</w:t>
      </w:r>
      <w:r>
        <w:t xml:space="preserve"> de diferencia— y va en un solo sentido:</w:t>
      </w:r>
    </w:p>
    <w:tbl>
      <w:tblPr>
        <w:tblStyle w:val="TableGrid"/>
        <w:tblW w:type="auto" w:w="0"/>
        <w:jc w:val="center"/>
        <w:tblLook w:firstColumn="1" w:firstRow="1" w:lastColumn="0" w:lastRow="0" w:noHBand="0" w:noVBand="1" w:val="04A0"/>
      </w:tblPr>
      <w:tblGrid>
        <w:gridCol w:w="3173"/>
        <w:gridCol w:w="3173"/>
        <w:gridCol w:w="3173"/>
      </w:tblGrid>
      <w:tr>
        <w:tc>
          <w:tcPr>
            <w:tcW w:type="dxa" w:w="3173"/>
            <w:shd w:val="clear" w:color="auto" w:fill="1F4E79"/>
          </w:tcPr>
          <w:p>
            <w:r>
              <w:rPr>
                <w:color w:val="FFFFFF"/>
                <w:sz w:val="19"/>
              </w:rPr>
            </w:r>
          </w:p>
        </w:tc>
        <w:tc>
          <w:tcPr>
            <w:tcW w:type="dxa" w:w="3173"/>
            <w:shd w:val="clear" w:color="auto" w:fill="1F4E79"/>
          </w:tcPr>
          <w:p>
            <w:r>
              <w:rPr>
                <w:color w:val="FFFFFF"/>
                <w:sz w:val="19"/>
              </w:rPr>
            </w:r>
            <w:r>
              <w:rPr>
                <w:b/>
                <w:color w:val="FFFFFF"/>
                <w:sz w:val="19"/>
              </w:rPr>
              <w:t>Fichas de campo</w:t>
            </w:r>
          </w:p>
        </w:tc>
        <w:tc>
          <w:tcPr>
            <w:tcW w:type="dxa" w:w="3173"/>
            <w:shd w:val="clear" w:color="auto" w:fill="1F4E79"/>
          </w:tcPr>
          <w:p>
            <w:r>
              <w:rPr>
                <w:color w:val="FFFFFF"/>
                <w:sz w:val="19"/>
              </w:rPr>
            </w:r>
            <w:r>
              <w:rPr>
                <w:b/>
                <w:color w:val="FFFFFF"/>
                <w:sz w:val="19"/>
              </w:rPr>
              <w:t>Publicado en la web</w:t>
            </w:r>
          </w:p>
        </w:tc>
      </w:tr>
      <w:tr>
        <w:tc>
          <w:tcPr>
            <w:tcW w:type="dxa" w:w="3173"/>
          </w:tcPr>
          <w:p>
            <w:r>
              <w:rPr>
                <w:sz w:val="19"/>
              </w:rPr>
            </w:r>
            <w:r>
              <w:rPr>
                <w:sz w:val="19"/>
              </w:rPr>
              <w:t>Superficie total</w:t>
            </w:r>
          </w:p>
        </w:tc>
        <w:tc>
          <w:tcPr>
            <w:tcW w:type="dxa" w:w="3173"/>
          </w:tcPr>
          <w:p>
            <w:r>
              <w:rPr>
                <w:sz w:val="19"/>
              </w:rPr>
            </w:r>
            <w:r>
              <w:rPr>
                <w:sz w:val="19"/>
              </w:rPr>
              <w:t>10.294,99 ha</w:t>
            </w:r>
          </w:p>
        </w:tc>
        <w:tc>
          <w:tcPr>
            <w:tcW w:type="dxa" w:w="3173"/>
          </w:tcPr>
          <w:p>
            <w:r>
              <w:rPr>
                <w:sz w:val="19"/>
              </w:rPr>
            </w:r>
            <w:r>
              <w:rPr>
                <w:sz w:val="19"/>
              </w:rPr>
              <w:t>10.294,99 ha</w:t>
            </w:r>
          </w:p>
        </w:tc>
      </w:tr>
      <w:tr>
        <w:tc>
          <w:tcPr>
            <w:tcW w:type="dxa" w:w="3173"/>
          </w:tcPr>
          <w:p>
            <w:r>
              <w:rPr>
                <w:sz w:val="19"/>
              </w:rPr>
            </w:r>
            <w:r>
              <w:rPr>
                <w:sz w:val="19"/>
              </w:rPr>
              <w:t>Con riego</w:t>
            </w:r>
          </w:p>
        </w:tc>
        <w:tc>
          <w:tcPr>
            <w:tcW w:type="dxa" w:w="3173"/>
          </w:tcPr>
          <w:p>
            <w:r>
              <w:rPr>
                <w:sz w:val="19"/>
              </w:rPr>
            </w:r>
            <w:r>
              <w:rPr>
                <w:sz w:val="19"/>
              </w:rPr>
              <w:t>7.769,71 ha</w:t>
            </w:r>
          </w:p>
        </w:tc>
        <w:tc>
          <w:tcPr>
            <w:tcW w:type="dxa" w:w="3173"/>
          </w:tcPr>
          <w:p>
            <w:r>
              <w:rPr>
                <w:sz w:val="19"/>
              </w:rPr>
            </w:r>
            <w:r>
              <w:rPr>
                <w:sz w:val="19"/>
              </w:rPr>
              <w:t>8.978,86 ha</w:t>
            </w:r>
          </w:p>
        </w:tc>
      </w:tr>
      <w:tr>
        <w:tc>
          <w:tcPr>
            <w:tcW w:type="dxa" w:w="3173"/>
          </w:tcPr>
          <w:p>
            <w:r>
              <w:rPr>
                <w:sz w:val="19"/>
              </w:rPr>
            </w:r>
            <w:r>
              <w:rPr>
                <w:sz w:val="19"/>
              </w:rPr>
              <w:t>Sin riego</w:t>
            </w:r>
          </w:p>
        </w:tc>
        <w:tc>
          <w:tcPr>
            <w:tcW w:type="dxa" w:w="3173"/>
          </w:tcPr>
          <w:p>
            <w:r>
              <w:rPr>
                <w:sz w:val="19"/>
              </w:rPr>
            </w:r>
            <w:r>
              <w:rPr>
                <w:sz w:val="19"/>
              </w:rPr>
              <w:t>2.579,44 ha</w:t>
            </w:r>
          </w:p>
        </w:tc>
        <w:tc>
          <w:tcPr>
            <w:tcW w:type="dxa" w:w="3173"/>
          </w:tcPr>
          <w:p>
            <w:r>
              <w:rPr>
                <w:sz w:val="19"/>
              </w:rPr>
            </w:r>
            <w:r>
              <w:rPr>
                <w:sz w:val="19"/>
              </w:rPr>
              <w:t>1.372,50 ha</w:t>
            </w:r>
          </w:p>
        </w:tc>
      </w:tr>
    </w:tbl>
    <w:p>
      <w:pPr>
        <w:spacing w:after="40"/>
      </w:pPr>
    </w:p>
    <w:p>
      <w:pPr>
        <w:jc w:val="both"/>
      </w:pPr>
      <w:r>
        <w:t xml:space="preserve">Esa regla </w:t>
      </w:r>
      <w:r>
        <w:rPr>
          <w:b/>
        </w:rPr>
        <w:t>contradice</w:t>
      </w:r>
      <w:r>
        <w:t xml:space="preserve"> el criterio que se acordó el 9 de agosto para la revisión de campo, donde se decidió lo contrario: que un predio con el área sin riego medida es un predio que no se riega. Conviene unificar el criterio antes de que las dos cifras se citen en documentos distintos. </w:t>
      </w:r>
      <w:r>
        <w:rPr>
          <w:b/>
        </w:rPr>
        <w:t>No se ha modificado nada</w:t>
      </w:r>
      <w:r>
        <w:t>: cambiarlo afecta a la web publicada y a todos los informes.</w:t>
      </w:r>
    </w:p>
    <w:p>
      <w:pPr>
        <w:jc w:val="both"/>
      </w:pPr>
      <w:r>
        <w:rPr>
          <w:b/>
        </w:rPr>
        <w:t>El trabajo de campo pendiente bajó de 9.220 a 801 datos</w:t>
      </w:r>
      <w:r>
        <w:t xml:space="preserve"> al aplicar las reglas de «no aplica» acordadas el 9 de agosto. Aparte quedan 67 fichas sin comunidad, que se resuelven en oficina por cruce espacial y no requieren salida de campo, y dos bloques a la espera de decisión: los datos de escritura de 38 fichas y las 492 fichas de ALPAKA, que son lotes de fraccionamiento y no encuestas. El detalle está en </w:t>
      </w:r>
      <w:r>
        <w:rPr>
          <w:rFonts w:ascii="Consolas" w:hAnsi="Consolas"/>
          <w:color w:val="8B2500"/>
          <w:sz w:val="19"/>
        </w:rPr>
        <w:t>REVISION-CAMPO.xlsx</w:t>
      </w:r>
      <w:r>
        <w:t>.</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