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Impacts</w:t>
      </w:r>
      <w:r>
        <w:t xml:space="preserve"> </w:t>
      </w:r>
      <w:r>
        <w:t xml:space="preserve">on</w:t>
      </w:r>
      <w:r>
        <w:t xml:space="preserve"> </w:t>
      </w:r>
      <w:r>
        <w:t xml:space="preserve">smallholders</w:t>
      </w:r>
      <w:r>
        <w:t xml:space="preserve"> </w:t>
      </w:r>
      <w:r>
        <w:t xml:space="preserve">literature</w:t>
      </w:r>
    </w:p>
    <w:bookmarkStart w:id="24" w:name="chrisendo2020"/>
    <w:p>
      <w:pPr>
        <w:pStyle w:val="Heading2"/>
      </w:pPr>
      <w:r>
        <w:t xml:space="preserve">Chrisendo et al. (2020)</w:t>
      </w:r>
    </w:p>
    <w:bookmarkStart w:id="20" w:name="point-of-analysis"/>
    <w:p>
      <w:pPr>
        <w:pStyle w:val="Heading4"/>
      </w:pPr>
      <w:r>
        <w:t xml:space="preserve">Point of analysis</w:t>
      </w:r>
      <w:r>
        <w:br/>
      </w:r>
    </w:p>
    <w:p>
      <w:pPr>
        <w:numPr>
          <w:ilvl w:val="0"/>
          <w:numId w:val="1001"/>
        </w:numPr>
        <w:pStyle w:val="Compact"/>
      </w:pPr>
      <w:r>
        <w:t xml:space="preserve">Association between oil palm cultivation and nutrition in smallholder farm households.</w:t>
      </w:r>
    </w:p>
    <w:p>
      <w:pPr>
        <w:numPr>
          <w:ilvl w:val="0"/>
          <w:numId w:val="1001"/>
        </w:numPr>
        <w:pStyle w:val="Compact"/>
      </w:pPr>
      <w:r>
        <w:t xml:space="preserve">also considering changes in income and gender roles</w:t>
      </w:r>
    </w:p>
    <w:p>
      <w:pPr>
        <w:numPr>
          <w:ilvl w:val="0"/>
          <w:numId w:val="1001"/>
        </w:numPr>
        <w:pStyle w:val="Compact"/>
      </w:pPr>
      <w:r>
        <w:t xml:space="preserve">First hypothesis: Oil palm cultivation is positively associated with household nutrition and dietary quality</w:t>
      </w:r>
    </w:p>
    <w:bookmarkEnd w:id="20"/>
    <w:bookmarkStart w:id="21" w:name="data"/>
    <w:p>
      <w:pPr>
        <w:pStyle w:val="Heading4"/>
      </w:pPr>
      <w:r>
        <w:t xml:space="preserve">Data</w:t>
      </w:r>
      <w:r>
        <w:br/>
      </w:r>
    </w:p>
    <w:p>
      <w:pPr>
        <w:pStyle w:val="FirstParagraph"/>
      </w:pPr>
      <w:r>
        <w:t xml:space="preserve">Two rounds of C07 household farmer survey</w:t>
      </w:r>
    </w:p>
    <w:bookmarkEnd w:id="21"/>
    <w:bookmarkStart w:id="22" w:name="method"/>
    <w:p>
      <w:pPr>
        <w:pStyle w:val="Heading4"/>
      </w:pPr>
      <w:r>
        <w:t xml:space="preserve">Method</w:t>
      </w:r>
    </w:p>
    <w:p>
      <w:pPr>
        <w:numPr>
          <w:ilvl w:val="0"/>
          <w:numId w:val="1002"/>
        </w:numPr>
        <w:pStyle w:val="Compact"/>
      </w:pPr>
      <w:r>
        <w:t xml:space="preserve">Descriptives for comparing different groups of households</w:t>
      </w:r>
    </w:p>
    <w:p>
      <w:pPr>
        <w:numPr>
          <w:ilvl w:val="0"/>
          <w:numId w:val="1002"/>
        </w:numPr>
        <w:pStyle w:val="Compact"/>
      </w:pPr>
      <w:r>
        <w:t xml:space="preserve">run regression models</w:t>
      </w:r>
    </w:p>
    <w:p>
      <w:pPr>
        <w:numPr>
          <w:ilvl w:val="0"/>
          <w:numId w:val="1002"/>
        </w:numPr>
        <w:pStyle w:val="Compact"/>
      </w:pPr>
      <w:r>
        <w:t xml:space="preserve">random effects panel models</w:t>
      </w:r>
    </w:p>
    <w:p>
      <w:pPr>
        <w:numPr>
          <w:ilvl w:val="0"/>
          <w:numId w:val="1002"/>
        </w:numPr>
        <w:pStyle w:val="Compact"/>
      </w:pPr>
      <w:r>
        <w:t xml:space="preserve">SUR estimator</w:t>
      </w:r>
    </w:p>
    <w:p>
      <w:pPr>
        <w:numPr>
          <w:ilvl w:val="0"/>
          <w:numId w:val="1002"/>
        </w:numPr>
        <w:pStyle w:val="Compact"/>
      </w:pPr>
      <w:r>
        <w:t xml:space="preserve">logit estimator</w:t>
      </w:r>
    </w:p>
    <w:bookmarkEnd w:id="22"/>
    <w:bookmarkStart w:id="23" w:name="conclusion"/>
    <w:p>
      <w:pPr>
        <w:pStyle w:val="Heading4"/>
      </w:pPr>
      <w:r>
        <w:t xml:space="preserve">Conclusion</w:t>
      </w:r>
      <w:r>
        <w:br/>
      </w:r>
    </w:p>
    <w:bookmarkEnd w:id="23"/>
    <w:bookmarkEnd w:id="24"/>
    <w:bookmarkStart w:id="29" w:name="josephson2021"/>
    <w:p>
      <w:pPr>
        <w:pStyle w:val="Heading2"/>
      </w:pPr>
      <w:r>
        <w:t xml:space="preserve">Josephson, Kilic, and Michler (2021)</w:t>
      </w:r>
    </w:p>
    <w:bookmarkStart w:id="25" w:name="point-of-analysis-1"/>
    <w:p>
      <w:pPr>
        <w:pStyle w:val="Heading4"/>
      </w:pPr>
      <w:r>
        <w:t xml:space="preserve">Point of analysis</w:t>
      </w:r>
      <w:r>
        <w:br/>
      </w:r>
    </w:p>
    <w:p>
      <w:pPr>
        <w:pStyle w:val="FirstParagraph"/>
      </w:pPr>
      <w:r>
        <w:t xml:space="preserve">Document the socioeconomic impacts of the pandemic among households, adults and children in low-income countries.</w:t>
      </w:r>
    </w:p>
    <w:bookmarkEnd w:id="25"/>
    <w:bookmarkStart w:id="26" w:name="data-1"/>
    <w:p>
      <w:pPr>
        <w:pStyle w:val="Heading4"/>
      </w:pPr>
      <w:r>
        <w:t xml:space="preserve">Data</w:t>
      </w:r>
      <w:r>
        <w:br/>
      </w:r>
    </w:p>
    <w:p>
      <w:pPr>
        <w:pStyle w:val="FirstParagraph"/>
      </w:pPr>
      <w:r>
        <w:t xml:space="preserve">Longitudinal data from high-frequency phone surveys conducted in Ethiopia, Malawi, Nigeria and Uganda with support from the World Bank. These are based on the LSMS-ISA surveys that were conducted in each of these countries.</w:t>
      </w:r>
      <w:r>
        <w:t xml:space="preserve"> </w:t>
      </w:r>
      <m:oMath>
        <m:r>
          <m:t>n</m:t>
        </m:r>
        <m:r>
          <m:rPr>
            <m:sty m:val="p"/>
          </m:rPr>
          <m:t>=</m:t>
        </m:r>
        <m:r>
          <m:t>10</m:t>
        </m:r>
        <m:r>
          <m:rPr>
            <m:sty m:val="p"/>
          </m:rPr>
          <m:t>,</m:t>
        </m:r>
        <m:r>
          <m:t>855</m:t>
        </m:r>
      </m:oMath>
      <w:r>
        <w:t xml:space="preserve"> </w:t>
      </w:r>
      <w:r>
        <w:t xml:space="preserve">households across four countries.</w:t>
      </w:r>
      <w:r>
        <w:t xml:space="preserve"> </w:t>
      </w:r>
      <w:r>
        <w:t xml:space="preserve">Issues: selection bias and non-response bias</w:t>
      </w:r>
    </w:p>
    <w:bookmarkEnd w:id="26"/>
    <w:bookmarkStart w:id="27" w:name="method-1"/>
    <w:p>
      <w:pPr>
        <w:pStyle w:val="Heading4"/>
      </w:pPr>
      <w:r>
        <w:t xml:space="preserve">Method</w:t>
      </w:r>
    </w:p>
    <w:bookmarkEnd w:id="27"/>
    <w:bookmarkStart w:id="28" w:name="conclusion-1"/>
    <w:p>
      <w:pPr>
        <w:pStyle w:val="Heading4"/>
      </w:pPr>
      <w:r>
        <w:t xml:space="preserve">Conclusion</w:t>
      </w:r>
    </w:p>
    <w:p>
      <w:pPr>
        <w:numPr>
          <w:ilvl w:val="0"/>
          <w:numId w:val="1003"/>
        </w:numPr>
        <w:pStyle w:val="Compact"/>
      </w:pPr>
      <w:r>
        <w:t xml:space="preserve">An estimated 77% of the population live in households which has lost income since the start of the pandemic</w:t>
      </w:r>
    </w:p>
    <w:p>
      <w:pPr>
        <w:numPr>
          <w:ilvl w:val="0"/>
          <w:numId w:val="1003"/>
        </w:numPr>
        <w:pStyle w:val="Compact"/>
      </w:pPr>
      <w:r>
        <w:t xml:space="preserve">there is inability to access medicine and staple foods for an estimated 30% of households who would need these items</w:t>
      </w:r>
    </w:p>
    <w:bookmarkEnd w:id="28"/>
    <w:bookmarkEnd w:id="29"/>
    <w:bookmarkStart w:id="34" w:name="kumar2021"/>
    <w:p>
      <w:pPr>
        <w:pStyle w:val="Heading2"/>
      </w:pPr>
      <w:r>
        <w:t xml:space="preserve">Kumar et al. (2021)</w:t>
      </w:r>
    </w:p>
    <w:bookmarkStart w:id="30" w:name="point-of-analysis-2"/>
    <w:p>
      <w:pPr>
        <w:pStyle w:val="Heading4"/>
      </w:pPr>
      <w:r>
        <w:t xml:space="preserve">Point of analysis</w:t>
      </w:r>
      <w:r>
        <w:br/>
      </w:r>
    </w:p>
    <w:p>
      <w:pPr>
        <w:pStyle w:val="FirstParagraph"/>
      </w:pPr>
      <w:r>
        <w:t xml:space="preserve">Identify, describe and analyze the different factors affecting Indian farming systems, and more broadly the agricultural sector, following the COVID-19 lockdown which started in March, 2020.</w:t>
      </w:r>
    </w:p>
    <w:bookmarkEnd w:id="30"/>
    <w:bookmarkStart w:id="31" w:name="data-2"/>
    <w:p>
      <w:pPr>
        <w:pStyle w:val="Heading4"/>
      </w:pPr>
      <w:r>
        <w:t xml:space="preserve">Data</w:t>
      </w:r>
    </w:p>
    <w:p>
      <w:pPr>
        <w:numPr>
          <w:ilvl w:val="0"/>
          <w:numId w:val="1004"/>
        </w:numPr>
        <w:pStyle w:val="Compact"/>
      </w:pPr>
      <w:r>
        <w:t xml:space="preserve">“</w:t>
      </w:r>
      <w:r>
        <w:t xml:space="preserve">Semi-empirical</w:t>
      </w:r>
      <w:r>
        <w:t xml:space="preserve">”</w:t>
      </w:r>
      <w:r>
        <w:t xml:space="preserve"> </w:t>
      </w:r>
      <w:r>
        <w:t xml:space="preserve">research</w:t>
      </w:r>
    </w:p>
    <w:p>
      <w:pPr>
        <w:numPr>
          <w:ilvl w:val="0"/>
          <w:numId w:val="1004"/>
        </w:numPr>
        <w:pStyle w:val="Compact"/>
      </w:pPr>
      <w:r>
        <w:t xml:space="preserve">case study UP</w:t>
      </w:r>
    </w:p>
    <w:p>
      <w:pPr>
        <w:numPr>
          <w:ilvl w:val="0"/>
          <w:numId w:val="1004"/>
        </w:numPr>
        <w:pStyle w:val="Compact"/>
      </w:pPr>
      <w:r>
        <w:t xml:space="preserve">farmer survey:</w:t>
      </w:r>
    </w:p>
    <w:p>
      <w:pPr>
        <w:numPr>
          <w:ilvl w:val="1"/>
          <w:numId w:val="1005"/>
        </w:numPr>
        <w:pStyle w:val="Compact"/>
      </w:pPr>
      <w:r>
        <w:t xml:space="preserve">570 farmers spread across 57 districts in UP from March-May 2020</w:t>
      </w:r>
    </w:p>
    <w:p>
      <w:pPr>
        <w:numPr>
          <w:ilvl w:val="1"/>
          <w:numId w:val="1005"/>
        </w:numPr>
        <w:pStyle w:val="Compact"/>
      </w:pPr>
      <w:r>
        <w:t xml:space="preserve">asked about farm operations and whether and how investment and profitability were affected</w:t>
      </w:r>
    </w:p>
    <w:bookmarkEnd w:id="31"/>
    <w:bookmarkStart w:id="32" w:name="method-2"/>
    <w:p>
      <w:pPr>
        <w:pStyle w:val="Heading4"/>
      </w:pPr>
      <w:r>
        <w:t xml:space="preserve">Method</w:t>
      </w:r>
      <w:r>
        <w:br/>
      </w:r>
    </w:p>
    <w:p>
      <w:pPr>
        <w:pStyle w:val="FirstParagraph"/>
      </w:pPr>
      <w:r>
        <w:t xml:space="preserve">mixed methods</w:t>
      </w:r>
    </w:p>
    <w:bookmarkEnd w:id="32"/>
    <w:bookmarkStart w:id="33" w:name="conclusion-2"/>
    <w:p>
      <w:pPr>
        <w:pStyle w:val="Heading4"/>
      </w:pPr>
      <w:r>
        <w:t xml:space="preserve">Conclusion</w:t>
      </w:r>
      <w:r>
        <w:br/>
      </w:r>
    </w:p>
    <w:p>
      <w:pPr>
        <w:pStyle w:val="FirstParagraph"/>
      </w:pPr>
      <w:r>
        <w:t xml:space="preserve">Due to the pandemic, many laborers from the cities migrated back home to their villages. There they compete for local jobs.</w:t>
      </w:r>
      <w:r>
        <w:t xml:space="preserve"> </w:t>
      </w:r>
      <w:r>
        <w:t xml:space="preserve">Rural markets have ben wholly or partially closed to to lockdown. There was a government’s relief package, though inadequate and not fulfilling the farmers’ requirements. People below the povert line are supposed to not easily recover from the crisis. In 2020, wages in both agricultural and non-agricultural sector decreased, in fact stronger regarding the non-agricultural sector. Maybe this is due to the relief packages.</w:t>
      </w:r>
    </w:p>
    <w:bookmarkEnd w:id="33"/>
    <w:bookmarkEnd w:id="34"/>
    <w:bookmarkStart w:id="40" w:name="adewopo2021"/>
    <w:p>
      <w:pPr>
        <w:pStyle w:val="Heading2"/>
      </w:pPr>
      <w:r>
        <w:t xml:space="preserve">Adewopo et al. (2021)</w:t>
      </w:r>
    </w:p>
    <w:bookmarkStart w:id="35" w:name="point-of-analysis-3"/>
    <w:p>
      <w:pPr>
        <w:pStyle w:val="Heading4"/>
      </w:pPr>
      <w:r>
        <w:t xml:space="preserve">Point of analysis</w:t>
      </w:r>
      <w:r>
        <w:br/>
      </w:r>
    </w:p>
    <w:p>
      <w:pPr>
        <w:pStyle w:val="FirstParagraph"/>
      </w:pPr>
      <w:r>
        <w:t xml:space="preserve">Assess the magnitude of price change over eleven weeks during and after the first COVID-related lockdown (2020), relative to the preceding year (2019).</w:t>
      </w:r>
    </w:p>
    <w:bookmarkEnd w:id="35"/>
    <w:bookmarkStart w:id="36" w:name="data-3"/>
    <w:p>
      <w:pPr>
        <w:pStyle w:val="Heading4"/>
      </w:pPr>
      <w:r>
        <w:t xml:space="preserve">Data</w:t>
      </w:r>
      <w:r>
        <w:br/>
      </w:r>
    </w:p>
    <w:p>
      <w:pPr>
        <w:pStyle w:val="FirstParagraph"/>
      </w:pPr>
      <w:r>
        <w:t xml:space="preserve">Study area: northern Nigeria, where a pilot project to crowdsource food price data in Africa was led by the European Commission’s Joint Research Centre</w:t>
      </w:r>
    </w:p>
    <w:p>
      <w:pPr>
        <w:numPr>
          <w:ilvl w:val="0"/>
          <w:numId w:val="1006"/>
        </w:numPr>
        <w:pStyle w:val="Compact"/>
      </w:pPr>
      <w:r>
        <w:t xml:space="preserve">23,961 spatially distributed datapoints, contributed by 236 active volunteers, on the price of four commodities (local rice, Thailand rice, white maize and yellow maize)</w:t>
      </w:r>
    </w:p>
    <w:p>
      <w:pPr>
        <w:numPr>
          <w:ilvl w:val="0"/>
          <w:numId w:val="1006"/>
        </w:numPr>
        <w:pStyle w:val="Compact"/>
      </w:pPr>
      <w:r>
        <w:t xml:space="preserve">combined with spatial richness index grid derived from UN-FAO</w:t>
      </w:r>
    </w:p>
    <w:p>
      <w:pPr>
        <w:numPr>
          <w:ilvl w:val="1"/>
          <w:numId w:val="1007"/>
        </w:numPr>
        <w:pStyle w:val="Compact"/>
      </w:pPr>
      <w:r>
        <w:t xml:space="preserve">data and information shortage between March and April 2020</w:t>
      </w:r>
    </w:p>
    <w:bookmarkEnd w:id="36"/>
    <w:bookmarkStart w:id="37" w:name="findings"/>
    <w:p>
      <w:pPr>
        <w:pStyle w:val="Heading4"/>
      </w:pPr>
      <w:r>
        <w:t xml:space="preserve">Findings</w:t>
      </w:r>
      <w:r>
        <w:br/>
      </w:r>
    </w:p>
    <w:p>
      <w:pPr>
        <w:pStyle w:val="FirstParagraph"/>
      </w:pPr>
      <w:r>
        <w:t xml:space="preserve">Results show that the retail price of maize (yellow and white) and rice (local and Thai rice) increased on average by respectively 26% and 44% during this COVID-related period, compared to prices reported in the same period in 2019. GPS-tracked data showed that mobility and market</w:t>
      </w:r>
      <w:r>
        <w:t xml:space="preserve"> </w:t>
      </w:r>
      <w:r>
        <w:t xml:space="preserve">access of active volunteers were reduced, travel-distance to market being 54% less in 2020 compared to 2019, and illustrates potential limitations on consumers who often seek lower pricing by accessing broader markets</w:t>
      </w:r>
    </w:p>
    <w:bookmarkEnd w:id="37"/>
    <w:bookmarkStart w:id="38" w:name="method-3"/>
    <w:p>
      <w:pPr>
        <w:pStyle w:val="Heading4"/>
      </w:pPr>
      <w:r>
        <w:t xml:space="preserve">Method</w:t>
      </w:r>
      <w:r>
        <w:br/>
      </w:r>
    </w:p>
    <w:p>
      <w:pPr>
        <w:pStyle w:val="FirstParagraph"/>
      </w:pPr>
      <w:r>
        <w:t xml:space="preserve">In brief, the method consists of a series of steps implemented in algorithms (developed in R software) to assess spatial-temporal markets (clusters) of daily commodity prices, filter out spurious data points, and confine price values to reasonable attribute ranges.</w:t>
      </w:r>
    </w:p>
    <w:bookmarkEnd w:id="38"/>
    <w:bookmarkStart w:id="39" w:name="conclusion-3"/>
    <w:p>
      <w:pPr>
        <w:pStyle w:val="Heading4"/>
      </w:pPr>
      <w:r>
        <w:t xml:space="preserve">Conclusion</w:t>
      </w:r>
      <w:r>
        <w:br/>
      </w:r>
    </w:p>
    <w:bookmarkEnd w:id="39"/>
    <w:bookmarkEnd w:id="40"/>
    <w:bookmarkStart w:id="46" w:name="bene2020"/>
    <w:p>
      <w:pPr>
        <w:pStyle w:val="Heading2"/>
      </w:pPr>
      <w:r>
        <w:t xml:space="preserve">Béné (2020)</w:t>
      </w:r>
    </w:p>
    <w:bookmarkStart w:id="41" w:name="point-of-analysis-4"/>
    <w:p>
      <w:pPr>
        <w:pStyle w:val="Heading4"/>
      </w:pPr>
      <w:r>
        <w:t xml:space="preserve">Point of analysis</w:t>
      </w:r>
      <w:r>
        <w:br/>
      </w:r>
    </w:p>
    <w:p>
      <w:pPr>
        <w:pStyle w:val="FirstParagraph"/>
      </w:pPr>
      <w:r>
        <w:t xml:space="preserve">Explore and discuss the concept of local food system resilience in light of the disruptions brought to those systems by the 2020 COVID-19 pandemic.</w:t>
      </w:r>
    </w:p>
    <w:bookmarkEnd w:id="41"/>
    <w:bookmarkStart w:id="42" w:name="data-4"/>
    <w:p>
      <w:pPr>
        <w:pStyle w:val="Heading4"/>
      </w:pPr>
      <w:r>
        <w:t xml:space="preserve">Data</w:t>
      </w:r>
      <w:r>
        <w:br/>
      </w:r>
    </w:p>
    <w:bookmarkEnd w:id="42"/>
    <w:bookmarkStart w:id="43" w:name="findings-1"/>
    <w:p>
      <w:pPr>
        <w:pStyle w:val="Heading4"/>
      </w:pPr>
      <w:r>
        <w:t xml:space="preserve">Findings</w:t>
      </w:r>
      <w:r>
        <w:br/>
      </w:r>
    </w:p>
    <w:p>
      <w:pPr>
        <w:pStyle w:val="FirstParagraph"/>
      </w:pPr>
      <w:r>
        <w:t xml:space="preserve">The review of existing (mainly grey or media-based) accounts on COVID-</w:t>
      </w:r>
      <w:r>
        <w:t xml:space="preserve"> </w:t>
      </w:r>
      <w:r>
        <w:t xml:space="preserve">19 suggests that, with the exception of those who lost members of their family to the virus, as per June 2020 the main impact of the pandemic derives mainly from the lockdown and mobility restrictions imposed by national/local governments, and the consequence that the subsequent loss of income and purchasing power has on people’s food security, in particular the poor.</w:t>
      </w:r>
    </w:p>
    <w:bookmarkEnd w:id="43"/>
    <w:bookmarkStart w:id="44" w:name="method-4"/>
    <w:p>
      <w:pPr>
        <w:pStyle w:val="Heading4"/>
      </w:pPr>
      <w:r>
        <w:t xml:space="preserve">Method</w:t>
      </w:r>
      <w:r>
        <w:br/>
      </w:r>
    </w:p>
    <w:bookmarkEnd w:id="44"/>
    <w:bookmarkStart w:id="45" w:name="conclusion-4"/>
    <w:p>
      <w:pPr>
        <w:pStyle w:val="Heading4"/>
      </w:pPr>
      <w:r>
        <w:t xml:space="preserve">Conclusion</w:t>
      </w:r>
      <w:r>
        <w:br/>
      </w:r>
    </w:p>
    <w:bookmarkEnd w:id="45"/>
    <w:bookmarkEnd w:id="46"/>
    <w:bookmarkStart w:id="52" w:name="mallory2021"/>
    <w:p>
      <w:pPr>
        <w:pStyle w:val="Heading2"/>
      </w:pPr>
      <w:r>
        <w:t xml:space="preserve">Mallory (2021)</w:t>
      </w:r>
    </w:p>
    <w:bookmarkStart w:id="47" w:name="point-of-analysis-5"/>
    <w:p>
      <w:pPr>
        <w:pStyle w:val="Heading4"/>
      </w:pPr>
      <w:r>
        <w:t xml:space="preserve">Point of analysis</w:t>
      </w:r>
      <w:r>
        <w:br/>
      </w:r>
    </w:p>
    <w:p>
      <w:pPr>
        <w:numPr>
          <w:ilvl w:val="0"/>
          <w:numId w:val="1008"/>
        </w:numPr>
        <w:pStyle w:val="Compact"/>
      </w:pPr>
      <w:r>
        <w:t xml:space="preserve">What the virus did to patterns of US and BRazilian exports of major commodities during the first surge of the virus during April and May, 2020.</w:t>
      </w:r>
    </w:p>
    <w:p>
      <w:pPr>
        <w:numPr>
          <w:ilvl w:val="1"/>
          <w:numId w:val="1009"/>
        </w:numPr>
        <w:pStyle w:val="Compact"/>
      </w:pPr>
      <w:r>
        <w:t xml:space="preserve">detailed comparison of how US exports of soybeans, corn, beef and pork and poultry in the first 8 months of 2020 compared to the previous seven years.</w:t>
      </w:r>
    </w:p>
    <w:p>
      <w:pPr>
        <w:numPr>
          <w:ilvl w:val="0"/>
          <w:numId w:val="1008"/>
        </w:numPr>
        <w:pStyle w:val="Compact"/>
      </w:pPr>
      <w:r>
        <w:t xml:space="preserve">And also speculate on what may happen during the beginning of North American winter in late 2020</w:t>
      </w:r>
    </w:p>
    <w:bookmarkEnd w:id="47"/>
    <w:bookmarkStart w:id="48" w:name="data-5"/>
    <w:p>
      <w:pPr>
        <w:pStyle w:val="Heading4"/>
      </w:pPr>
      <w:r>
        <w:t xml:space="preserve">Data</w:t>
      </w:r>
      <w:r>
        <w:br/>
      </w:r>
    </w:p>
    <w:p>
      <w:pPr>
        <w:numPr>
          <w:ilvl w:val="0"/>
          <w:numId w:val="1010"/>
        </w:numPr>
        <w:pStyle w:val="Compact"/>
      </w:pPr>
      <w:r>
        <w:t xml:space="preserve">for grains: US export data from USDA AMS Federal Grain Inspection Service</w:t>
      </w:r>
    </w:p>
    <w:p>
      <w:pPr>
        <w:numPr>
          <w:ilvl w:val="0"/>
          <w:numId w:val="1010"/>
        </w:numPr>
        <w:pStyle w:val="Compact"/>
      </w:pPr>
      <w:r>
        <w:t xml:space="preserve">for meat:</w:t>
      </w:r>
    </w:p>
    <w:p>
      <w:pPr>
        <w:numPr>
          <w:ilvl w:val="1"/>
          <w:numId w:val="1011"/>
        </w:numPr>
        <w:pStyle w:val="Compact"/>
      </w:pPr>
      <w:r>
        <w:t xml:space="preserve">NASS QuickStats and</w:t>
      </w:r>
    </w:p>
    <w:p>
      <w:pPr>
        <w:numPr>
          <w:ilvl w:val="1"/>
          <w:numId w:val="1011"/>
        </w:numPr>
        <w:pStyle w:val="Compact"/>
      </w:pPr>
      <w:r>
        <w:t xml:space="preserve">USDA ERS Livestock and Meat Trade Data</w:t>
      </w:r>
    </w:p>
    <w:bookmarkEnd w:id="48"/>
    <w:bookmarkStart w:id="49" w:name="findings-2"/>
    <w:p>
      <w:pPr>
        <w:pStyle w:val="Heading4"/>
      </w:pPr>
      <w:r>
        <w:t xml:space="preserve">Findings</w:t>
      </w:r>
      <w:r>
        <w:br/>
      </w:r>
    </w:p>
    <w:p>
      <w:pPr>
        <w:pStyle w:val="FirstParagraph"/>
      </w:pPr>
      <w:r>
        <w:t xml:space="preserve">Grain, oil seed and poultry export shipments have been relatively unaffected but beef and pork export shipments experiences significant reductions with Brazil filling the shortfall in both cases.</w:t>
      </w:r>
    </w:p>
    <w:bookmarkEnd w:id="49"/>
    <w:bookmarkStart w:id="50" w:name="method-5"/>
    <w:p>
      <w:pPr>
        <w:pStyle w:val="Heading4"/>
      </w:pPr>
      <w:r>
        <w:t xml:space="preserve">Method</w:t>
      </w:r>
      <w:r>
        <w:br/>
      </w:r>
    </w:p>
    <w:p>
      <w:pPr>
        <w:pStyle w:val="FirstParagraph"/>
      </w:pPr>
      <w:r>
        <w:t xml:space="preserve">Data comparison, descriptive statistics, speculation</w:t>
      </w:r>
    </w:p>
    <w:bookmarkEnd w:id="50"/>
    <w:bookmarkStart w:id="51" w:name="conclusion-5"/>
    <w:p>
      <w:pPr>
        <w:pStyle w:val="Heading4"/>
      </w:pPr>
      <w:r>
        <w:t xml:space="preserve">Conclusion</w:t>
      </w:r>
      <w:r>
        <w:br/>
      </w:r>
    </w:p>
    <w:p>
      <w:pPr>
        <w:pStyle w:val="FirstParagraph"/>
      </w:pPr>
      <w:r>
        <w:t xml:space="preserve">The crisis’ necessary remedies do tremendous harm to the economy. Meat supply chains are especially vulnerable and disruptions to processing capacity harms farmers, processors, consumers and</w:t>
      </w:r>
      <w:r>
        <w:t xml:space="preserve"> </w:t>
      </w:r>
      <w:r>
        <w:rPr>
          <w:iCs/>
          <w:i/>
        </w:rPr>
        <w:t xml:space="preserve">our</w:t>
      </w:r>
      <w:r>
        <w:t xml:space="preserve"> </w:t>
      </w:r>
      <w:r>
        <w:t xml:space="preserve">trading partners</w:t>
      </w:r>
    </w:p>
    <w:bookmarkEnd w:id="51"/>
    <w:bookmarkEnd w:id="52"/>
    <w:bookmarkStart w:id="59" w:name="olivia2020"/>
    <w:p>
      <w:pPr>
        <w:pStyle w:val="Heading2"/>
      </w:pPr>
      <w:r>
        <w:t xml:space="preserve">Olivia, Gibson, and Nasrudin (2020)</w:t>
      </w:r>
    </w:p>
    <w:bookmarkStart w:id="53" w:name="point-of-analysis-6"/>
    <w:p>
      <w:pPr>
        <w:pStyle w:val="Heading4"/>
      </w:pPr>
      <w:r>
        <w:t xml:space="preserve">Point of analysis</w:t>
      </w:r>
      <w:r>
        <w:br/>
      </w:r>
    </w:p>
    <w:p>
      <w:pPr>
        <w:numPr>
          <w:ilvl w:val="0"/>
          <w:numId w:val="1012"/>
        </w:numPr>
        <w:pStyle w:val="Compact"/>
      </w:pPr>
      <w:r>
        <w:t xml:space="preserve">International dimensions of the Covid-19 crisis</w:t>
      </w:r>
    </w:p>
    <w:p>
      <w:pPr>
        <w:numPr>
          <w:ilvl w:val="1"/>
          <w:numId w:val="1013"/>
        </w:numPr>
        <w:pStyle w:val="Compact"/>
      </w:pPr>
      <w:r>
        <w:t xml:space="preserve">focus on Covid in Indonesia</w:t>
      </w:r>
    </w:p>
    <w:p>
      <w:pPr>
        <w:numPr>
          <w:ilvl w:val="0"/>
          <w:numId w:val="1012"/>
        </w:numPr>
        <w:pStyle w:val="Compact"/>
      </w:pPr>
      <w:r>
        <w:t xml:space="preserve">Focus on economy</w:t>
      </w:r>
    </w:p>
    <w:p>
      <w:pPr>
        <w:numPr>
          <w:ilvl w:val="1"/>
          <w:numId w:val="1014"/>
        </w:numPr>
        <w:pStyle w:val="Compact"/>
      </w:pPr>
      <w:r>
        <w:t xml:space="preserve">actual and projected impacts on growth</w:t>
      </w:r>
    </w:p>
    <w:p>
      <w:pPr>
        <w:numPr>
          <w:ilvl w:val="1"/>
          <w:numId w:val="1014"/>
        </w:numPr>
        <w:pStyle w:val="Compact"/>
      </w:pPr>
      <w:r>
        <w:t xml:space="preserve">macroeconomic stability</w:t>
      </w:r>
    </w:p>
    <w:p>
      <w:pPr>
        <w:numPr>
          <w:ilvl w:val="1"/>
          <w:numId w:val="1014"/>
        </w:numPr>
        <w:pStyle w:val="Compact"/>
      </w:pPr>
      <w:r>
        <w:t xml:space="preserve">international interactions</w:t>
      </w:r>
    </w:p>
    <w:p>
      <w:pPr>
        <w:numPr>
          <w:ilvl w:val="1"/>
          <w:numId w:val="1014"/>
        </w:numPr>
        <w:pStyle w:val="Compact"/>
      </w:pPr>
      <w:r>
        <w:t xml:space="preserve">government’s policy responses</w:t>
      </w:r>
    </w:p>
    <w:p>
      <w:pPr>
        <w:numPr>
          <w:ilvl w:val="0"/>
          <w:numId w:val="1012"/>
        </w:numPr>
        <w:pStyle w:val="Compact"/>
      </w:pPr>
      <w:r>
        <w:t xml:space="preserve">Social impacts and protection and poverty</w:t>
      </w:r>
    </w:p>
    <w:p>
      <w:pPr>
        <w:numPr>
          <w:ilvl w:val="0"/>
          <w:numId w:val="1012"/>
        </w:numPr>
        <w:pStyle w:val="Compact"/>
      </w:pPr>
      <w:r>
        <w:t xml:space="preserve">Potential long-term implications</w:t>
      </w:r>
    </w:p>
    <w:bookmarkEnd w:id="53"/>
    <w:bookmarkStart w:id="54" w:name="data-6"/>
    <w:p>
      <w:pPr>
        <w:pStyle w:val="Heading4"/>
      </w:pPr>
      <w:r>
        <w:t xml:space="preserve">Data</w:t>
      </w:r>
      <w:r>
        <w:br/>
      </w:r>
    </w:p>
    <w:p>
      <w:pPr>
        <w:numPr>
          <w:ilvl w:val="0"/>
          <w:numId w:val="1015"/>
        </w:numPr>
        <w:pStyle w:val="Compact"/>
      </w:pPr>
      <w:r>
        <w:t xml:space="preserve">Mostly descriptive statistics and different national and international data sources, e.g.:</w:t>
      </w:r>
    </w:p>
    <w:p>
      <w:pPr>
        <w:numPr>
          <w:ilvl w:val="1"/>
          <w:numId w:val="1016"/>
        </w:numPr>
        <w:pStyle w:val="Compact"/>
      </w:pPr>
      <w:r>
        <w:t xml:space="preserve">IMF</w:t>
      </w:r>
    </w:p>
    <w:p>
      <w:pPr>
        <w:numPr>
          <w:ilvl w:val="1"/>
          <w:numId w:val="1016"/>
        </w:numPr>
        <w:pStyle w:val="Compact"/>
      </w:pPr>
      <w:r>
        <w:t xml:space="preserve">Covid-19 task force</w:t>
      </w:r>
    </w:p>
    <w:p>
      <w:pPr>
        <w:numPr>
          <w:ilvl w:val="1"/>
          <w:numId w:val="1016"/>
        </w:numPr>
        <w:pStyle w:val="Compact"/>
      </w:pPr>
      <w:r>
        <w:t xml:space="preserve">WB data</w:t>
      </w:r>
    </w:p>
    <w:p>
      <w:pPr>
        <w:numPr>
          <w:ilvl w:val="1"/>
          <w:numId w:val="1016"/>
        </w:numPr>
        <w:pStyle w:val="Compact"/>
      </w:pPr>
      <w:r>
        <w:t xml:space="preserve">BPS through CEIC</w:t>
      </w:r>
    </w:p>
    <w:bookmarkEnd w:id="54"/>
    <w:bookmarkStart w:id="55" w:name="findings-3"/>
    <w:p>
      <w:pPr>
        <w:pStyle w:val="Heading4"/>
      </w:pPr>
      <w:r>
        <w:t xml:space="preserve">Findings</w:t>
      </w:r>
      <w:r>
        <w:br/>
      </w:r>
    </w:p>
    <w:p>
      <w:pPr>
        <w:numPr>
          <w:ilvl w:val="0"/>
          <w:numId w:val="1017"/>
        </w:numPr>
        <w:pStyle w:val="Compact"/>
      </w:pPr>
      <w:r>
        <w:t xml:space="preserve">“</w:t>
      </w:r>
      <w:r>
        <w:t xml:space="preserve">at the time of writing, Covid-19 had not been tamed in Indonesia my any means.</w:t>
      </w:r>
      <w:r>
        <w:t xml:space="preserve">”</w:t>
      </w:r>
    </w:p>
    <w:p>
      <w:pPr>
        <w:numPr>
          <w:ilvl w:val="0"/>
          <w:numId w:val="1017"/>
        </w:numPr>
        <w:pStyle w:val="Compact"/>
      </w:pPr>
      <w:r>
        <w:t xml:space="preserve">Poverty impacts remain uncertain but may be less severe than some other impacts</w:t>
      </w:r>
    </w:p>
    <w:p>
      <w:pPr>
        <w:numPr>
          <w:ilvl w:val="0"/>
          <w:numId w:val="1017"/>
        </w:numPr>
        <w:pStyle w:val="Compact"/>
      </w:pPr>
      <w:r>
        <w:t xml:space="preserve">Informal workers can be seriously hit by the crisis and its consequences such as social distancing measures and lockdowns</w:t>
      </w:r>
    </w:p>
    <w:bookmarkEnd w:id="55"/>
    <w:bookmarkStart w:id="56" w:name="method-6"/>
    <w:p>
      <w:pPr>
        <w:pStyle w:val="Heading4"/>
      </w:pPr>
      <w:r>
        <w:t xml:space="preserve">Method</w:t>
      </w:r>
      <w:r>
        <w:br/>
      </w:r>
    </w:p>
    <w:bookmarkEnd w:id="56"/>
    <w:bookmarkStart w:id="58" w:name="conclusion-6"/>
    <w:p>
      <w:pPr>
        <w:pStyle w:val="Heading4"/>
      </w:pPr>
      <w:r>
        <w:t xml:space="preserve">Conclusion</w:t>
      </w:r>
      <w:r>
        <w:br/>
      </w:r>
    </w:p>
    <w:p>
      <w:pPr>
        <w:numPr>
          <w:ilvl w:val="0"/>
          <w:numId w:val="1018"/>
        </w:numPr>
        <w:pStyle w:val="Compact"/>
      </w:pPr>
      <w:r>
        <w:t xml:space="preserve">The poverty impacts of the Covid-19 crisis (as of June, 2020) remain unvertain but may be less severe than some other impacts</w:t>
      </w:r>
    </w:p>
    <w:p>
      <w:pPr>
        <w:numPr>
          <w:ilvl w:val="0"/>
          <w:numId w:val="1018"/>
        </w:numPr>
        <w:pStyle w:val="Compact"/>
      </w:pPr>
      <w:r>
        <w:t xml:space="preserve">Well-design stimulus measures will help once the pandemic has been brought under control</w:t>
      </w:r>
    </w:p>
    <w:bookmarkStart w:id="57" w:name="potential-long-term-implications"/>
    <w:p>
      <w:pPr>
        <w:pStyle w:val="Heading5"/>
      </w:pPr>
      <w:r>
        <w:t xml:space="preserve">Potential long-term implications:</w:t>
      </w:r>
    </w:p>
    <w:p>
      <w:pPr>
        <w:numPr>
          <w:ilvl w:val="0"/>
          <w:numId w:val="1019"/>
        </w:numPr>
        <w:pStyle w:val="Compact"/>
      </w:pPr>
      <w:r>
        <w:t xml:space="preserve">negative nutrition outcomes (stunting, wasting)</w:t>
      </w:r>
    </w:p>
    <w:p>
      <w:pPr>
        <w:numPr>
          <w:ilvl w:val="0"/>
          <w:numId w:val="1019"/>
        </w:numPr>
        <w:pStyle w:val="Compact"/>
      </w:pPr>
      <w:r>
        <w:t xml:space="preserve">Jordà, Singh and Taylor (2020) find that a shift to precautionary savings by households and individuals is typical during pandemics</w:t>
      </w:r>
    </w:p>
    <w:p>
      <w:pPr>
        <w:numPr>
          <w:ilvl w:val="0"/>
          <w:numId w:val="1019"/>
        </w:numPr>
        <w:pStyle w:val="Compact"/>
      </w:pPr>
      <w:r>
        <w:t xml:space="preserve">Increased risk aversion will further depress the equilibrium interest rate. Banks will have to hold the excess liquidity caused by a lack of viable projects due to expectations that repressed economic activity will continue. –&gt; liquidity trap.</w:t>
      </w:r>
    </w:p>
    <w:p>
      <w:pPr>
        <w:numPr>
          <w:ilvl w:val="1"/>
          <w:numId w:val="1020"/>
        </w:numPr>
        <w:pStyle w:val="Compact"/>
      </w:pPr>
      <w:r>
        <w:t xml:space="preserve">The massive increases in the supply of money are met with only limited use of it by households and businesses (Stiglitz and Rashid 2020)</w:t>
      </w:r>
    </w:p>
    <w:bookmarkEnd w:id="57"/>
    <w:bookmarkEnd w:id="58"/>
    <w:bookmarkEnd w:id="59"/>
    <w:bookmarkStart w:id="65" w:name="obayelu2021"/>
    <w:p>
      <w:pPr>
        <w:pStyle w:val="Heading2"/>
      </w:pPr>
      <w:r>
        <w:t xml:space="preserve">Obayelu et al. (2021)</w:t>
      </w:r>
    </w:p>
    <w:bookmarkStart w:id="60" w:name="point-of-analysis-7"/>
    <w:p>
      <w:pPr>
        <w:pStyle w:val="Heading4"/>
      </w:pPr>
      <w:r>
        <w:t xml:space="preserve">Point of analysis</w:t>
      </w:r>
      <w:r>
        <w:br/>
      </w:r>
    </w:p>
    <w:p>
      <w:pPr>
        <w:pStyle w:val="FirstParagraph"/>
      </w:pPr>
      <w:r>
        <w:t xml:space="preserve">The study</w:t>
      </w:r>
    </w:p>
    <w:p>
      <w:pPr>
        <w:numPr>
          <w:ilvl w:val="0"/>
          <w:numId w:val="1021"/>
        </w:numPr>
        <w:pStyle w:val="Compact"/>
      </w:pPr>
      <w:r>
        <w:t xml:space="preserve">assesses the trend of COVID-19 in Nigeria between the end of February 2020 till the beginning of January 2021;</w:t>
      </w:r>
    </w:p>
    <w:p>
      <w:pPr>
        <w:numPr>
          <w:ilvl w:val="0"/>
          <w:numId w:val="1021"/>
        </w:numPr>
        <w:pStyle w:val="Compact"/>
      </w:pPr>
      <w:r>
        <w:t xml:space="preserve">examines the immediate short-term and potential long-term effects of COVID-19 outbreak on the socioeconomics, agricultural systems, security of food and dietary intake in Nigeria;</w:t>
      </w:r>
    </w:p>
    <w:p>
      <w:pPr>
        <w:numPr>
          <w:ilvl w:val="0"/>
          <w:numId w:val="1021"/>
        </w:numPr>
        <w:pStyle w:val="Compact"/>
      </w:pPr>
      <w:r>
        <w:t xml:space="preserve">assesses the various actions taken against the COVID-19 in Nigeria to prevent deteriorating socioeconomic, food security and dietary intake conditions of people in Nigeria; and</w:t>
      </w:r>
    </w:p>
    <w:p>
      <w:pPr>
        <w:numPr>
          <w:ilvl w:val="0"/>
          <w:numId w:val="1021"/>
        </w:numPr>
        <w:pStyle w:val="Compact"/>
      </w:pPr>
      <w:r>
        <w:t xml:space="preserve">suggests the potential mitigation strategies to combat the effects of COVID-19 on agriculture, food security and nutrition in Nigeria.</w:t>
      </w:r>
    </w:p>
    <w:p>
      <w:pPr>
        <w:numPr>
          <w:ilvl w:val="0"/>
          <w:numId w:val="1021"/>
        </w:numPr>
        <w:pStyle w:val="Compact"/>
      </w:pPr>
      <m:oMath>
        <m:r>
          <m:t>N</m:t>
        </m:r>
        <m:r>
          <m:rPr>
            <m:sty m:val="p"/>
          </m:rPr>
          <m:t>=</m:t>
        </m:r>
        <m:r>
          <m:t>72</m:t>
        </m:r>
      </m:oMath>
      <w:r>
        <w:t xml:space="preserve"> </w:t>
      </w:r>
      <w:r>
        <w:t xml:space="preserve">respondents</w:t>
      </w:r>
    </w:p>
    <w:bookmarkEnd w:id="60"/>
    <w:bookmarkStart w:id="61" w:name="data-7"/>
    <w:p>
      <w:pPr>
        <w:pStyle w:val="Heading4"/>
      </w:pPr>
      <w:r>
        <w:t xml:space="preserve">Data</w:t>
      </w:r>
      <w:r>
        <w:br/>
      </w:r>
    </w:p>
    <w:p>
      <w:pPr>
        <w:numPr>
          <w:ilvl w:val="0"/>
          <w:numId w:val="1022"/>
        </w:numPr>
        <w:pStyle w:val="Compact"/>
      </w:pPr>
      <w:r>
        <w:t xml:space="preserve">Mainly based on "personal observations, public opinion through mobile telephone survey of farm households</w:t>
      </w:r>
      <w:r>
        <w:t xml:space="preserve"> </w:t>
      </w:r>
      <w:r>
        <w:t xml:space="preserve">residing in Lagos and Ibadan in Lagos and Oyo States, Nigeria, respectively, but have their farms located outsides their places of residence.</w:t>
      </w:r>
    </w:p>
    <w:p>
      <w:pPr>
        <w:numPr>
          <w:ilvl w:val="0"/>
          <w:numId w:val="1022"/>
        </w:numPr>
        <w:pStyle w:val="Compact"/>
      </w:pPr>
      <w:r>
        <w:t xml:space="preserve">The study conducts a rapid assessment survey that comprised of a structured questionnaire package</w:t>
      </w:r>
    </w:p>
    <w:bookmarkEnd w:id="61"/>
    <w:bookmarkStart w:id="62" w:name="findings-4"/>
    <w:p>
      <w:pPr>
        <w:pStyle w:val="Heading4"/>
      </w:pPr>
      <w:r>
        <w:t xml:space="preserve">Findings</w:t>
      </w:r>
      <w:r>
        <w:br/>
      </w:r>
    </w:p>
    <w:p>
      <w:pPr>
        <w:numPr>
          <w:ilvl w:val="0"/>
          <w:numId w:val="1023"/>
        </w:numPr>
        <w:pStyle w:val="Compact"/>
      </w:pPr>
      <w:r>
        <w:t xml:space="preserve">About 65% households interviewed was found to rationed food they eat</w:t>
      </w:r>
    </w:p>
    <w:p>
      <w:pPr>
        <w:numPr>
          <w:ilvl w:val="0"/>
          <w:numId w:val="1023"/>
        </w:numPr>
        <w:pStyle w:val="Compact"/>
      </w:pPr>
      <w:r>
        <w:t xml:space="preserve">a COVID-19 impact survey conducted by the National Bureau of Statistics (NBS) shows that a 51% of households reduced their food consumption to cope with the shocks of the pandemic (NBS 2020)</w:t>
      </w:r>
    </w:p>
    <w:bookmarkEnd w:id="62"/>
    <w:bookmarkStart w:id="63" w:name="method-7"/>
    <w:p>
      <w:pPr>
        <w:pStyle w:val="Heading4"/>
      </w:pPr>
      <w:r>
        <w:t xml:space="preserve">Method</w:t>
      </w:r>
      <w:r>
        <w:br/>
      </w:r>
    </w:p>
    <w:bookmarkEnd w:id="63"/>
    <w:bookmarkStart w:id="64" w:name="conclusion-7"/>
    <w:p>
      <w:pPr>
        <w:pStyle w:val="Heading4"/>
      </w:pPr>
      <w:r>
        <w:t xml:space="preserve">Conclusion</w:t>
      </w:r>
      <w:r>
        <w:br/>
      </w:r>
    </w:p>
    <w:p>
      <w:pPr>
        <w:pStyle w:val="FirstParagraph"/>
      </w:pPr>
      <w:r>
        <w:t xml:space="preserve">The shock of COVID-19 is not only a demand management problem but</w:t>
      </w:r>
      <w:r>
        <w:t xml:space="preserve"> </w:t>
      </w:r>
      <w:r>
        <w:t xml:space="preserve">a multidimensional crisis requiring monetary, fiscal, and health policy responses with global</w:t>
      </w:r>
      <w:r>
        <w:t xml:space="preserve"> </w:t>
      </w:r>
      <w:r>
        <w:t xml:space="preserve">collaboration and cooperation.</w:t>
      </w:r>
    </w:p>
    <w:bookmarkEnd w:id="64"/>
    <w:bookmarkEnd w:id="65"/>
    <w:bookmarkStart w:id="71" w:name="goswami2021"/>
    <w:p>
      <w:pPr>
        <w:pStyle w:val="Heading2"/>
      </w:pPr>
      <w:r>
        <w:t xml:space="preserve">Goswami et al. (2021)</w:t>
      </w:r>
    </w:p>
    <w:bookmarkStart w:id="66" w:name="point-of-analysis-8"/>
    <w:p>
      <w:pPr>
        <w:pStyle w:val="Heading4"/>
      </w:pPr>
      <w:r>
        <w:t xml:space="preserve">Point of analysis</w:t>
      </w:r>
      <w:r>
        <w:br/>
      </w:r>
    </w:p>
    <w:p>
      <w:pPr>
        <w:pStyle w:val="FirstParagraph"/>
      </w:pPr>
      <w:r>
        <w:t xml:space="preserve">The study explores the multiple pathways of present and future impact created by the pandemic and</w:t>
      </w:r>
      <w:r>
        <w:t xml:space="preserve"> </w:t>
      </w:r>
      <w:r>
        <w:t xml:space="preserve">“</w:t>
      </w:r>
      <w:r>
        <w:t xml:space="preserve">Amphan</w:t>
      </w:r>
      <w:r>
        <w:t xml:space="preserve">”</w:t>
      </w:r>
      <w:r>
        <w:t xml:space="preserve"> </w:t>
      </w:r>
      <w:r>
        <w:t xml:space="preserve">cyclonic storm on smallholder agricultural systems. Also, the study anticipates the behavior of the systems elements under different realistic scenarios of intervention. It also explored the severity and multi-faceted impacts of the pandemic on vulnerable smallholder agricultural production systems through in-depth interactions with key players at the micro-level.</w:t>
      </w:r>
    </w:p>
    <w:bookmarkEnd w:id="66"/>
    <w:bookmarkStart w:id="67" w:name="data-8"/>
    <w:p>
      <w:pPr>
        <w:pStyle w:val="Heading4"/>
      </w:pPr>
      <w:r>
        <w:t xml:space="preserve">Data</w:t>
      </w:r>
      <w:r>
        <w:br/>
      </w:r>
    </w:p>
    <w:bookmarkEnd w:id="67"/>
    <w:bookmarkStart w:id="68" w:name="findings-5"/>
    <w:p>
      <w:pPr>
        <w:pStyle w:val="Heading4"/>
      </w:pPr>
      <w:r>
        <w:t xml:space="preserve">Findings</w:t>
      </w:r>
      <w:r>
        <w:br/>
      </w:r>
    </w:p>
    <w:bookmarkEnd w:id="68"/>
    <w:bookmarkStart w:id="69" w:name="methods"/>
    <w:p>
      <w:pPr>
        <w:pStyle w:val="Heading4"/>
      </w:pPr>
      <w:r>
        <w:t xml:space="preserve">Methods</w:t>
      </w:r>
      <w:r>
        <w:br/>
      </w:r>
    </w:p>
    <w:p>
      <w:pPr>
        <w:numPr>
          <w:ilvl w:val="0"/>
          <w:numId w:val="1024"/>
        </w:numPr>
        <w:pStyle w:val="Compact"/>
      </w:pPr>
      <w:r>
        <w:t xml:space="preserve">Qualitative exploration</w:t>
      </w:r>
    </w:p>
    <w:p>
      <w:pPr>
        <w:numPr>
          <w:ilvl w:val="1"/>
          <w:numId w:val="1025"/>
        </w:numPr>
        <w:pStyle w:val="Compact"/>
      </w:pPr>
      <w:r>
        <w:t xml:space="preserve">consultation with the key informants with whom the authors had been working for several years.</w:t>
      </w:r>
    </w:p>
    <w:p>
      <w:pPr>
        <w:numPr>
          <w:ilvl w:val="1"/>
          <w:numId w:val="1025"/>
        </w:numPr>
        <w:pStyle w:val="Compact"/>
      </w:pPr>
      <w:r>
        <w:t xml:space="preserve">conducted individual interviews with farmers by respecting the pandemic’s rule of social distancing, especially during the lockdown.</w:t>
      </w:r>
    </w:p>
    <w:p>
      <w:pPr>
        <w:numPr>
          <w:ilvl w:val="0"/>
          <w:numId w:val="1024"/>
        </w:numPr>
        <w:pStyle w:val="Compact"/>
      </w:pPr>
      <w:r>
        <w:t xml:space="preserve">Fuzzy cognitive mapping (FCM)</w:t>
      </w:r>
    </w:p>
    <w:p>
      <w:pPr>
        <w:numPr>
          <w:ilvl w:val="1"/>
          <w:numId w:val="1026"/>
        </w:numPr>
        <w:pStyle w:val="Compact"/>
      </w:pPr>
      <w:r>
        <w:t xml:space="preserve">FCM is a</w:t>
      </w:r>
      <w:r>
        <w:t xml:space="preserve"> </w:t>
      </w:r>
      <w:r>
        <w:t xml:space="preserve">‘</w:t>
      </w:r>
      <w:r>
        <w:t xml:space="preserve">mental modelling</w:t>
      </w:r>
      <w:r>
        <w:t xml:space="preserve">’</w:t>
      </w:r>
      <w:r>
        <w:t xml:space="preserve"> </w:t>
      </w:r>
      <w:r>
        <w:t xml:space="preserve">approach to create a map of cognition for individuals concerning a given problem space</w:t>
      </w:r>
    </w:p>
    <w:p>
      <w:pPr>
        <w:numPr>
          <w:ilvl w:val="1"/>
          <w:numId w:val="1026"/>
        </w:numPr>
        <w:pStyle w:val="Compact"/>
      </w:pPr>
      <w:r>
        <w:t xml:space="preserve">A mental model is an internally held representation of external reality by an individual (Jones et al., 2011) and</w:t>
      </w:r>
      <w:r>
        <w:t xml:space="preserve"> </w:t>
      </w:r>
      <w:r>
        <w:t xml:space="preserve">may embody their reasoning about the structure and functioning of complex systems.</w:t>
      </w:r>
    </w:p>
    <w:p>
      <w:pPr>
        <w:numPr>
          <w:ilvl w:val="1"/>
          <w:numId w:val="1026"/>
        </w:numPr>
        <w:pStyle w:val="Compact"/>
      </w:pPr>
      <w:r>
        <w:t xml:space="preserve">multi-stakeholder workshops (for FCM), were not possible during the lockdown</w:t>
      </w:r>
    </w:p>
    <w:bookmarkEnd w:id="69"/>
    <w:bookmarkStart w:id="70" w:name="conclusion-8"/>
    <w:p>
      <w:pPr>
        <w:pStyle w:val="Heading4"/>
      </w:pPr>
      <w:r>
        <w:t xml:space="preserve">Conclusion</w:t>
      </w:r>
      <w:r>
        <w:br/>
      </w:r>
    </w:p>
    <w:bookmarkEnd w:id="70"/>
    <w:bookmarkEnd w:id="71"/>
    <w:bookmarkStart w:id="77" w:name="suryahadi2020"/>
    <w:p>
      <w:pPr>
        <w:pStyle w:val="Heading2"/>
      </w:pPr>
      <w:r>
        <w:t xml:space="preserve">Suryahadi, Al Izzati, and Suryadarma (2020)</w:t>
      </w:r>
    </w:p>
    <w:bookmarkStart w:id="72" w:name="point-of-analysis-9"/>
    <w:p>
      <w:pPr>
        <w:pStyle w:val="Heading4"/>
      </w:pPr>
      <w:r>
        <w:t xml:space="preserve">Point of analysis</w:t>
      </w:r>
      <w:r>
        <w:br/>
      </w:r>
    </w:p>
    <w:p>
      <w:pPr>
        <w:pStyle w:val="FirstParagraph"/>
      </w:pPr>
      <w:r>
        <w:t xml:space="preserve">Estimate the impact of Covid-19 on poverty in Indonesia</w:t>
      </w:r>
    </w:p>
    <w:bookmarkEnd w:id="72"/>
    <w:bookmarkStart w:id="73" w:name="data-9"/>
    <w:p>
      <w:pPr>
        <w:pStyle w:val="Heading4"/>
      </w:pPr>
      <w:r>
        <w:t xml:space="preserve">Data</w:t>
      </w:r>
      <w:r>
        <w:br/>
      </w:r>
    </w:p>
    <w:p>
      <w:pPr>
        <w:numPr>
          <w:ilvl w:val="0"/>
          <w:numId w:val="1027"/>
        </w:numPr>
        <w:pStyle w:val="Compact"/>
      </w:pPr>
      <w:r>
        <w:t xml:space="preserve">Forecast is based on historical economic shocks in Indonesia.</w:t>
      </w:r>
    </w:p>
    <w:p>
      <w:pPr>
        <w:numPr>
          <w:ilvl w:val="1"/>
          <w:numId w:val="1028"/>
        </w:numPr>
        <w:pStyle w:val="Compact"/>
      </w:pPr>
      <w:r>
        <w:t xml:space="preserve">1997–98 Asian financial crisis.</w:t>
      </w:r>
    </w:p>
    <w:p>
      <w:pPr>
        <w:numPr>
          <w:ilvl w:val="1"/>
          <w:numId w:val="1028"/>
        </w:numPr>
        <w:pStyle w:val="Compact"/>
      </w:pPr>
      <w:r>
        <w:t xml:space="preserve">2005–06 large increases in the prices of fuel, especially kerosene</w:t>
      </w:r>
    </w:p>
    <w:p>
      <w:pPr>
        <w:numPr>
          <w:ilvl w:val="1"/>
          <w:numId w:val="1028"/>
        </w:numPr>
        <w:pStyle w:val="Compact"/>
      </w:pPr>
      <w:r>
        <w:t xml:space="preserve">rice price also increased</w:t>
      </w:r>
    </w:p>
    <w:bookmarkEnd w:id="73"/>
    <w:bookmarkStart w:id="74" w:name="findings-6"/>
    <w:p>
      <w:pPr>
        <w:pStyle w:val="Heading4"/>
      </w:pPr>
      <w:r>
        <w:t xml:space="preserve">Findings</w:t>
      </w:r>
      <w:r>
        <w:br/>
      </w:r>
    </w:p>
    <w:bookmarkEnd w:id="74"/>
    <w:bookmarkStart w:id="75" w:name="methods-1"/>
    <w:p>
      <w:pPr>
        <w:pStyle w:val="Heading4"/>
      </w:pPr>
      <w:r>
        <w:t xml:space="preserve">Methods</w:t>
      </w:r>
      <w:r>
        <w:br/>
      </w:r>
    </w:p>
    <w:p>
      <w:pPr>
        <w:numPr>
          <w:ilvl w:val="0"/>
          <w:numId w:val="1029"/>
        </w:numPr>
        <w:pStyle w:val="Compact"/>
      </w:pPr>
      <w:r>
        <w:t xml:space="preserve">Translation of the impact of Covid-19 on economic growth into impact on average per capita household expenditure</w:t>
      </w:r>
    </w:p>
    <w:p>
      <w:pPr>
        <w:numPr>
          <w:ilvl w:val="0"/>
          <w:numId w:val="1029"/>
        </w:numPr>
        <w:pStyle w:val="Compact"/>
      </w:pPr>
      <m:oMath>
        <m:r>
          <m:t>Δ</m:t>
        </m:r>
        <m:r>
          <m:t>l</m:t>
        </m:r>
        <m:r>
          <m:t>o</m:t>
        </m:r>
        <m:r>
          <m:t>g</m:t>
        </m:r>
        <m:r>
          <m:t>P</m:t>
        </m:r>
        <m:r>
          <m:t>C</m:t>
        </m:r>
        <m:sSub>
          <m:e>
            <m:r>
              <m:t>E</m:t>
            </m:r>
          </m:e>
          <m:sub>
            <m:r>
              <m:t>t</m:t>
            </m:r>
          </m:sub>
        </m:sSub>
        <m:r>
          <m:rPr>
            <m:sty m:val="p"/>
          </m:rPr>
          <m:t>=</m:t>
        </m:r>
        <m:r>
          <m:t>α</m:t>
        </m:r>
        <m:r>
          <m:rPr>
            <m:sty m:val="p"/>
          </m:rPr>
          <m:t>+</m:t>
        </m:r>
        <m:r>
          <m:t>β</m:t>
        </m:r>
        <m:r>
          <m:t>Δ</m:t>
        </m:r>
        <m:r>
          <m:t>g</m:t>
        </m:r>
        <m:r>
          <m:t>G</m:t>
        </m:r>
        <m:r>
          <m:t>D</m:t>
        </m:r>
        <m:sSub>
          <m:e>
            <m:r>
              <m:t>P</m:t>
            </m:r>
          </m:e>
          <m:sub>
            <m:r>
              <m:t>t</m:t>
            </m:r>
          </m:sub>
        </m:sSub>
        <m:r>
          <m:rPr>
            <m:sty m:val="p"/>
          </m:rPr>
          <m:t>+</m:t>
        </m:r>
        <m:r>
          <m:t>ϵ</m:t>
        </m:r>
      </m:oMath>
    </w:p>
    <w:p>
      <w:pPr>
        <w:numPr>
          <w:ilvl w:val="1"/>
          <w:numId w:val="1030"/>
        </w:numPr>
        <w:pStyle w:val="Compact"/>
      </w:pPr>
      <m:oMath>
        <m:r>
          <m:t>Δ</m:t>
        </m:r>
        <m:r>
          <m:t>l</m:t>
        </m:r>
        <m:r>
          <m:t>o</m:t>
        </m:r>
        <m:r>
          <m:t>g</m:t>
        </m:r>
        <m:r>
          <m:t>P</m:t>
        </m:r>
        <m:r>
          <m:t>C</m:t>
        </m:r>
        <m:r>
          <m:t>E</m:t>
        </m:r>
      </m:oMath>
      <w:r>
        <w:t xml:space="preserve"> </w:t>
      </w:r>
      <w:r>
        <w:t xml:space="preserve">is change in the logarithm of average per capita household expenditure,</w:t>
      </w:r>
    </w:p>
    <w:p>
      <w:pPr>
        <w:numPr>
          <w:ilvl w:val="1"/>
          <w:numId w:val="1030"/>
        </w:numPr>
        <w:pStyle w:val="Compact"/>
      </w:pPr>
      <m:oMath>
        <m:r>
          <m:t>Δ</m:t>
        </m:r>
        <m:r>
          <m:t>g</m:t>
        </m:r>
        <m:r>
          <m:t>G</m:t>
        </m:r>
        <m:r>
          <m:t>D</m:t>
        </m:r>
        <m:r>
          <m:t>P</m:t>
        </m:r>
      </m:oMath>
      <w:r>
        <w:t xml:space="preserve"> </w:t>
      </w:r>
      <w:r>
        <w:t xml:space="preserve">is change in the rate of economic growth,</w:t>
      </w:r>
    </w:p>
    <w:p>
      <w:pPr>
        <w:numPr>
          <w:ilvl w:val="1"/>
          <w:numId w:val="1030"/>
        </w:numPr>
        <w:pStyle w:val="Compact"/>
      </w:pPr>
      <m:oMath>
        <m:r>
          <m:t>β</m:t>
        </m:r>
      </m:oMath>
      <w:r>
        <w:t xml:space="preserve"> </w:t>
      </w:r>
      <w:r>
        <w:t xml:space="preserve">is the correlation parameter to be estimated</w:t>
      </w:r>
    </w:p>
    <w:p>
      <w:pPr>
        <w:numPr>
          <w:ilvl w:val="2"/>
          <w:numId w:val="1031"/>
        </w:numPr>
        <w:pStyle w:val="Compact"/>
      </w:pPr>
      <w:r>
        <w:t xml:space="preserve">The model can be estimated using time series data on economic growth and average per capita household expenditure</w:t>
      </w:r>
    </w:p>
    <w:bookmarkEnd w:id="75"/>
    <w:bookmarkStart w:id="76" w:name="conclusion-9"/>
    <w:p>
      <w:pPr>
        <w:pStyle w:val="Heading4"/>
      </w:pPr>
      <w:r>
        <w:t xml:space="preserve">Conclusion</w:t>
      </w:r>
      <w:r>
        <w:br/>
      </w:r>
    </w:p>
    <w:p>
      <w:pPr>
        <w:numPr>
          <w:ilvl w:val="0"/>
          <w:numId w:val="1032"/>
        </w:numPr>
        <w:pStyle w:val="Compact"/>
      </w:pPr>
      <w:r>
        <w:t xml:space="preserve">In contrast to the baseline projection of a 5% economic growth rate for 2020, various recent projections propose that Covid-19 will reduce Indonesia’s economic growth rate to between 4.2% and –3.5%.</w:t>
      </w:r>
    </w:p>
    <w:p>
      <w:pPr>
        <w:numPr>
          <w:ilvl w:val="0"/>
          <w:numId w:val="1032"/>
        </w:numPr>
        <w:pStyle w:val="Compact"/>
      </w:pPr>
      <w:r>
        <w:t xml:space="preserve">Best case scenario of Covid-19 impact (economic growth rate falls to 4.2%):</w:t>
      </w:r>
    </w:p>
    <w:p>
      <w:pPr>
        <w:numPr>
          <w:ilvl w:val="1"/>
          <w:numId w:val="1033"/>
        </w:numPr>
        <w:pStyle w:val="Compact"/>
      </w:pPr>
      <w:r>
        <w:t xml:space="preserve">poverty rate increases from 9.2% in September 2019 to 9.7% by the end of 2020.</w:t>
      </w:r>
    </w:p>
    <w:p>
      <w:pPr>
        <w:numPr>
          <w:ilvl w:val="1"/>
          <w:numId w:val="1033"/>
        </w:numPr>
        <w:pStyle w:val="Compact"/>
      </w:pPr>
      <w:r>
        <w:t xml:space="preserve">1.3 mio people more in poverty</w:t>
      </w:r>
    </w:p>
    <w:p>
      <w:pPr>
        <w:numPr>
          <w:ilvl w:val="0"/>
          <w:numId w:val="1032"/>
        </w:numPr>
        <w:pStyle w:val="Compact"/>
      </w:pPr>
      <w:r>
        <w:t xml:space="preserve">worst-case scenario (economic growth rate falls to -3.5%):</w:t>
      </w:r>
    </w:p>
    <w:p>
      <w:pPr>
        <w:numPr>
          <w:ilvl w:val="1"/>
          <w:numId w:val="1034"/>
        </w:numPr>
        <w:pStyle w:val="Compact"/>
      </w:pPr>
      <w:r>
        <w:t xml:space="preserve">poverty rate increases to 16.6%</w:t>
      </w:r>
    </w:p>
    <w:p>
      <w:pPr>
        <w:numPr>
          <w:ilvl w:val="1"/>
          <w:numId w:val="1034"/>
        </w:numPr>
        <w:pStyle w:val="Compact"/>
      </w:pPr>
      <w:r>
        <w:t xml:space="preserve">19.7 million more people become poor</w:t>
      </w:r>
    </w:p>
    <w:bookmarkEnd w:id="76"/>
    <w:bookmarkEnd w:id="77"/>
    <w:bookmarkStart w:id="99" w:name="reference-list"/>
    <w:p>
      <w:pPr>
        <w:pStyle w:val="Heading2"/>
      </w:pPr>
      <w:r>
        <w:t xml:space="preserve">Reference list</w:t>
      </w:r>
    </w:p>
    <w:bookmarkStart w:id="98" w:name="refs"/>
    <w:bookmarkStart w:id="79" w:name="ref-Adewopo2021"/>
    <w:p>
      <w:pPr>
        <w:pStyle w:val="Bibliography"/>
      </w:pPr>
      <w:r>
        <w:t xml:space="preserve">Adewopo, Julius B., Gloria Solano-Hermosilla, Liesbeth Colen, and Fabio Micale. 2021.</w:t>
      </w:r>
      <w:r>
        <w:t xml:space="preserve"> </w:t>
      </w:r>
      <w:r>
        <w:t xml:space="preserve">“</w:t>
      </w:r>
      <w:r>
        <w:t xml:space="preserve">Using crowd-sourced data for real-time monitoring of food prices during the COVID-19 pandemic: Insights from a pilot project in northern Nigeria</w:t>
      </w:r>
      <w:r>
        <w:t xml:space="preserve">.”</w:t>
      </w:r>
      <w:r>
        <w:t xml:space="preserve"> </w:t>
      </w:r>
      <w:r>
        <w:rPr>
          <w:iCs/>
          <w:i/>
        </w:rPr>
        <w:t xml:space="preserve">Global Food Security</w:t>
      </w:r>
      <w:r>
        <w:t xml:space="preserve"> </w:t>
      </w:r>
      <w:r>
        <w:t xml:space="preserve">29: 100523.</w:t>
      </w:r>
      <w:r>
        <w:t xml:space="preserve"> </w:t>
      </w:r>
      <w:hyperlink r:id="rId78">
        <w:r>
          <w:rPr>
            <w:rStyle w:val="Hyperlink"/>
          </w:rPr>
          <w:t xml:space="preserve">https://doi.org/10.1016/j.gfs.2021.100523</w:t>
        </w:r>
      </w:hyperlink>
      <w:r>
        <w:t xml:space="preserve">.</w:t>
      </w:r>
    </w:p>
    <w:bookmarkEnd w:id="79"/>
    <w:bookmarkStart w:id="81" w:name="ref-Bene2020"/>
    <w:p>
      <w:pPr>
        <w:pStyle w:val="Bibliography"/>
      </w:pPr>
      <w:r>
        <w:t xml:space="preserve">Béné, Christophe. 2020.</w:t>
      </w:r>
      <w:r>
        <w:t xml:space="preserve"> </w:t>
      </w:r>
      <w:r>
        <w:t xml:space="preserve">“</w:t>
      </w:r>
      <w:r>
        <w:t xml:space="preserve">Resilience of local food systems and links to food security – A review of some important concepts in the context of COVID-19 and other shocks</w:t>
      </w:r>
      <w:r>
        <w:t xml:space="preserve">.”</w:t>
      </w:r>
      <w:r>
        <w:t xml:space="preserve"> </w:t>
      </w:r>
      <w:r>
        <w:rPr>
          <w:iCs/>
          <w:i/>
        </w:rPr>
        <w:t xml:space="preserve">Food Security</w:t>
      </w:r>
      <w:r>
        <w:t xml:space="preserve"> </w:t>
      </w:r>
      <w:r>
        <w:t xml:space="preserve">12 (4): 805–22.</w:t>
      </w:r>
      <w:r>
        <w:t xml:space="preserve"> </w:t>
      </w:r>
      <w:hyperlink r:id="rId80">
        <w:r>
          <w:rPr>
            <w:rStyle w:val="Hyperlink"/>
          </w:rPr>
          <w:t xml:space="preserve">https://doi.org/10.1007/s12571-020-01076-1</w:t>
        </w:r>
      </w:hyperlink>
      <w:r>
        <w:t xml:space="preserve">.</w:t>
      </w:r>
    </w:p>
    <w:bookmarkEnd w:id="81"/>
    <w:bookmarkStart w:id="83" w:name="ref-Chrisendo2020"/>
    <w:p>
      <w:pPr>
        <w:pStyle w:val="Bibliography"/>
      </w:pPr>
      <w:r>
        <w:t xml:space="preserve">Chrisendo, Daniel, Vijesh V. Krishna, Hermanto Siregar, and Matin Qaim. 2020.</w:t>
      </w:r>
      <w:r>
        <w:t xml:space="preserve"> </w:t>
      </w:r>
      <w:r>
        <w:t xml:space="preserve">“</w:t>
      </w:r>
      <w:r>
        <w:t xml:space="preserve">Land-use change, nutrition, and gender roles in Indonesian farm households</w:t>
      </w:r>
      <w:r>
        <w:t xml:space="preserve">.”</w:t>
      </w:r>
      <w:r>
        <w:t xml:space="preserve"> </w:t>
      </w:r>
      <w:r>
        <w:rPr>
          <w:iCs/>
          <w:i/>
        </w:rPr>
        <w:t xml:space="preserve">Forest Policy and Economics</w:t>
      </w:r>
      <w:r>
        <w:t xml:space="preserve"> </w:t>
      </w:r>
      <w:r>
        <w:t xml:space="preserve">118 (July): 102245.</w:t>
      </w:r>
      <w:r>
        <w:t xml:space="preserve"> </w:t>
      </w:r>
      <w:hyperlink r:id="rId82">
        <w:r>
          <w:rPr>
            <w:rStyle w:val="Hyperlink"/>
          </w:rPr>
          <w:t xml:space="preserve">https://doi.org/10.1016/j.forpol.2020.102245</w:t>
        </w:r>
      </w:hyperlink>
      <w:r>
        <w:t xml:space="preserve">.</w:t>
      </w:r>
    </w:p>
    <w:bookmarkEnd w:id="83"/>
    <w:bookmarkStart w:id="85" w:name="ref-Goswami2021"/>
    <w:p>
      <w:pPr>
        <w:pStyle w:val="Bibliography"/>
      </w:pPr>
      <w:r>
        <w:t xml:space="preserve">Goswami, Rupak, Kalyan Roy, Sudarshan Dutta, Krishnendu Ray, Sukamal Sarkar, Koushik Brahmachari, Manoj Kr Nanda, et al. 2021.</w:t>
      </w:r>
      <w:r>
        <w:t xml:space="preserve"> </w:t>
      </w:r>
      <w:r>
        <w:t xml:space="preserve">“</w:t>
      </w:r>
      <w:r>
        <w:t xml:space="preserve">Multi-faceted impact and outcome of COVID-19 on smallholder agricultural systems: Integrating qualitative research and fuzzy cognitive mapping to explore resilient strategies</w:t>
      </w:r>
      <w:r>
        <w:t xml:space="preserve">.”</w:t>
      </w:r>
      <w:r>
        <w:t xml:space="preserve"> </w:t>
      </w:r>
      <w:r>
        <w:rPr>
          <w:iCs/>
          <w:i/>
        </w:rPr>
        <w:t xml:space="preserve">Agricultural Systems</w:t>
      </w:r>
      <w:r>
        <w:t xml:space="preserve"> </w:t>
      </w:r>
      <w:r>
        <w:t xml:space="preserve">189 (September 2020): 103051.</w:t>
      </w:r>
      <w:r>
        <w:t xml:space="preserve"> </w:t>
      </w:r>
      <w:hyperlink r:id="rId84">
        <w:r>
          <w:rPr>
            <w:rStyle w:val="Hyperlink"/>
          </w:rPr>
          <w:t xml:space="preserve">https://doi.org/10.1016/j.agsy.2021.103051</w:t>
        </w:r>
      </w:hyperlink>
      <w:r>
        <w:t xml:space="preserve">.</w:t>
      </w:r>
    </w:p>
    <w:bookmarkEnd w:id="85"/>
    <w:bookmarkStart w:id="87" w:name="ref-Josephson2021"/>
    <w:p>
      <w:pPr>
        <w:pStyle w:val="Bibliography"/>
      </w:pPr>
      <w:r>
        <w:t xml:space="preserve">Josephson, Anna, Talip Kilic, and Jeffrey D. Michler. 2021.</w:t>
      </w:r>
      <w:r>
        <w:t xml:space="preserve"> </w:t>
      </w:r>
      <w:r>
        <w:t xml:space="preserve">“</w:t>
      </w:r>
      <w:r>
        <w:t xml:space="preserve">Socioeconomic impacts of COVID-19 in low-income countries</w:t>
      </w:r>
      <w:r>
        <w:t xml:space="preserve">.”</w:t>
      </w:r>
      <w:r>
        <w:t xml:space="preserve"> </w:t>
      </w:r>
      <w:r>
        <w:rPr>
          <w:iCs/>
          <w:i/>
        </w:rPr>
        <w:t xml:space="preserve">Nature Human Behaviour</w:t>
      </w:r>
      <w:r>
        <w:t xml:space="preserve"> </w:t>
      </w:r>
      <w:r>
        <w:t xml:space="preserve">5 (5): 557–65.</w:t>
      </w:r>
      <w:r>
        <w:t xml:space="preserve"> </w:t>
      </w:r>
      <w:hyperlink r:id="rId86">
        <w:r>
          <w:rPr>
            <w:rStyle w:val="Hyperlink"/>
          </w:rPr>
          <w:t xml:space="preserve">https://doi.org/10.1038/s41562-021-01096-7</w:t>
        </w:r>
      </w:hyperlink>
      <w:r>
        <w:t xml:space="preserve">.</w:t>
      </w:r>
    </w:p>
    <w:bookmarkEnd w:id="87"/>
    <w:bookmarkStart w:id="89" w:name="ref-Kumar2021"/>
    <w:p>
      <w:pPr>
        <w:pStyle w:val="Bibliography"/>
      </w:pPr>
      <w:r>
        <w:t xml:space="preserve">Kumar, Pavan, S. S. Singh, A. K. Pandey, Ram Kumar Singh, Prashant Kumar Srivastava, Manoj Kumar, Shantanu Kumar Dubey, et al. 2021.</w:t>
      </w:r>
      <w:r>
        <w:t xml:space="preserve"> </w:t>
      </w:r>
      <w:r>
        <w:t xml:space="preserve">“</w:t>
      </w:r>
      <w:r>
        <w:t xml:space="preserve">Multi-level impacts of the COVID-19 lockdown on agricultural systems in India: The case of Uttar Pradesh</w:t>
      </w:r>
      <w:r>
        <w:t xml:space="preserve">.”</w:t>
      </w:r>
      <w:r>
        <w:t xml:space="preserve"> </w:t>
      </w:r>
      <w:r>
        <w:rPr>
          <w:iCs/>
          <w:i/>
        </w:rPr>
        <w:t xml:space="preserve">Agricultural Systems</w:t>
      </w:r>
      <w:r>
        <w:t xml:space="preserve"> </w:t>
      </w:r>
      <w:r>
        <w:t xml:space="preserve">187 (December 2020): 103027.</w:t>
      </w:r>
      <w:r>
        <w:t xml:space="preserve"> </w:t>
      </w:r>
      <w:hyperlink r:id="rId88">
        <w:r>
          <w:rPr>
            <w:rStyle w:val="Hyperlink"/>
          </w:rPr>
          <w:t xml:space="preserve">https://doi.org/10.1016/j.agsy.2020.103027</w:t>
        </w:r>
      </w:hyperlink>
      <w:r>
        <w:t xml:space="preserve">.</w:t>
      </w:r>
    </w:p>
    <w:bookmarkEnd w:id="89"/>
    <w:bookmarkStart w:id="91" w:name="ref-Mallory2021"/>
    <w:p>
      <w:pPr>
        <w:pStyle w:val="Bibliography"/>
      </w:pPr>
      <w:r>
        <w:t xml:space="preserve">Mallory, Mindy L. 2021.</w:t>
      </w:r>
      <w:r>
        <w:t xml:space="preserve"> </w:t>
      </w:r>
      <w:r>
        <w:t xml:space="preserve">“</w:t>
      </w:r>
      <w:r>
        <w:t xml:space="preserve">Impact of COVID-19 on Medium-Term Export Prospects for Soybeans, Corn, Beef, Pork, and Poultry</w:t>
      </w:r>
      <w:r>
        <w:t xml:space="preserve">.”</w:t>
      </w:r>
      <w:r>
        <w:t xml:space="preserve"> </w:t>
      </w:r>
      <w:r>
        <w:rPr>
          <w:iCs/>
          <w:i/>
        </w:rPr>
        <w:t xml:space="preserve">Applied Economic Perspectives and Policy</w:t>
      </w:r>
      <w:r>
        <w:t xml:space="preserve"> </w:t>
      </w:r>
      <w:r>
        <w:t xml:space="preserve">43 (1): 292–303.</w:t>
      </w:r>
      <w:r>
        <w:t xml:space="preserve"> </w:t>
      </w:r>
      <w:hyperlink r:id="rId90">
        <w:r>
          <w:rPr>
            <w:rStyle w:val="Hyperlink"/>
          </w:rPr>
          <w:t xml:space="preserve">https://doi.org/10.1002/aepp.13113</w:t>
        </w:r>
      </w:hyperlink>
      <w:r>
        <w:t xml:space="preserve">.</w:t>
      </w:r>
    </w:p>
    <w:bookmarkEnd w:id="91"/>
    <w:bookmarkStart w:id="93" w:name="ref-Obayelu2021"/>
    <w:p>
      <w:pPr>
        <w:pStyle w:val="Bibliography"/>
      </w:pPr>
      <w:r>
        <w:t xml:space="preserve">Obayelu, Abiodun Elijah, Oluwakemi Adeola Obayelu, Kamilu Kolade Bolarinwa, and Richard Akinwumi Oyeyinka. 2021.</w:t>
      </w:r>
      <w:r>
        <w:t xml:space="preserve"> </w:t>
      </w:r>
      <w:r>
        <w:t xml:space="preserve">“</w:t>
      </w:r>
      <w:r>
        <w:t xml:space="preserve">Assessment of the Immediate and Potential Long-Term Effects of COVID-19 Outbreak on Socioeconomics, Agriculture, Security of Food and Dietary Intake in Nigeria</w:t>
      </w:r>
      <w:r>
        <w:t xml:space="preserve">.”</w:t>
      </w:r>
      <w:r>
        <w:t xml:space="preserve"> </w:t>
      </w:r>
      <w:r>
        <w:rPr>
          <w:iCs/>
          <w:i/>
        </w:rPr>
        <w:t xml:space="preserve">Food Ethics</w:t>
      </w:r>
      <w:r>
        <w:t xml:space="preserve"> </w:t>
      </w:r>
      <w:r>
        <w:t xml:space="preserve">6 (1).</w:t>
      </w:r>
      <w:r>
        <w:t xml:space="preserve"> </w:t>
      </w:r>
      <w:hyperlink r:id="rId92">
        <w:r>
          <w:rPr>
            <w:rStyle w:val="Hyperlink"/>
          </w:rPr>
          <w:t xml:space="preserve">https://doi.org/10.1007/s41055-021-00085-w</w:t>
        </w:r>
      </w:hyperlink>
      <w:r>
        <w:t xml:space="preserve">.</w:t>
      </w:r>
    </w:p>
    <w:bookmarkEnd w:id="93"/>
    <w:bookmarkStart w:id="95" w:name="ref-Olivia2020"/>
    <w:p>
      <w:pPr>
        <w:pStyle w:val="Bibliography"/>
      </w:pPr>
      <w:r>
        <w:t xml:space="preserve">Olivia, Susan, John Gibson, and Rus’an Nasrudin. 2020.</w:t>
      </w:r>
      <w:r>
        <w:t xml:space="preserve"> </w:t>
      </w:r>
      <w:r>
        <w:t xml:space="preserve">“</w:t>
      </w:r>
      <w:r>
        <w:t xml:space="preserve">Indonesia in the Time of Covid-19</w:t>
      </w:r>
      <w:r>
        <w:t xml:space="preserve">.”</w:t>
      </w:r>
      <w:r>
        <w:t xml:space="preserve"> </w:t>
      </w:r>
      <w:r>
        <w:rPr>
          <w:iCs/>
          <w:i/>
        </w:rPr>
        <w:t xml:space="preserve">Bulletin of Indonesian Economic Studies</w:t>
      </w:r>
      <w:r>
        <w:t xml:space="preserve"> </w:t>
      </w:r>
      <w:r>
        <w:t xml:space="preserve">56 (2): 143–74.</w:t>
      </w:r>
      <w:r>
        <w:t xml:space="preserve"> </w:t>
      </w:r>
      <w:hyperlink r:id="rId94">
        <w:r>
          <w:rPr>
            <w:rStyle w:val="Hyperlink"/>
          </w:rPr>
          <w:t xml:space="preserve">https://doi.org/10.1080/00074918.2020.1798581</w:t>
        </w:r>
      </w:hyperlink>
      <w:r>
        <w:t xml:space="preserve">.</w:t>
      </w:r>
    </w:p>
    <w:bookmarkEnd w:id="95"/>
    <w:bookmarkStart w:id="97" w:name="ref-Suryahadi2020"/>
    <w:p>
      <w:pPr>
        <w:pStyle w:val="Bibliography"/>
      </w:pPr>
      <w:r>
        <w:t xml:space="preserve">Suryahadi, Asep, Ridho Al Izzati, and Daniel Suryadarma. 2020.</w:t>
      </w:r>
      <w:r>
        <w:t xml:space="preserve"> </w:t>
      </w:r>
      <w:r>
        <w:t xml:space="preserve">“</w:t>
      </w:r>
      <w:r>
        <w:t xml:space="preserve">Estimating the Impact of Covid-19 on Poverty in Indonesia*</w:t>
      </w:r>
      <w:r>
        <w:t xml:space="preserve">.”</w:t>
      </w:r>
      <w:r>
        <w:t xml:space="preserve"> </w:t>
      </w:r>
      <w:r>
        <w:rPr>
          <w:iCs/>
          <w:i/>
        </w:rPr>
        <w:t xml:space="preserve">Bulletin of Indonesian Economic Studies</w:t>
      </w:r>
      <w:r>
        <w:t xml:space="preserve">, 175–92.</w:t>
      </w:r>
      <w:r>
        <w:t xml:space="preserve"> </w:t>
      </w:r>
      <w:hyperlink r:id="rId96">
        <w:r>
          <w:rPr>
            <w:rStyle w:val="Hyperlink"/>
          </w:rPr>
          <w:t xml:space="preserve">https://doi.org/10.1080/00074918.2020.1779390</w:t>
        </w:r>
      </w:hyperlink>
      <w:r>
        <w:t xml:space="preserve">.</w:t>
      </w:r>
    </w:p>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02/aepp.13113" TargetMode="External" /><Relationship Type="http://schemas.openxmlformats.org/officeDocument/2006/relationships/hyperlink" Id="rId80" Target="https://doi.org/10.1007/s12571-020-01076-1" TargetMode="External" /><Relationship Type="http://schemas.openxmlformats.org/officeDocument/2006/relationships/hyperlink" Id="rId92" Target="https://doi.org/10.1007/s41055-021-00085-w" TargetMode="External" /><Relationship Type="http://schemas.openxmlformats.org/officeDocument/2006/relationships/hyperlink" Id="rId88" Target="https://doi.org/10.1016/j.agsy.2020.103027" TargetMode="External" /><Relationship Type="http://schemas.openxmlformats.org/officeDocument/2006/relationships/hyperlink" Id="rId84" Target="https://doi.org/10.1016/j.agsy.2021.103051" TargetMode="External" /><Relationship Type="http://schemas.openxmlformats.org/officeDocument/2006/relationships/hyperlink" Id="rId82" Target="https://doi.org/10.1016/j.forpol.2020.102245" TargetMode="External" /><Relationship Type="http://schemas.openxmlformats.org/officeDocument/2006/relationships/hyperlink" Id="rId78" Target="https://doi.org/10.1016/j.gfs.2021.100523" TargetMode="External" /><Relationship Type="http://schemas.openxmlformats.org/officeDocument/2006/relationships/hyperlink" Id="rId86" Target="https://doi.org/10.1038/s41562-021-01096-7" TargetMode="External" /><Relationship Type="http://schemas.openxmlformats.org/officeDocument/2006/relationships/hyperlink" Id="rId96" Target="https://doi.org/10.1080/00074918.2020.1779390" TargetMode="External" /><Relationship Type="http://schemas.openxmlformats.org/officeDocument/2006/relationships/hyperlink" Id="rId94" Target="https://doi.org/10.1080/00074918.2020.1798581" TargetMode="External" /></Relationships>
</file>

<file path=word/_rels/footnotes.xml.rels><?xml version="1.0" encoding="UTF-8"?>
<Relationships xmlns="http://schemas.openxmlformats.org/package/2006/relationships"><Relationship Type="http://schemas.openxmlformats.org/officeDocument/2006/relationships/hyperlink" Id="rId90" Target="https://doi.org/10.1002/aepp.13113" TargetMode="External" /><Relationship Type="http://schemas.openxmlformats.org/officeDocument/2006/relationships/hyperlink" Id="rId80" Target="https://doi.org/10.1007/s12571-020-01076-1" TargetMode="External" /><Relationship Type="http://schemas.openxmlformats.org/officeDocument/2006/relationships/hyperlink" Id="rId92" Target="https://doi.org/10.1007/s41055-021-00085-w" TargetMode="External" /><Relationship Type="http://schemas.openxmlformats.org/officeDocument/2006/relationships/hyperlink" Id="rId88" Target="https://doi.org/10.1016/j.agsy.2020.103027" TargetMode="External" /><Relationship Type="http://schemas.openxmlformats.org/officeDocument/2006/relationships/hyperlink" Id="rId84" Target="https://doi.org/10.1016/j.agsy.2021.103051" TargetMode="External" /><Relationship Type="http://schemas.openxmlformats.org/officeDocument/2006/relationships/hyperlink" Id="rId82" Target="https://doi.org/10.1016/j.forpol.2020.102245" TargetMode="External" /><Relationship Type="http://schemas.openxmlformats.org/officeDocument/2006/relationships/hyperlink" Id="rId78" Target="https://doi.org/10.1016/j.gfs.2021.100523" TargetMode="External" /><Relationship Type="http://schemas.openxmlformats.org/officeDocument/2006/relationships/hyperlink" Id="rId86" Target="https://doi.org/10.1038/s41562-021-01096-7" TargetMode="External" /><Relationship Type="http://schemas.openxmlformats.org/officeDocument/2006/relationships/hyperlink" Id="rId96" Target="https://doi.org/10.1080/00074918.2020.1779390" TargetMode="External" /><Relationship Type="http://schemas.openxmlformats.org/officeDocument/2006/relationships/hyperlink" Id="rId94" Target="https://doi.org/10.1080/00074918.2020.17985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Impacts on smallholders literature</dc:title>
  <dc:creator/>
  <cp:keywords/>
  <dcterms:created xsi:type="dcterms:W3CDTF">2021-08-05T10:43:58Z</dcterms:created>
  <dcterms:modified xsi:type="dcterms:W3CDTF">2021-08-05T10:43:58Z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C:/Users/latzko/ownCloud/CRC 990/Landscape_Assessment/LandscapeAssessmentR/literature_review/covid_impacts_literature.bib</vt:lpwstr>
  </property>
  <property fmtid="{D5CDD505-2E9C-101B-9397-08002B2CF9AE}" pid="3" name="output">
    <vt:lpwstr/>
  </property>
</Properties>
</file>