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PowerRAG 燃气轮机可信 FMEA 正式交付表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center"/>
          </w:tcPr>
          <w:p>
            <w:r>
              <w:t>任务 ID</w:t>
            </w:r>
          </w:p>
        </w:tc>
        <w:tc>
          <w:tcPr>
            <w:tcW w:type="dxa" w:w="3636"/>
            <w:vAlign w:val="center"/>
          </w:tcPr>
          <w:p>
            <w:r>
              <w:t>fmea-88770c5a89e5</w:t>
            </w:r>
          </w:p>
        </w:tc>
        <w:tc>
          <w:tcPr>
            <w:tcW w:type="dxa" w:w="3636"/>
            <w:vAlign w:val="center"/>
          </w:tcPr>
          <w:p>
            <w:r>
              <w:t>状态</w:t>
            </w:r>
          </w:p>
        </w:tc>
        <w:tc>
          <w:tcPr>
            <w:tcW w:type="dxa" w:w="3636"/>
            <w:vAlign w:val="center"/>
          </w:tcPr>
          <w:p>
            <w:r>
              <w:t>published</w:t>
            </w:r>
          </w:p>
        </w:tc>
      </w:tr>
      <w:tr>
        <w:tc>
          <w:tcPr>
            <w:tcW w:type="dxa" w:w="3636"/>
            <w:vAlign w:val="center"/>
          </w:tcPr>
          <w:p>
            <w:r>
              <w:t>图谱版本</w:t>
            </w:r>
          </w:p>
        </w:tc>
        <w:tc>
          <w:tcPr>
            <w:tcW w:type="dxa" w:w="3636"/>
            <w:vAlign w:val="center"/>
          </w:tcPr>
          <w:p>
            <w:r>
              <w:t>graph:v1</w:t>
            </w:r>
          </w:p>
        </w:tc>
        <w:tc>
          <w:tcPr>
            <w:tcW w:type="dxa" w:w="3636"/>
            <w:vAlign w:val="center"/>
          </w:tcPr>
          <w:p>
            <w:r>
              <w:t>模板</w:t>
            </w:r>
          </w:p>
        </w:tc>
        <w:tc>
          <w:tcPr>
            <w:tcW w:type="dxa" w:w="3636"/>
            <w:vAlign w:val="center"/>
          </w:tcPr>
          <w:p>
            <w:r>
              <w:t>gas_turbine_minimum_v1@1.1.0</w:t>
            </w:r>
          </w:p>
        </w:tc>
      </w:tr>
      <w:tr>
        <w:tc>
          <w:tcPr>
            <w:tcW w:type="dxa" w:w="3636"/>
            <w:vAlign w:val="center"/>
          </w:tcPr>
          <w:p>
            <w:r>
              <w:t>资料版本</w:t>
            </w:r>
          </w:p>
        </w:tc>
        <w:tc>
          <w:tcPr>
            <w:tcW w:type="dxa" w:w="3636"/>
            <w:vAlign w:val="center"/>
          </w:tcPr>
          <w:p>
            <w:r>
              <w:t>lube-oil-filter:v2</w:t>
            </w:r>
          </w:p>
        </w:tc>
        <w:tc>
          <w:tcPr>
            <w:tcW w:type="dxa" w:w="3636"/>
            <w:vAlign w:val="center"/>
          </w:tcPr>
          <w:p>
            <w:r>
              <w:t>项目 ID</w:t>
            </w:r>
          </w:p>
        </w:tc>
        <w:tc>
          <w:tcPr>
            <w:tcW w:type="dxa" w:w="3636"/>
            <w:vAlign w:val="center"/>
          </w:tcPr>
          <w:p>
            <w:r>
              <w:t>jl-e2e-20260923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12"/>
        <w:gridCol w:w="1728"/>
        <w:gridCol w:w="1728"/>
        <w:gridCol w:w="1656"/>
        <w:gridCol w:w="1872"/>
        <w:gridCol w:w="2088"/>
        <w:gridCol w:w="2448"/>
      </w:tblGrid>
      <w:tr>
        <w:tc>
          <w:tcPr>
            <w:tcW w:type="dxa" w:w="1080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项目 ID</w:t>
            </w:r>
          </w:p>
        </w:tc>
        <w:tc>
          <w:tcPr>
            <w:tcW w:type="dxa" w:w="151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设备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部件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故障模式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原因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后果</w:t>
            </w:r>
          </w:p>
        </w:tc>
        <w:tc>
          <w:tcPr>
            <w:tcW w:type="dxa" w:w="208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检测方法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建议措施</w:t>
            </w:r>
          </w:p>
        </w:tc>
      </w:tr>
      <w:tr>
        <w:tc>
          <w:tcPr>
            <w:tcW w:type="dxa" w:w="1080"/>
            <w:vAlign w:val="top"/>
          </w:tcPr>
          <w:p>
            <w:r>
              <w:t>FMEA-0001</w:t>
            </w:r>
          </w:p>
        </w:tc>
        <w:tc>
          <w:tcPr>
            <w:tcW w:type="dxa" w:w="1512"/>
            <w:vAlign w:val="top"/>
          </w:tcPr>
          <w:p>
            <w:r>
              <w:t>燃气轮机</w:t>
            </w:r>
          </w:p>
          <w:p>
            <w:r>
              <w:rPr>
                <w:color w:val="595959"/>
                <w:sz w:val="13"/>
              </w:rPr>
              <w:t>证据: EV-bf9faded757b6b828688</w:t>
            </w:r>
          </w:p>
        </w:tc>
        <w:tc>
          <w:tcPr>
            <w:tcW w:type="dxa" w:w="1728"/>
            <w:vAlign w:val="top"/>
          </w:tcPr>
          <w:p>
            <w:r>
              <w:t>润滑油系统</w:t>
            </w:r>
          </w:p>
          <w:p>
            <w:r>
              <w:rPr>
                <w:color w:val="595959"/>
                <w:sz w:val="13"/>
              </w:rPr>
              <w:t>证据: EV-bf9faded757b6b828688</w:t>
            </w:r>
          </w:p>
        </w:tc>
        <w:tc>
          <w:tcPr>
            <w:tcW w:type="dxa" w:w="1728"/>
            <w:vAlign w:val="top"/>
          </w:tcPr>
          <w:p>
            <w:r>
              <w:t>过滤器堵塞</w:t>
            </w:r>
          </w:p>
          <w:p>
            <w:r>
              <w:rPr>
                <w:color w:val="595959"/>
                <w:sz w:val="13"/>
              </w:rPr>
              <w:t>证据: EV-bf9faded757b6b828688</w:t>
            </w:r>
          </w:p>
        </w:tc>
        <w:tc>
          <w:tcPr>
            <w:tcW w:type="dxa" w:w="1656"/>
            <w:vAlign w:val="top"/>
          </w:tcPr>
          <w:p>
            <w:r>
              <w:t>油液污染</w:t>
            </w:r>
          </w:p>
          <w:p>
            <w:r>
              <w:rPr>
                <w:color w:val="595959"/>
                <w:sz w:val="13"/>
              </w:rPr>
              <w:t>证据: EV-bf9faded757b6b828688</w:t>
            </w:r>
          </w:p>
        </w:tc>
        <w:tc>
          <w:tcPr>
            <w:tcW w:type="dxa" w:w="1872"/>
            <w:vAlign w:val="top"/>
          </w:tcPr>
          <w:p>
            <w:r>
              <w:t>润滑油压下降 / 轴承缺油</w:t>
            </w:r>
          </w:p>
          <w:p>
            <w:r>
              <w:rPr>
                <w:color w:val="595959"/>
                <w:sz w:val="13"/>
              </w:rPr>
              <w:t>证据: EV-bf9faded757b6b828688</w:t>
            </w:r>
          </w:p>
        </w:tc>
        <w:tc>
          <w:tcPr>
            <w:tcW w:type="dxa" w:w="2088"/>
            <w:vAlign w:val="top"/>
          </w:tcPr>
          <w:p>
            <w:r>
              <w:t>压差监测</w:t>
            </w:r>
          </w:p>
          <w:p>
            <w:r>
              <w:rPr>
                <w:color w:val="595959"/>
                <w:sz w:val="13"/>
              </w:rPr>
              <w:t>证据: EV-bf9faded757b6b828688</w:t>
            </w:r>
          </w:p>
        </w:tc>
        <w:tc>
          <w:tcPr>
            <w:tcW w:type="dxa" w:w="2448"/>
            <w:vAlign w:val="top"/>
          </w:tcPr>
          <w:p>
            <w:r>
              <w:t>更换滤芯和清洁油路</w:t>
            </w:r>
          </w:p>
          <w:p>
            <w:r>
              <w:rPr>
                <w:color w:val="595959"/>
                <w:sz w:val="13"/>
              </w:rPr>
              <w:t>证据: EV-bf9faded757b6b828688</w:t>
            </w:r>
          </w:p>
        </w:tc>
      </w:tr>
    </w:tbl>
    <w:p>
      <w:r>
        <w:t>说明: 每个非空专业字段均须保留独立证据 ID; 无批准评分政策时 S/O/D 与 RPN 保持为空。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