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color w:val="0F172A"/>
          <w:sz w:val="46"/>
        </w:rPr>
        <w:t>PowerRAG / GraphRAG 关键环节流程图合集：工作卡版</w:t>
      </w:r>
    </w:p>
    <w:p>
      <w:pPr>
        <w:spacing w:after="120"/>
      </w:pPr>
      <w:r>
        <w:rPr>
          <w:rFonts w:ascii="Microsoft YaHei" w:hAnsi="Microsoft YaHei" w:eastAsia="Microsoft YaHei"/>
          <w:b w:val="0"/>
          <w:color w:val="475569"/>
          <w:sz w:val="20"/>
        </w:rPr>
        <w:t>日期：2026-07-07    说明：本版不把每个环节固化成相同数量的流水步骤，而是用“输入、动作池、留存、出口、质量判断”表达可裁剪的工作方式。</w:t>
      </w:r>
    </w:p>
    <w:p>
      <w:pPr>
        <w:spacing w:after="200"/>
      </w:pPr>
      <w:r>
        <w:rPr>
          <w:rFonts w:ascii="Microsoft YaHei" w:hAnsi="Microsoft YaHei" w:eastAsia="Microsoft YaHei"/>
          <w:b w:val="0"/>
          <w:color w:val="111827"/>
          <w:sz w:val="22"/>
        </w:rPr>
        <w:t>适合放进 WPS 过程结果文档，用来说明每个环节要沉淀哪些中间结果和最终输出。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0F172A"/>
          <w:sz w:val="24"/>
        </w:rPr>
        <w:t>1. 01 文档解析</w:t>
      </w:r>
    </w:p>
    <w:p>
      <w:pPr>
        <w:spacing w:after="100"/>
      </w:pPr>
      <w:r>
        <w:rPr>
          <w:rFonts w:ascii="Microsoft YaHei" w:hAnsi="Microsoft YaHei" w:eastAsia="Microsoft YaHei"/>
          <w:b w:val="0"/>
          <w:color w:val="475569"/>
          <w:sz w:val="20"/>
        </w:rPr>
        <w:t>把多格式原始资料变成可追踪、可分块、可入库的标准化文本与结构化对象。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0F172A"/>
          <w:sz w:val="24"/>
        </w:rPr>
        <w:t>2. 02 实体关系抽取</w:t>
      </w:r>
    </w:p>
    <w:p>
      <w:pPr>
        <w:spacing w:after="100"/>
      </w:pPr>
      <w:r>
        <w:rPr>
          <w:rFonts w:ascii="Microsoft YaHei" w:hAnsi="Microsoft YaHei" w:eastAsia="Microsoft YaHei"/>
          <w:b w:val="0"/>
          <w:color w:val="475569"/>
          <w:sz w:val="20"/>
        </w:rPr>
        <w:t>从文本片段中抽取设备、部件、故障、原因、措施等实体和带证据的关系。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0F172A"/>
          <w:sz w:val="24"/>
        </w:rPr>
        <w:t>3. 03 图谱构建</w:t>
      </w:r>
    </w:p>
    <w:p>
      <w:pPr>
        <w:spacing w:after="100"/>
      </w:pPr>
      <w:r>
        <w:rPr>
          <w:rFonts w:ascii="Microsoft YaHei" w:hAnsi="Microsoft YaHei" w:eastAsia="Microsoft YaHei"/>
          <w:b w:val="0"/>
          <w:color w:val="475569"/>
          <w:sz w:val="20"/>
        </w:rPr>
        <w:t>把审核后的实体与关系组织成可检索、可计算、可版本管理的知识图谱。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0F172A"/>
          <w:sz w:val="24"/>
        </w:rPr>
        <w:t>4. 04 社区划分</w:t>
      </w:r>
    </w:p>
    <w:p>
      <w:pPr>
        <w:spacing w:after="100"/>
      </w:pPr>
      <w:r>
        <w:rPr>
          <w:rFonts w:ascii="Microsoft YaHei" w:hAnsi="Microsoft YaHei" w:eastAsia="Microsoft YaHei"/>
          <w:b w:val="0"/>
          <w:color w:val="475569"/>
          <w:sz w:val="20"/>
        </w:rPr>
        <w:t>把大图按结构关联和业务主题拆成更容易解释、摘要和调用的知识社区。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0F172A"/>
          <w:sz w:val="24"/>
        </w:rPr>
        <w:t>5. 05 主题摘要</w:t>
      </w:r>
    </w:p>
    <w:p>
      <w:pPr>
        <w:spacing w:after="100"/>
      </w:pPr>
      <w:r>
        <w:rPr>
          <w:rFonts w:ascii="Microsoft YaHei" w:hAnsi="Microsoft YaHei" w:eastAsia="Microsoft YaHei"/>
          <w:b w:val="0"/>
          <w:color w:val="475569"/>
          <w:sz w:val="20"/>
        </w:rPr>
        <w:t>为每个知识社区生成可引用、可复核、可进入 GraphRAG 上下文的主题说明。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0F172A"/>
          <w:sz w:val="24"/>
        </w:rPr>
        <w:t>6. 06 证据召回</w:t>
      </w:r>
    </w:p>
    <w:p>
      <w:pPr>
        <w:spacing w:after="100"/>
      </w:pPr>
      <w:r>
        <w:rPr>
          <w:rFonts w:ascii="Microsoft YaHei" w:hAnsi="Microsoft YaHei" w:eastAsia="Microsoft YaHei"/>
          <w:b w:val="0"/>
          <w:color w:val="475569"/>
          <w:sz w:val="20"/>
        </w:rPr>
        <w:t>围绕用户问题从文本、图谱路径和社区摘要中召回可支撑回答的证据包。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0F172A"/>
          <w:sz w:val="24"/>
        </w:rPr>
        <w:t>7. 07 推理生成</w:t>
      </w:r>
    </w:p>
    <w:p>
      <w:pPr>
        <w:spacing w:after="100"/>
      </w:pPr>
      <w:r>
        <w:rPr>
          <w:rFonts w:ascii="Microsoft YaHei" w:hAnsi="Microsoft YaHei" w:eastAsia="Microsoft YaHei"/>
          <w:b w:val="0"/>
          <w:color w:val="475569"/>
          <w:sz w:val="20"/>
        </w:rPr>
        <w:t>基于证据包和图谱上下文生成有引用、有边界、有结构的回答或报告。</w:t>
      </w:r>
    </w:p>
    <w:p>
      <w:pPr>
        <w:spacing w:after="40"/>
      </w:pPr>
      <w:r>
        <w:rPr>
          <w:rFonts w:ascii="Microsoft YaHei" w:hAnsi="Microsoft YaHei" w:eastAsia="Microsoft YaHei"/>
          <w:b/>
          <w:color w:val="0F172A"/>
          <w:sz w:val="24"/>
        </w:rPr>
        <w:t>8. 08 结果评估</w:t>
      </w:r>
    </w:p>
    <w:p>
      <w:pPr>
        <w:spacing w:after="100"/>
      </w:pPr>
      <w:r>
        <w:rPr>
          <w:rFonts w:ascii="Microsoft YaHei" w:hAnsi="Microsoft YaHei" w:eastAsia="Microsoft YaHei"/>
          <w:b w:val="0"/>
          <w:color w:val="475569"/>
          <w:sz w:val="20"/>
        </w:rPr>
        <w:t>对召回、生成、引用和图谱增强效果做评估，并把失败案例转成下一轮改进任务。</w:t>
      </w:r>
    </w:p>
    <w:p>
      <w:r>
        <w:br w:type="page"/>
      </w:r>
    </w:p>
    <w:p>
      <w:pPr>
        <w:spacing w:after="80"/>
      </w:pPr>
      <w:r>
        <w:rPr>
          <w:rFonts w:ascii="Microsoft YaHei" w:hAnsi="Microsoft YaHei" w:eastAsia="Microsoft YaHei"/>
          <w:b/>
          <w:color w:val="0F172A"/>
          <w:sz w:val="32"/>
        </w:rPr>
        <w:t>01 文档解析</w:t>
      </w:r>
    </w:p>
    <w:p>
      <w:pPr>
        <w:spacing w:after="120"/>
      </w:pPr>
      <w:r>
        <w:rPr>
          <w:rFonts w:ascii="Microsoft YaHei" w:hAnsi="Microsoft YaHei" w:eastAsia="Microsoft YaHei"/>
          <w:color w:val="475569"/>
          <w:sz w:val="18"/>
        </w:rPr>
        <w:t>把多格式原始资料变成可追踪、可分块、可入库的标准化文本与结构化对象。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46920" cy="6029325"/>
            <wp:docPr id="1" name="Picture 1" descr="01 文档解析" title="01 文档解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ocument_parsing_workc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602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icrosoft YaHei" w:hAnsi="Microsoft YaHei" w:eastAsia="Microsoft YaHei"/>
          <w:color w:val="475569"/>
          <w:sz w:val="18"/>
        </w:rPr>
        <w:t>图 1：01 文档解析工作卡</w:t>
      </w:r>
    </w:p>
    <w:p>
      <w:r>
        <w:br w:type="page"/>
      </w:r>
    </w:p>
    <w:p>
      <w:pPr>
        <w:spacing w:after="80"/>
      </w:pPr>
      <w:r>
        <w:rPr>
          <w:rFonts w:ascii="Microsoft YaHei" w:hAnsi="Microsoft YaHei" w:eastAsia="Microsoft YaHei"/>
          <w:b/>
          <w:color w:val="0F172A"/>
          <w:sz w:val="32"/>
        </w:rPr>
        <w:t>02 实体关系抽取</w:t>
      </w:r>
    </w:p>
    <w:p>
      <w:pPr>
        <w:spacing w:after="120"/>
      </w:pPr>
      <w:r>
        <w:rPr>
          <w:rFonts w:ascii="Microsoft YaHei" w:hAnsi="Microsoft YaHei" w:eastAsia="Microsoft YaHei"/>
          <w:color w:val="475569"/>
          <w:sz w:val="18"/>
        </w:rPr>
        <w:t>从文本片段中抽取设备、部件、故障、原因、措施等实体和带证据的关系。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46920" cy="6029325"/>
            <wp:docPr id="2" name="Picture 2" descr="02 实体关系抽取" title="02 实体关系抽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entity_relation_extraction_workc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602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icrosoft YaHei" w:hAnsi="Microsoft YaHei" w:eastAsia="Microsoft YaHei"/>
          <w:color w:val="475569"/>
          <w:sz w:val="18"/>
        </w:rPr>
        <w:t>图 2：02 实体关系抽取工作卡</w:t>
      </w:r>
    </w:p>
    <w:p>
      <w:r>
        <w:br w:type="page"/>
      </w:r>
    </w:p>
    <w:p>
      <w:pPr>
        <w:spacing w:after="80"/>
      </w:pPr>
      <w:r>
        <w:rPr>
          <w:rFonts w:ascii="Microsoft YaHei" w:hAnsi="Microsoft YaHei" w:eastAsia="Microsoft YaHei"/>
          <w:b/>
          <w:color w:val="0F172A"/>
          <w:sz w:val="32"/>
        </w:rPr>
        <w:t>03 图谱构建</w:t>
      </w:r>
    </w:p>
    <w:p>
      <w:pPr>
        <w:spacing w:after="120"/>
      </w:pPr>
      <w:r>
        <w:rPr>
          <w:rFonts w:ascii="Microsoft YaHei" w:hAnsi="Microsoft YaHei" w:eastAsia="Microsoft YaHei"/>
          <w:color w:val="475569"/>
          <w:sz w:val="18"/>
        </w:rPr>
        <w:t>把审核后的实体与关系组织成可检索、可计算、可版本管理的知识图谱。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46920" cy="6029325"/>
            <wp:docPr id="3" name="Picture 3" descr="03 图谱构建" title="03 图谱构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graph_construction_workc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602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icrosoft YaHei" w:hAnsi="Microsoft YaHei" w:eastAsia="Microsoft YaHei"/>
          <w:color w:val="475569"/>
          <w:sz w:val="18"/>
        </w:rPr>
        <w:t>图 3：03 图谱构建工作卡</w:t>
      </w:r>
    </w:p>
    <w:p>
      <w:r>
        <w:br w:type="page"/>
      </w:r>
    </w:p>
    <w:p>
      <w:pPr>
        <w:spacing w:after="80"/>
      </w:pPr>
      <w:r>
        <w:rPr>
          <w:rFonts w:ascii="Microsoft YaHei" w:hAnsi="Microsoft YaHei" w:eastAsia="Microsoft YaHei"/>
          <w:b/>
          <w:color w:val="0F172A"/>
          <w:sz w:val="32"/>
        </w:rPr>
        <w:t>04 社区划分</w:t>
      </w:r>
    </w:p>
    <w:p>
      <w:pPr>
        <w:spacing w:after="120"/>
      </w:pPr>
      <w:r>
        <w:rPr>
          <w:rFonts w:ascii="Microsoft YaHei" w:hAnsi="Microsoft YaHei" w:eastAsia="Microsoft YaHei"/>
          <w:color w:val="475569"/>
          <w:sz w:val="18"/>
        </w:rPr>
        <w:t>把大图按结构关联和业务主题拆成更容易解释、摘要和调用的知识社区。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46920" cy="6029325"/>
            <wp:docPr id="4" name="Picture 4" descr="04 社区划分" title="04 社区划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community_detection_workc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602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icrosoft YaHei" w:hAnsi="Microsoft YaHei" w:eastAsia="Microsoft YaHei"/>
          <w:color w:val="475569"/>
          <w:sz w:val="18"/>
        </w:rPr>
        <w:t>图 4：04 社区划分工作卡</w:t>
      </w:r>
    </w:p>
    <w:p>
      <w:r>
        <w:br w:type="page"/>
      </w:r>
    </w:p>
    <w:p>
      <w:pPr>
        <w:spacing w:after="80"/>
      </w:pPr>
      <w:r>
        <w:rPr>
          <w:rFonts w:ascii="Microsoft YaHei" w:hAnsi="Microsoft YaHei" w:eastAsia="Microsoft YaHei"/>
          <w:b/>
          <w:color w:val="0F172A"/>
          <w:sz w:val="32"/>
        </w:rPr>
        <w:t>05 主题摘要</w:t>
      </w:r>
    </w:p>
    <w:p>
      <w:pPr>
        <w:spacing w:after="120"/>
      </w:pPr>
      <w:r>
        <w:rPr>
          <w:rFonts w:ascii="Microsoft YaHei" w:hAnsi="Microsoft YaHei" w:eastAsia="Microsoft YaHei"/>
          <w:color w:val="475569"/>
          <w:sz w:val="18"/>
        </w:rPr>
        <w:t>为每个知识社区生成可引用、可复核、可进入 GraphRAG 上下文的主题说明。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46920" cy="6029325"/>
            <wp:docPr id="5" name="Picture 5" descr="05 主题摘要" title="05 主题摘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opic_summary_workc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602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icrosoft YaHei" w:hAnsi="Microsoft YaHei" w:eastAsia="Microsoft YaHei"/>
          <w:color w:val="475569"/>
          <w:sz w:val="18"/>
        </w:rPr>
        <w:t>图 5：05 主题摘要工作卡</w:t>
      </w:r>
    </w:p>
    <w:p>
      <w:r>
        <w:br w:type="page"/>
      </w:r>
    </w:p>
    <w:p>
      <w:pPr>
        <w:spacing w:after="80"/>
      </w:pPr>
      <w:r>
        <w:rPr>
          <w:rFonts w:ascii="Microsoft YaHei" w:hAnsi="Microsoft YaHei" w:eastAsia="Microsoft YaHei"/>
          <w:b/>
          <w:color w:val="0F172A"/>
          <w:sz w:val="32"/>
        </w:rPr>
        <w:t>06 证据召回</w:t>
      </w:r>
    </w:p>
    <w:p>
      <w:pPr>
        <w:spacing w:after="120"/>
      </w:pPr>
      <w:r>
        <w:rPr>
          <w:rFonts w:ascii="Microsoft YaHei" w:hAnsi="Microsoft YaHei" w:eastAsia="Microsoft YaHei"/>
          <w:color w:val="475569"/>
          <w:sz w:val="18"/>
        </w:rPr>
        <w:t>围绕用户问题从文本、图谱路径和社区摘要中召回可支撑回答的证据包。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46920" cy="6029325"/>
            <wp:docPr id="6" name="Picture 6" descr="06 证据召回" title="06 证据召回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evidence_retrieval_workc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602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icrosoft YaHei" w:hAnsi="Microsoft YaHei" w:eastAsia="Microsoft YaHei"/>
          <w:color w:val="475569"/>
          <w:sz w:val="18"/>
        </w:rPr>
        <w:t>图 6：06 证据召回工作卡</w:t>
      </w:r>
    </w:p>
    <w:p>
      <w:r>
        <w:br w:type="page"/>
      </w:r>
    </w:p>
    <w:p>
      <w:pPr>
        <w:spacing w:after="80"/>
      </w:pPr>
      <w:r>
        <w:rPr>
          <w:rFonts w:ascii="Microsoft YaHei" w:hAnsi="Microsoft YaHei" w:eastAsia="Microsoft YaHei"/>
          <w:b/>
          <w:color w:val="0F172A"/>
          <w:sz w:val="32"/>
        </w:rPr>
        <w:t>07 推理生成</w:t>
      </w:r>
    </w:p>
    <w:p>
      <w:pPr>
        <w:spacing w:after="120"/>
      </w:pPr>
      <w:r>
        <w:rPr>
          <w:rFonts w:ascii="Microsoft YaHei" w:hAnsi="Microsoft YaHei" w:eastAsia="Microsoft YaHei"/>
          <w:color w:val="475569"/>
          <w:sz w:val="18"/>
        </w:rPr>
        <w:t>基于证据包和图谱上下文生成有引用、有边界、有结构的回答或报告。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46920" cy="6029325"/>
            <wp:docPr id="7" name="Picture 7" descr="07 推理生成" title="07 推理生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asoning_generation_workc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602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icrosoft YaHei" w:hAnsi="Microsoft YaHei" w:eastAsia="Microsoft YaHei"/>
          <w:color w:val="475569"/>
          <w:sz w:val="18"/>
        </w:rPr>
        <w:t>图 7：07 推理生成工作卡</w:t>
      </w:r>
    </w:p>
    <w:p>
      <w:r>
        <w:br w:type="page"/>
      </w:r>
    </w:p>
    <w:p>
      <w:pPr>
        <w:spacing w:after="80"/>
      </w:pPr>
      <w:r>
        <w:rPr>
          <w:rFonts w:ascii="Microsoft YaHei" w:hAnsi="Microsoft YaHei" w:eastAsia="Microsoft YaHei"/>
          <w:b/>
          <w:color w:val="0F172A"/>
          <w:sz w:val="32"/>
        </w:rPr>
        <w:t>08 结果评估</w:t>
      </w:r>
    </w:p>
    <w:p>
      <w:pPr>
        <w:spacing w:after="120"/>
      </w:pPr>
      <w:r>
        <w:rPr>
          <w:rFonts w:ascii="Microsoft YaHei" w:hAnsi="Microsoft YaHei" w:eastAsia="Microsoft YaHei"/>
          <w:color w:val="475569"/>
          <w:sz w:val="18"/>
        </w:rPr>
        <w:t>对召回、生成、引用和图谱增强效果做评估，并把失败案例转成下一轮改进任务。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46920" cy="6029325"/>
            <wp:docPr id="8" name="Picture 8" descr="08 结果评估" title="08 结果评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esult_evaluation_workc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6029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Microsoft YaHei" w:hAnsi="Microsoft YaHei" w:eastAsia="Microsoft YaHei"/>
          <w:color w:val="475569"/>
          <w:sz w:val="18"/>
        </w:rPr>
        <w:t>图 8：08 结果评估工作卡</w:t>
      </w:r>
    </w:p>
    <w:sectPr w:rsidR="00FC693F" w:rsidRPr="0006063C" w:rsidSect="00034616">
      <w:pgSz w:w="16834" w:h="11909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PowerRAG / GraphRAG 关键环节流程图合集：工作卡版</dc:title>
  <dc:subject>PowerRAG flexible workflow cards</dc:subject>
  <dc:creator>Codex</dc:creator>
  <cp:keywords>PowerRAG, GraphRAG, workflow card, RAG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